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3512" w:rsidRDefault="001A3512" w:rsidP="00A5323C">
      <w:pPr>
        <w:pStyle w:val="BATitle"/>
        <w:spacing w:before="0" w:after="200"/>
      </w:pPr>
      <w:bookmarkStart w:id="0" w:name="_Hlk94020821"/>
      <w:r>
        <w:t>Supplementary Materials</w:t>
      </w:r>
      <w:r>
        <w:t>：</w:t>
      </w:r>
    </w:p>
    <w:p w:rsidR="001A3512" w:rsidRDefault="001A3512" w:rsidP="00A5323C">
      <w:pPr>
        <w:pStyle w:val="BATitle"/>
        <w:spacing w:before="0" w:after="200"/>
      </w:pPr>
      <w:bookmarkStart w:id="1" w:name="_Hlk179279931"/>
      <w:bookmarkEnd w:id="0"/>
      <w:bookmarkEnd w:id="1"/>
      <w:r>
        <w:t>Nanofluidic memristor with an ultra-low operating voltage</w:t>
      </w:r>
    </w:p>
    <w:p w:rsidR="001A3512" w:rsidRDefault="001A3512" w:rsidP="00A5323C">
      <w:pPr>
        <w:pStyle w:val="BBAuthorName"/>
        <w:spacing w:after="200"/>
      </w:pPr>
      <w:proofErr w:type="spellStart"/>
      <w:r>
        <w:t>Yike</w:t>
      </w:r>
      <w:proofErr w:type="spellEnd"/>
      <w:r>
        <w:t xml:space="preserve"> Xiao</w:t>
      </w:r>
      <w:r w:rsidRPr="00A63B1B">
        <w:t>1,2</w:t>
      </w:r>
      <w:r>
        <w:t xml:space="preserve">†, </w:t>
      </w:r>
      <w:proofErr w:type="spellStart"/>
      <w:r>
        <w:t>Yukun</w:t>
      </w:r>
      <w:proofErr w:type="spellEnd"/>
      <w:r>
        <w:t xml:space="preserve"> Bao</w:t>
      </w:r>
      <w:r w:rsidRPr="00A63B1B">
        <w:t>1</w:t>
      </w:r>
      <w:r>
        <w:t xml:space="preserve">†, </w:t>
      </w:r>
      <w:proofErr w:type="spellStart"/>
      <w:r>
        <w:rPr>
          <w:rFonts w:hint="eastAsia"/>
        </w:rPr>
        <w:t>Tian</w:t>
      </w:r>
      <w:r>
        <w:t>yong</w:t>
      </w:r>
      <w:proofErr w:type="spellEnd"/>
      <w:r>
        <w:t xml:space="preserve"> Peng</w:t>
      </w:r>
      <w:r w:rsidRPr="00A63B1B">
        <w:t>1</w:t>
      </w:r>
      <w:r>
        <w:t xml:space="preserve">, </w:t>
      </w:r>
      <w:proofErr w:type="spellStart"/>
      <w:r>
        <w:t>Kangrui</w:t>
      </w:r>
      <w:proofErr w:type="spellEnd"/>
      <w:r>
        <w:t xml:space="preserve"> Li</w:t>
      </w:r>
      <w:r w:rsidRPr="00A63B1B">
        <w:t>1</w:t>
      </w:r>
      <w:r>
        <w:t xml:space="preserve">, </w:t>
      </w:r>
      <w:proofErr w:type="spellStart"/>
      <w:r>
        <w:t>Pingyuan</w:t>
      </w:r>
      <w:proofErr w:type="spellEnd"/>
      <w:r>
        <w:t xml:space="preserve"> Yan</w:t>
      </w:r>
      <w:r w:rsidRPr="00A63B1B">
        <w:t>1</w:t>
      </w:r>
      <w:r>
        <w:t>,</w:t>
      </w:r>
      <w:r>
        <w:rPr>
          <w:rFonts w:hint="eastAsia"/>
        </w:rPr>
        <w:t xml:space="preserve"> </w:t>
      </w:r>
      <w:r>
        <w:t>Wei Huang</w:t>
      </w:r>
      <w:r w:rsidRPr="00A63B1B">
        <w:t>2</w:t>
      </w:r>
      <w:r>
        <w:t>,</w:t>
      </w:r>
      <w:r w:rsidRPr="00A63B1B">
        <w:t xml:space="preserve"> </w:t>
      </w:r>
      <w:proofErr w:type="spellStart"/>
      <w:r>
        <w:rPr>
          <w:rFonts w:hint="eastAsia"/>
        </w:rPr>
        <w:t>C</w:t>
      </w:r>
      <w:r>
        <w:t>huan</w:t>
      </w:r>
      <w:r>
        <w:rPr>
          <w:rFonts w:hint="eastAsia"/>
        </w:rPr>
        <w:t>xiang</w:t>
      </w:r>
      <w:proofErr w:type="spellEnd"/>
      <w:r>
        <w:t xml:space="preserve"> Sheng</w:t>
      </w:r>
      <w:r w:rsidRPr="00A63B1B">
        <w:t>3</w:t>
      </w:r>
      <w:r>
        <w:t>, Qi Wang</w:t>
      </w:r>
      <w:r w:rsidRPr="00A63B1B">
        <w:t>1</w:t>
      </w:r>
      <w:r>
        <w:t xml:space="preserve"> and Ye Feng Yu</w:t>
      </w:r>
      <w:r w:rsidRPr="00A63B1B">
        <w:t>1</w:t>
      </w:r>
      <w:r>
        <w:t>*</w:t>
      </w:r>
    </w:p>
    <w:p w:rsidR="001A3512" w:rsidRDefault="001A3512" w:rsidP="00A5323C">
      <w:pPr>
        <w:pStyle w:val="FACorrespondingAuthorFootnote"/>
        <w:jc w:val="center"/>
      </w:pPr>
      <w:r>
        <w:rPr>
          <w:vertAlign w:val="superscript"/>
        </w:rPr>
        <w:t>1</w:t>
      </w:r>
      <w:r>
        <w:t>School of Microelectronics, Nanjing University of Science and Technology, Nanjing, 210094, China.</w:t>
      </w:r>
    </w:p>
    <w:p w:rsidR="001A3512" w:rsidRDefault="001A3512" w:rsidP="00A5323C">
      <w:pPr>
        <w:pStyle w:val="FACorrespondingAuthorFootnote"/>
        <w:jc w:val="center"/>
      </w:pPr>
      <w:r>
        <w:rPr>
          <w:vertAlign w:val="superscript"/>
        </w:rPr>
        <w:t>2</w:t>
      </w:r>
      <w:r>
        <w:t>China Key Laboratory of Multifunctional Nanomaterials and Smart Systems, Suzhou Institute of Nano-Tech and Nano-Bionics (SINANO), Chinese Academy of Sciences, Suzhou, 215123, China.</w:t>
      </w:r>
    </w:p>
    <w:p w:rsidR="001A3512" w:rsidRDefault="001A3512" w:rsidP="00A5323C">
      <w:pPr>
        <w:pStyle w:val="FACorrespondingAuthorFootnote"/>
        <w:jc w:val="center"/>
      </w:pPr>
      <w:r>
        <w:rPr>
          <w:color w:val="000000"/>
          <w:shd w:val="clear" w:color="auto" w:fill="FEFEF2"/>
          <w:vertAlign w:val="superscript"/>
        </w:rPr>
        <w:t>3</w:t>
      </w:r>
      <w:r>
        <w:t>Department of Optical Science and Engineering, School of Information Science and Technology, Fudan University, Shanghai, 200433, China.</w:t>
      </w:r>
    </w:p>
    <w:p w:rsidR="001A3512" w:rsidRDefault="001A3512" w:rsidP="00A5323C">
      <w:pPr>
        <w:pStyle w:val="FACorrespondingAuthorFootnote"/>
        <w:jc w:val="center"/>
        <w:rPr>
          <w:color w:val="0000FF"/>
          <w:u w:val="single"/>
        </w:rPr>
      </w:pPr>
      <w:r>
        <w:t xml:space="preserve">*Corresponding author. Email: </w:t>
      </w:r>
      <w:hyperlink r:id="rId7" w:history="1">
        <w:r>
          <w:rPr>
            <w:color w:val="0000FF"/>
            <w:u w:val="single"/>
          </w:rPr>
          <w:t>yf_yu@njust.edu.cn</w:t>
        </w:r>
      </w:hyperlink>
    </w:p>
    <w:p w:rsidR="001A3512" w:rsidRDefault="001A3512" w:rsidP="00A5323C">
      <w:pPr>
        <w:pStyle w:val="FACorrespondingAuthorFootnote"/>
        <w:jc w:val="center"/>
        <w:rPr>
          <w:color w:val="0000FF"/>
          <w:u w:val="single"/>
        </w:rPr>
      </w:pPr>
      <w:r>
        <w:t>†These authors contributed equally to this work.</w:t>
      </w:r>
    </w:p>
    <w:p w:rsidR="001A3512" w:rsidRDefault="001A3512" w:rsidP="00A5323C">
      <w:pPr>
        <w:pStyle w:val="TESupportingInformation"/>
        <w:ind w:firstLine="0"/>
        <w:jc w:val="left"/>
        <w:rPr>
          <w:rFonts w:eastAsia="Times New Roman"/>
        </w:rPr>
      </w:pPr>
      <w:r>
        <w:rPr>
          <w:rFonts w:eastAsia="Times New Roman"/>
        </w:rPr>
        <w:t xml:space="preserve">The PDF file includes: </w:t>
      </w:r>
    </w:p>
    <w:p w:rsidR="001A3512" w:rsidRDefault="001A3512" w:rsidP="00A5323C">
      <w:pPr>
        <w:pStyle w:val="TESupportingInformation"/>
        <w:ind w:firstLine="0"/>
        <w:jc w:val="left"/>
        <w:rPr>
          <w:rFonts w:eastAsia="Times New Roman"/>
        </w:rPr>
      </w:pPr>
      <w:r>
        <w:rPr>
          <w:rFonts w:eastAsia="Times New Roman"/>
        </w:rPr>
        <w:t xml:space="preserve">Supplementary Text </w:t>
      </w:r>
    </w:p>
    <w:p w:rsidR="001A3512" w:rsidRDefault="001A3512" w:rsidP="00A5323C">
      <w:pPr>
        <w:pStyle w:val="TESupportingInformation"/>
        <w:ind w:firstLine="0"/>
        <w:jc w:val="left"/>
        <w:rPr>
          <w:rFonts w:eastAsia="Times New Roman"/>
        </w:rPr>
      </w:pPr>
      <w:r>
        <w:rPr>
          <w:rFonts w:eastAsia="Times New Roman"/>
        </w:rPr>
        <w:t>Figs. S1 to S</w:t>
      </w:r>
      <w:r w:rsidR="00F24BB9">
        <w:rPr>
          <w:rFonts w:eastAsia="Times New Roman"/>
        </w:rPr>
        <w:t>9</w:t>
      </w:r>
      <w:r>
        <w:rPr>
          <w:rFonts w:eastAsia="Times New Roman"/>
        </w:rPr>
        <w:t xml:space="preserve"> </w:t>
      </w:r>
    </w:p>
    <w:p w:rsidR="001A3512" w:rsidRDefault="001A3512" w:rsidP="00A5323C">
      <w:pPr>
        <w:pStyle w:val="TESupportingInformation"/>
        <w:ind w:firstLine="0"/>
        <w:jc w:val="left"/>
        <w:rPr>
          <w:rFonts w:eastAsia="Times New Roman"/>
        </w:rPr>
      </w:pPr>
      <w:bookmarkStart w:id="2" w:name="_GoBack"/>
      <w:bookmarkEnd w:id="2"/>
      <w:r>
        <w:rPr>
          <w:rFonts w:eastAsia="Times New Roman"/>
        </w:rPr>
        <w:lastRenderedPageBreak/>
        <w:t>Tables S1 to S3</w:t>
      </w:r>
    </w:p>
    <w:p w:rsidR="001A3512" w:rsidRDefault="001A3512" w:rsidP="00A5323C">
      <w:pPr>
        <w:pStyle w:val="TESupportingInformation"/>
        <w:ind w:firstLine="0"/>
        <w:jc w:val="left"/>
        <w:rPr>
          <w:rFonts w:eastAsia="Times New Roman"/>
        </w:rPr>
      </w:pPr>
      <w:r>
        <w:rPr>
          <w:rFonts w:eastAsia="Times New Roman"/>
        </w:rPr>
        <w:t>References (32, 35, 48, 55, 63-70)</w:t>
      </w:r>
    </w:p>
    <w:p w:rsidR="001A3512" w:rsidRPr="0094659E" w:rsidRDefault="001A3512" w:rsidP="00A5323C">
      <w:pPr>
        <w:widowControl/>
        <w:spacing w:before="120" w:after="200" w:line="480" w:lineRule="auto"/>
        <w:jc w:val="left"/>
        <w:rPr>
          <w:rFonts w:ascii="Times New Roman" w:hAnsi="Times New Roman" w:cs="Times New Roman"/>
          <w:b/>
          <w:bCs/>
          <w:sz w:val="24"/>
          <w:szCs w:val="28"/>
        </w:rPr>
      </w:pPr>
      <w:r>
        <w:rPr>
          <w:rFonts w:ascii="Times New Roman" w:hAnsi="Times New Roman" w:cs="Times New Roman"/>
          <w:b/>
          <w:bCs/>
          <w:sz w:val="24"/>
          <w:szCs w:val="28"/>
        </w:rPr>
        <w:br w:type="page"/>
      </w:r>
    </w:p>
    <w:p w:rsidR="001A3512" w:rsidRDefault="001A3512" w:rsidP="00A5323C">
      <w:pPr>
        <w:pStyle w:val="VCSchemeTitle"/>
        <w:rPr>
          <w:b/>
          <w:bCs/>
        </w:rPr>
      </w:pPr>
      <w:bookmarkStart w:id="3" w:name="_Hlk216949691"/>
      <w:bookmarkStart w:id="4" w:name="_Hlk215584454"/>
      <w:r>
        <w:rPr>
          <w:b/>
          <w:bCs/>
        </w:rPr>
        <w:lastRenderedPageBreak/>
        <w:t xml:space="preserve">Supplementary Text </w:t>
      </w:r>
    </w:p>
    <w:p w:rsidR="001A3512" w:rsidRDefault="001A3512" w:rsidP="00A5323C">
      <w:pPr>
        <w:pStyle w:val="VCSchemeTitle"/>
        <w:rPr>
          <w:vertAlign w:val="subscript"/>
        </w:rPr>
      </w:pPr>
      <w:r>
        <w:t>Note S</w:t>
      </w:r>
      <w:r>
        <w:rPr>
          <w:rFonts w:hint="eastAsia"/>
        </w:rPr>
        <w:t>1</w:t>
      </w:r>
      <w:r>
        <w:t xml:space="preserve">. Derivation of </w:t>
      </w:r>
      <w:r>
        <w:rPr>
          <w:rFonts w:hint="eastAsia"/>
          <w:i/>
          <w:iCs/>
        </w:rPr>
        <w:t>N</w:t>
      </w:r>
      <w:r>
        <w:rPr>
          <w:vertAlign w:val="subscript"/>
        </w:rPr>
        <w:t>1</w:t>
      </w:r>
    </w:p>
    <w:p w:rsidR="001A3512" w:rsidRDefault="001A3512" w:rsidP="00A5323C">
      <w:pPr>
        <w:pStyle w:val="TAMainText"/>
        <w:spacing w:after="200"/>
        <w:ind w:firstLine="0"/>
      </w:pPr>
      <w:r>
        <w:t>For a</w:t>
      </w:r>
      <w:r>
        <w:rPr>
          <w:i/>
          <w:iCs/>
        </w:rPr>
        <w:t xml:space="preserve"> </w:t>
      </w:r>
      <w:r>
        <w:t>truncated conical nanochannel (fig</w:t>
      </w:r>
      <w:r>
        <w:rPr>
          <w:rFonts w:hint="eastAsia"/>
        </w:rPr>
        <w:t>. S</w:t>
      </w:r>
      <w:r w:rsidR="00F24BB9">
        <w:t>9</w:t>
      </w:r>
      <w:r>
        <w:t xml:space="preserve">c), the surface area </w:t>
      </w:r>
      <w:r>
        <w:rPr>
          <w:i/>
          <w:iCs/>
        </w:rPr>
        <w:t>S</w:t>
      </w:r>
      <w:r>
        <w:rPr>
          <w:vertAlign w:val="subscript"/>
        </w:rPr>
        <w:t>i</w:t>
      </w:r>
      <w:r>
        <w:t xml:space="preserve"> is calculated by:</w:t>
      </w:r>
    </w:p>
    <w:tbl>
      <w:tblPr>
        <w:tblW w:w="9209" w:type="dxa"/>
        <w:tblLook w:val="04A0" w:firstRow="1" w:lastRow="0" w:firstColumn="1" w:lastColumn="0" w:noHBand="0" w:noVBand="1"/>
      </w:tblPr>
      <w:tblGrid>
        <w:gridCol w:w="2547"/>
        <w:gridCol w:w="3827"/>
        <w:gridCol w:w="2835"/>
      </w:tblGrid>
      <w:tr w:rsidR="001A3512" w:rsidTr="004658B8">
        <w:tc>
          <w:tcPr>
            <w:tcW w:w="2547" w:type="dxa"/>
          </w:tcPr>
          <w:p w:rsidR="001A3512" w:rsidRDefault="001A3512" w:rsidP="00A5323C">
            <w:pPr>
              <w:spacing w:before="120" w:after="200" w:line="480" w:lineRule="auto"/>
              <w:rPr>
                <w:rFonts w:ascii="Times New Roman" w:eastAsia="宋体" w:hAnsi="Times New Roman" w:cs="Times New Roman"/>
                <w:bCs/>
                <w:kern w:val="0"/>
                <w:sz w:val="24"/>
                <w:szCs w:val="24"/>
              </w:rPr>
            </w:pPr>
            <w:bookmarkStart w:id="5" w:name="_Hlk216949753"/>
          </w:p>
        </w:tc>
        <w:tc>
          <w:tcPr>
            <w:tcW w:w="3827" w:type="dxa"/>
          </w:tcPr>
          <w:p w:rsidR="001A3512" w:rsidRDefault="001A3512" w:rsidP="00A5323C">
            <w:pPr>
              <w:spacing w:before="120" w:after="200" w:line="480" w:lineRule="auto"/>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object w:dxaOrig="2254" w:dyaOrig="3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7pt;height:18.25pt" o:ole="">
                  <v:imagedata r:id="rId8" o:title=""/>
                </v:shape>
                <o:OLEObject Type="Embed" ProgID="Equation.DSMT4" ShapeID="_x0000_i1025" DrawAspect="Content" ObjectID="_1845114693" r:id="rId9"/>
              </w:object>
            </w:r>
          </w:p>
        </w:tc>
        <w:tc>
          <w:tcPr>
            <w:tcW w:w="2835" w:type="dxa"/>
            <w:vAlign w:val="center"/>
          </w:tcPr>
          <w:p w:rsidR="001A3512" w:rsidRDefault="001A3512" w:rsidP="00A5323C">
            <w:pPr>
              <w:spacing w:before="120" w:after="200" w:line="480" w:lineRule="auto"/>
              <w:jc w:val="right"/>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(s1)</w:t>
            </w:r>
          </w:p>
        </w:tc>
      </w:tr>
    </w:tbl>
    <w:bookmarkEnd w:id="5"/>
    <w:p w:rsidR="001A3512" w:rsidRDefault="001A3512" w:rsidP="00A5323C">
      <w:pPr>
        <w:pStyle w:val="TAMainText"/>
        <w:spacing w:after="200"/>
        <w:ind w:firstLine="0"/>
      </w:pPr>
      <w:r>
        <w:t>Wher</w:t>
      </w:r>
      <w:r>
        <w:rPr>
          <w:rFonts w:hint="eastAsia"/>
        </w:rPr>
        <w:t>e</w:t>
      </w:r>
      <w:r>
        <w:t xml:space="preserve"> </w:t>
      </w:r>
      <w:r>
        <w:rPr>
          <w:i/>
          <w:iCs/>
        </w:rPr>
        <w:t>h</w:t>
      </w:r>
      <w:r>
        <w:rPr>
          <w:rFonts w:hint="eastAsia"/>
        </w:rPr>
        <w:t>,</w:t>
      </w:r>
      <w:r>
        <w:t xml:space="preserve"> </w:t>
      </w:r>
      <w:r>
        <w:rPr>
          <w:i/>
          <w:iCs/>
        </w:rPr>
        <w:t>D</w:t>
      </w:r>
      <w:r>
        <w:t xml:space="preserve">, </w:t>
      </w:r>
      <w:r>
        <w:rPr>
          <w:i/>
          <w:iCs/>
        </w:rPr>
        <w:t>d,</w:t>
      </w:r>
      <w:r>
        <w:t xml:space="preserve"> </w:t>
      </w:r>
      <w:r>
        <w:rPr>
          <w:rFonts w:hint="eastAsia"/>
        </w:rPr>
        <w:t>and</w:t>
      </w:r>
      <w:r>
        <w:t xml:space="preserve"> </w:t>
      </w:r>
      <w:r>
        <w:rPr>
          <w:i/>
          <w:iCs/>
        </w:rPr>
        <w:t>θ</w:t>
      </w:r>
      <w:r>
        <w:t xml:space="preserve"> represent the height, top radius, bottom radius, and half-cone angle of the truncated conic.</w:t>
      </w:r>
    </w:p>
    <w:p w:rsidR="001A3512" w:rsidRDefault="001A3512" w:rsidP="00A5323C">
      <w:pPr>
        <w:pStyle w:val="TAMainText"/>
        <w:spacing w:after="200"/>
      </w:pPr>
      <w:proofErr w:type="spellStart"/>
      <w:r>
        <w:rPr>
          <w:i/>
          <w:iCs/>
        </w:rPr>
        <w:t>S</w:t>
      </w:r>
      <w:r>
        <w:rPr>
          <w:vertAlign w:val="subscript"/>
        </w:rPr>
        <w:t>ssa</w:t>
      </w:r>
      <w:proofErr w:type="spellEnd"/>
      <w:r>
        <w:t xml:space="preserve"> is the specific surface area of the PAF (the surface area other than nanochannels can be neglected), calculated by:</w:t>
      </w:r>
    </w:p>
    <w:tbl>
      <w:tblPr>
        <w:tblW w:w="9209" w:type="dxa"/>
        <w:tblLook w:val="04A0" w:firstRow="1" w:lastRow="0" w:firstColumn="1" w:lastColumn="0" w:noHBand="0" w:noVBand="1"/>
      </w:tblPr>
      <w:tblGrid>
        <w:gridCol w:w="2689"/>
        <w:gridCol w:w="3420"/>
        <w:gridCol w:w="3100"/>
      </w:tblGrid>
      <w:tr w:rsidR="001A3512" w:rsidTr="004658B8">
        <w:tc>
          <w:tcPr>
            <w:tcW w:w="2689" w:type="dxa"/>
          </w:tcPr>
          <w:p w:rsidR="001A3512" w:rsidRDefault="001A3512" w:rsidP="00A5323C">
            <w:pPr>
              <w:spacing w:before="120" w:after="200" w:line="480" w:lineRule="auto"/>
              <w:rPr>
                <w:rFonts w:ascii="Times New Roman" w:eastAsia="宋体" w:hAnsi="Times New Roman" w:cs="Times New Roman"/>
                <w:bCs/>
                <w:kern w:val="0"/>
                <w:sz w:val="24"/>
                <w:szCs w:val="24"/>
              </w:rPr>
            </w:pPr>
          </w:p>
        </w:tc>
        <w:tc>
          <w:tcPr>
            <w:tcW w:w="3420" w:type="dxa"/>
          </w:tcPr>
          <w:p w:rsidR="001A3512" w:rsidRDefault="001A3512" w:rsidP="00A5323C">
            <w:pPr>
              <w:spacing w:before="120" w:after="200" w:line="480" w:lineRule="auto"/>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object w:dxaOrig="1427" w:dyaOrig="376">
                <v:shape id="_x0000_i1026" type="#_x0000_t75" style="width:71.55pt;height:19.15pt" o:ole="">
                  <v:imagedata r:id="rId10" o:title=""/>
                </v:shape>
                <o:OLEObject Type="Embed" ProgID="Equation.DSMT4" ShapeID="_x0000_i1026" DrawAspect="Content" ObjectID="_1845114694" r:id="rId11"/>
              </w:object>
            </w:r>
          </w:p>
        </w:tc>
        <w:tc>
          <w:tcPr>
            <w:tcW w:w="3100" w:type="dxa"/>
            <w:vAlign w:val="center"/>
          </w:tcPr>
          <w:p w:rsidR="001A3512" w:rsidRDefault="001A3512" w:rsidP="00A5323C">
            <w:pPr>
              <w:spacing w:before="120" w:after="200" w:line="480" w:lineRule="auto"/>
              <w:jc w:val="right"/>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(s2)</w:t>
            </w:r>
          </w:p>
        </w:tc>
      </w:tr>
    </w:tbl>
    <w:p w:rsidR="001A3512" w:rsidRDefault="001A3512" w:rsidP="00A5323C">
      <w:pPr>
        <w:pStyle w:val="TAMainText"/>
        <w:spacing w:after="200"/>
        <w:ind w:firstLine="0"/>
      </w:pPr>
      <w:r>
        <w:t>Wher</w:t>
      </w:r>
      <w:r>
        <w:rPr>
          <w:rFonts w:hint="eastAsia"/>
        </w:rPr>
        <w:t>e</w:t>
      </w:r>
      <w:r>
        <w:t xml:space="preserve"> </w:t>
      </w:r>
      <w:proofErr w:type="spellStart"/>
      <w:r>
        <w:rPr>
          <w:i/>
          <w:iCs/>
        </w:rPr>
        <w:t>S</w:t>
      </w:r>
      <w:r>
        <w:rPr>
          <w:vertAlign w:val="subscript"/>
        </w:rPr>
        <w:t>p</w:t>
      </w:r>
      <w:proofErr w:type="spellEnd"/>
      <w:r>
        <w:t xml:space="preserve"> is the surface area of a nanochannel, </w:t>
      </w:r>
      <w:proofErr w:type="spellStart"/>
      <w:r>
        <w:rPr>
          <w:i/>
          <w:iCs/>
        </w:rPr>
        <w:t>N</w:t>
      </w:r>
      <w:r>
        <w:rPr>
          <w:vertAlign w:val="subscript"/>
        </w:rPr>
        <w:t>n</w:t>
      </w:r>
      <w:proofErr w:type="spellEnd"/>
      <w:r>
        <w:t xml:space="preserve"> is the total number of nanochannels in </w:t>
      </w:r>
      <w:r>
        <w:rPr>
          <w:rFonts w:hint="eastAsia"/>
        </w:rPr>
        <w:t>the</w:t>
      </w:r>
      <w:r>
        <w:t xml:space="preserve"> PAF, and </w:t>
      </w:r>
      <w:r>
        <w:rPr>
          <w:i/>
          <w:iCs/>
        </w:rPr>
        <w:t>m</w:t>
      </w:r>
      <w:r>
        <w:t xml:space="preserve"> is the mass of the PAF.</w:t>
      </w:r>
    </w:p>
    <w:p w:rsidR="001A3512" w:rsidRDefault="001A3512" w:rsidP="00A5323C">
      <w:pPr>
        <w:pStyle w:val="TAMainText"/>
        <w:spacing w:after="200"/>
      </w:pPr>
      <w:proofErr w:type="spellStart"/>
      <w:r>
        <w:rPr>
          <w:i/>
          <w:iCs/>
        </w:rPr>
        <w:t>S</w:t>
      </w:r>
      <w:r>
        <w:rPr>
          <w:vertAlign w:val="subscript"/>
        </w:rPr>
        <w:t>p</w:t>
      </w:r>
      <w:proofErr w:type="spellEnd"/>
      <w:r>
        <w:t xml:space="preserve"> is calculated by:</w:t>
      </w:r>
    </w:p>
    <w:tbl>
      <w:tblPr>
        <w:tblW w:w="0" w:type="auto"/>
        <w:tblLook w:val="04A0" w:firstRow="1" w:lastRow="0" w:firstColumn="1" w:lastColumn="0" w:noHBand="0" w:noVBand="1"/>
      </w:tblPr>
      <w:tblGrid>
        <w:gridCol w:w="2251"/>
        <w:gridCol w:w="4412"/>
        <w:gridCol w:w="2546"/>
      </w:tblGrid>
      <w:tr w:rsidR="001A3512" w:rsidTr="004658B8">
        <w:tc>
          <w:tcPr>
            <w:tcW w:w="2251" w:type="dxa"/>
          </w:tcPr>
          <w:p w:rsidR="001A3512" w:rsidRDefault="001A3512" w:rsidP="00A5323C">
            <w:pPr>
              <w:spacing w:before="120" w:after="200" w:line="480" w:lineRule="auto"/>
              <w:rPr>
                <w:rFonts w:ascii="Times New Roman" w:eastAsia="宋体" w:hAnsi="Times New Roman" w:cs="Times New Roman"/>
                <w:bCs/>
                <w:kern w:val="0"/>
                <w:sz w:val="24"/>
                <w:szCs w:val="24"/>
              </w:rPr>
            </w:pPr>
          </w:p>
        </w:tc>
        <w:tc>
          <w:tcPr>
            <w:tcW w:w="4412" w:type="dxa"/>
          </w:tcPr>
          <w:p w:rsidR="001A3512" w:rsidRDefault="001A3512" w:rsidP="00A5323C">
            <w:pPr>
              <w:tabs>
                <w:tab w:val="center" w:pos="1900"/>
                <w:tab w:val="right" w:pos="3800"/>
              </w:tabs>
              <w:spacing w:before="120" w:after="200" w:line="480" w:lineRule="auto"/>
              <w:jc w:val="center"/>
              <w:rPr>
                <w:rFonts w:ascii="Times New Roman" w:eastAsia="宋体" w:hAnsi="Times New Roman" w:cs="Times New Roman"/>
                <w:sz w:val="24"/>
                <w:szCs w:val="24"/>
              </w:rPr>
            </w:pPr>
            <w:r>
              <w:rPr>
                <w:rFonts w:ascii="Times New Roman" w:eastAsia="宋体" w:hAnsi="Times New Roman" w:cs="Times New Roman"/>
                <w:position w:val="-14"/>
                <w:sz w:val="24"/>
                <w:szCs w:val="24"/>
              </w:rPr>
              <w:object w:dxaOrig="964" w:dyaOrig="376">
                <v:shape id="_x0000_i1027" type="#_x0000_t75" style="width:48.15pt;height:19.15pt" o:ole="">
                  <v:imagedata r:id="rId12" o:title=""/>
                </v:shape>
                <o:OLEObject Type="Embed" ProgID="Equation.DSMT4" ShapeID="_x0000_i1027" DrawAspect="Content" ObjectID="_1845114695" r:id="rId13"/>
              </w:object>
            </w:r>
          </w:p>
        </w:tc>
        <w:tc>
          <w:tcPr>
            <w:tcW w:w="2546" w:type="dxa"/>
            <w:vAlign w:val="center"/>
          </w:tcPr>
          <w:p w:rsidR="001A3512" w:rsidRDefault="001A3512" w:rsidP="00A5323C">
            <w:pPr>
              <w:spacing w:before="120" w:after="200" w:line="480" w:lineRule="auto"/>
              <w:jc w:val="righ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(s3)</w:t>
            </w:r>
          </w:p>
        </w:tc>
      </w:tr>
    </w:tbl>
    <w:p w:rsidR="001A3512" w:rsidRDefault="001A3512" w:rsidP="00A5323C">
      <w:pPr>
        <w:pStyle w:val="TAMainText"/>
        <w:spacing w:after="200"/>
        <w:ind w:firstLine="0"/>
        <w:rPr>
          <w:i/>
          <w:iCs/>
        </w:rPr>
      </w:pPr>
      <w:r>
        <w:t>Wher</w:t>
      </w:r>
      <w:r>
        <w:rPr>
          <w:rFonts w:hint="eastAsia"/>
        </w:rPr>
        <w:t>e</w:t>
      </w:r>
      <w:r>
        <w:t xml:space="preserve"> </w:t>
      </w:r>
      <w:r>
        <w:rPr>
          <w:i/>
          <w:iCs/>
        </w:rPr>
        <w:t>l</w:t>
      </w:r>
      <w:r>
        <w:t xml:space="preserve"> </w:t>
      </w:r>
      <w:r>
        <w:rPr>
          <w:rFonts w:hint="eastAsia"/>
        </w:rPr>
        <w:t>is</w:t>
      </w:r>
      <w:r>
        <w:t xml:space="preserve"> the length of the nanochannel.</w:t>
      </w:r>
    </w:p>
    <w:p w:rsidR="001A3512" w:rsidRDefault="001A3512" w:rsidP="00A5323C">
      <w:pPr>
        <w:pStyle w:val="TAMainText"/>
        <w:spacing w:after="200"/>
        <w:rPr>
          <w:color w:val="000000" w:themeColor="text1"/>
        </w:rPr>
      </w:pPr>
      <w:proofErr w:type="spellStart"/>
      <w:r>
        <w:rPr>
          <w:i/>
          <w:iCs/>
        </w:rPr>
        <w:t>N</w:t>
      </w:r>
      <w:r>
        <w:rPr>
          <w:vertAlign w:val="subscript"/>
        </w:rPr>
        <w:t>n</w:t>
      </w:r>
      <w:proofErr w:type="spellEnd"/>
      <w:r>
        <w:t xml:space="preserve"> is cal</w:t>
      </w:r>
      <w:r>
        <w:rPr>
          <w:color w:val="000000" w:themeColor="text1"/>
        </w:rPr>
        <w:t>culated by:</w:t>
      </w:r>
    </w:p>
    <w:tbl>
      <w:tblPr>
        <w:tblW w:w="0" w:type="auto"/>
        <w:tblLook w:val="04A0" w:firstRow="1" w:lastRow="0" w:firstColumn="1" w:lastColumn="0" w:noHBand="0" w:noVBand="1"/>
      </w:tblPr>
      <w:tblGrid>
        <w:gridCol w:w="2405"/>
        <w:gridCol w:w="4394"/>
        <w:gridCol w:w="2410"/>
      </w:tblGrid>
      <w:tr w:rsidR="001A3512" w:rsidTr="004658B8">
        <w:tc>
          <w:tcPr>
            <w:tcW w:w="2405" w:type="dxa"/>
          </w:tcPr>
          <w:p w:rsidR="001A3512" w:rsidRDefault="001A3512" w:rsidP="00A5323C">
            <w:pPr>
              <w:spacing w:before="120" w:after="200" w:line="480" w:lineRule="auto"/>
              <w:rPr>
                <w:rFonts w:ascii="Times New Roman" w:eastAsia="宋体" w:hAnsi="Times New Roman" w:cs="Times New Roman"/>
                <w:bCs/>
                <w:kern w:val="0"/>
                <w:sz w:val="24"/>
                <w:szCs w:val="24"/>
              </w:rPr>
            </w:pPr>
          </w:p>
        </w:tc>
        <w:tc>
          <w:tcPr>
            <w:tcW w:w="4394" w:type="dxa"/>
          </w:tcPr>
          <w:p w:rsidR="001A3512" w:rsidRDefault="001A3512" w:rsidP="00A5323C">
            <w:pPr>
              <w:spacing w:before="120" w:after="200" w:line="480" w:lineRule="auto"/>
              <w:jc w:val="center"/>
              <w:rPr>
                <w:rFonts w:ascii="Times New Roman" w:eastAsia="宋体" w:hAnsi="Times New Roman" w:cs="Times New Roman"/>
                <w:sz w:val="24"/>
                <w:szCs w:val="24"/>
              </w:rPr>
            </w:pPr>
            <w:r>
              <w:rPr>
                <w:rFonts w:ascii="Times New Roman" w:eastAsia="宋体" w:hAnsi="Times New Roman" w:cs="Times New Roman"/>
                <w:position w:val="-14"/>
                <w:sz w:val="24"/>
                <w:szCs w:val="24"/>
              </w:rPr>
              <w:object w:dxaOrig="1803" w:dyaOrig="401">
                <v:shape id="_x0000_i1028" type="#_x0000_t75" style="width:89.75pt;height:20.1pt" o:ole="">
                  <v:imagedata r:id="rId14" o:title=""/>
                </v:shape>
                <o:OLEObject Type="Embed" ProgID="Equation.DSMT4" ShapeID="_x0000_i1028" DrawAspect="Content" ObjectID="_1845114696" r:id="rId15"/>
              </w:object>
            </w:r>
          </w:p>
        </w:tc>
        <w:tc>
          <w:tcPr>
            <w:tcW w:w="2410" w:type="dxa"/>
            <w:vAlign w:val="center"/>
          </w:tcPr>
          <w:p w:rsidR="001A3512" w:rsidRDefault="001A3512" w:rsidP="00A5323C">
            <w:pPr>
              <w:spacing w:before="120" w:after="200" w:line="480" w:lineRule="auto"/>
              <w:jc w:val="righ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(s4)</w:t>
            </w:r>
          </w:p>
        </w:tc>
      </w:tr>
    </w:tbl>
    <w:p w:rsidR="001A3512" w:rsidRDefault="001A3512" w:rsidP="00A5323C">
      <w:pPr>
        <w:pStyle w:val="TAMainText"/>
        <w:spacing w:after="200"/>
        <w:ind w:firstLine="0"/>
        <w:rPr>
          <w:color w:val="000000" w:themeColor="text1"/>
        </w:rPr>
      </w:pPr>
      <w:r>
        <w:t>Wher</w:t>
      </w:r>
      <w:r>
        <w:rPr>
          <w:rFonts w:hint="eastAsia"/>
        </w:rPr>
        <w:t>e</w:t>
      </w:r>
      <w:r>
        <w:t xml:space="preserve"> </w:t>
      </w:r>
      <w:proofErr w:type="spellStart"/>
      <w:r>
        <w:rPr>
          <w:i/>
          <w:iCs/>
        </w:rPr>
        <w:t>R</w:t>
      </w:r>
      <w:r>
        <w:rPr>
          <w:vertAlign w:val="subscript"/>
        </w:rPr>
        <w:t>p</w:t>
      </w:r>
      <w:proofErr w:type="spellEnd"/>
      <w:r>
        <w:t xml:space="preserve"> is the radius of the PAF, and </w:t>
      </w:r>
      <w:proofErr w:type="spellStart"/>
      <w:r>
        <w:rPr>
          <w:i/>
          <w:iCs/>
        </w:rPr>
        <w:t>s</w:t>
      </w:r>
      <w:proofErr w:type="spellEnd"/>
      <w:r>
        <w:t xml:space="preserve"> is the average pore spacing of the nanopores. </w:t>
      </w:r>
    </w:p>
    <w:p w:rsidR="001A3512" w:rsidRDefault="001A3512" w:rsidP="00A5323C">
      <w:pPr>
        <w:pStyle w:val="TAMainText"/>
        <w:spacing w:after="200"/>
        <w:rPr>
          <w:rFonts w:ascii="Times New Roman" w:hAnsi="Times New Roman"/>
          <w:szCs w:val="24"/>
        </w:rPr>
      </w:pPr>
      <w:r>
        <w:rPr>
          <w:color w:val="000000" w:themeColor="text1"/>
        </w:rPr>
        <w:t>Given the assumptions that</w:t>
      </w:r>
      <w:r>
        <w:t xml:space="preserve"> </w:t>
      </w:r>
      <w:r>
        <w:rPr>
          <w:i/>
          <w:iCs/>
        </w:rPr>
        <w:t>h</w:t>
      </w:r>
      <w:r>
        <w:t xml:space="preserve"> = 14.28 nm, </w:t>
      </w:r>
      <w:r>
        <w:rPr>
          <w:i/>
          <w:iCs/>
        </w:rPr>
        <w:t>D</w:t>
      </w:r>
      <w:r>
        <w:t xml:space="preserve"> = 36 nm, </w:t>
      </w:r>
      <w:r>
        <w:rPr>
          <w:i/>
          <w:iCs/>
        </w:rPr>
        <w:t>d</w:t>
      </w:r>
      <w:r>
        <w:t xml:space="preserve"> = 22 nm, </w:t>
      </w:r>
      <w:r>
        <w:rPr>
          <w:i/>
          <w:iCs/>
        </w:rPr>
        <w:t>θ</w:t>
      </w:r>
      <w:r>
        <w:t xml:space="preserve"> = 24.83°, m = 50 mg, </w:t>
      </w:r>
      <w:r>
        <w:rPr>
          <w:i/>
          <w:iCs/>
        </w:rPr>
        <w:t>l</w:t>
      </w:r>
      <w:r>
        <w:t xml:space="preserve"> = 55 </w:t>
      </w:r>
      <w:proofErr w:type="spellStart"/>
      <w:r>
        <w:t>μm</w:t>
      </w:r>
      <w:proofErr w:type="spellEnd"/>
      <w:r>
        <w:t xml:space="preserve">, </w:t>
      </w:r>
      <w:proofErr w:type="spellStart"/>
      <w:r>
        <w:rPr>
          <w:i/>
          <w:iCs/>
        </w:rPr>
        <w:t>R</w:t>
      </w:r>
      <w:r>
        <w:rPr>
          <w:vertAlign w:val="subscript"/>
        </w:rPr>
        <w:t>p</w:t>
      </w:r>
      <w:proofErr w:type="spellEnd"/>
      <w:r>
        <w:t xml:space="preserve"> = 12.5 mm, </w:t>
      </w:r>
      <w:r>
        <w:rPr>
          <w:i/>
          <w:iCs/>
        </w:rPr>
        <w:t>s</w:t>
      </w:r>
      <w:r>
        <w:t xml:space="preserve"> = 60 nm and </w:t>
      </w:r>
      <w:r>
        <w:rPr>
          <w:i/>
          <w:iCs/>
        </w:rPr>
        <w:t>A</w:t>
      </w:r>
      <w:r>
        <w:rPr>
          <w:vertAlign w:val="subscript"/>
        </w:rPr>
        <w:t>p</w:t>
      </w:r>
      <w:r>
        <w:t xml:space="preserve"> = </w:t>
      </w:r>
      <w:bookmarkStart w:id="6" w:name="_Hlk215665299"/>
      <w:r>
        <w:t>1 × 10</w:t>
      </w:r>
      <w:r>
        <w:rPr>
          <w:color w:val="000000" w:themeColor="text1"/>
          <w:vertAlign w:val="superscript"/>
        </w:rPr>
        <w:t>−</w:t>
      </w:r>
      <w:r>
        <w:rPr>
          <w:vertAlign w:val="superscript"/>
        </w:rPr>
        <w:t>6</w:t>
      </w:r>
      <w:r>
        <w:t xml:space="preserve"> mol/g</w:t>
      </w:r>
      <w:bookmarkEnd w:id="6"/>
      <w:r>
        <w:t xml:space="preserve"> to 1 × 10</w:t>
      </w:r>
      <w:r>
        <w:rPr>
          <w:color w:val="000000" w:themeColor="text1"/>
          <w:vertAlign w:val="superscript"/>
        </w:rPr>
        <w:t>−</w:t>
      </w:r>
      <w:r>
        <w:rPr>
          <w:vertAlign w:val="superscript"/>
        </w:rPr>
        <w:t>5</w:t>
      </w:r>
      <w:r>
        <w:t xml:space="preserve"> mol/g</w:t>
      </w:r>
      <w:r>
        <w:fldChar w:fldCharType="begin"/>
      </w:r>
      <w:r>
        <w:instrText xml:space="preserve"> ADDIN EN.CITE &lt;EndNote&gt;&lt;Cite&gt;&lt;Author&gt;Ahmad&lt;/Author&gt;&lt;Year&gt;2021&lt;/Year&gt;&lt;RecNum&gt;329&lt;/RecNum&gt;&lt;DisplayText&gt;(&lt;style face="italic"&gt;1&lt;/style&gt;)&lt;/DisplayText&gt;&lt;record&gt;&lt;rec-number&gt;329&lt;/rec-number&gt;&lt;foreign-keys&gt;&lt;key app="EN" db-id="t5tsz5pwiv0dxzezavn50pfftvs5w0ef29ed" timestamp="1757594936"&gt;329&lt;/key&gt;&lt;/foreign-keys&gt;&lt;ref-type name="Journal Article"&gt;17&lt;/ref-type&gt;&lt;contributors&gt;&lt;authors&gt;&lt;author&gt;Ahmad, Hilal&lt;/author&gt;&lt;author&gt;Liu, Changkun&lt;/author&gt;&lt;/authors&gt;&lt;/contributors&gt;&lt;titles&gt;&lt;title&gt;Ultra-thin graphene oxide membrane deposited on highly porous anodized aluminum oxide surface for heavy metal ions preconcentration&lt;/title&gt;&lt;secondary-title&gt;Journal of Hazardous Materials&lt;/secondary-title&gt;&lt;/titles&gt;&lt;periodical&gt;&lt;full-title&gt;Journal of Hazardous materials&lt;/full-title&gt;&lt;abbr-1&gt;J. Hazard. Mater.&lt;/abbr-1&gt;&lt;/periodical&gt;&lt;pages&gt;125661&lt;/pages&gt;&lt;volume&gt;415&lt;/volume&gt;&lt;dates&gt;&lt;year&gt;2021&lt;/year&gt;&lt;/dates&gt;&lt;isbn&gt;0304-3894&lt;/isbn&gt;&lt;urls&gt;&lt;/urls&gt;&lt;/record&gt;&lt;/Cite&gt;&lt;/EndNote&gt;</w:instrText>
      </w:r>
      <w:r>
        <w:fldChar w:fldCharType="separate"/>
      </w:r>
      <w:r>
        <w:t>(</w:t>
      </w:r>
      <w:r>
        <w:rPr>
          <w:i/>
        </w:rPr>
        <w:t>6</w:t>
      </w:r>
      <w:r w:rsidR="00533396">
        <w:rPr>
          <w:i/>
        </w:rPr>
        <w:t>4</w:t>
      </w:r>
      <w:r>
        <w:t>)</w:t>
      </w:r>
      <w:r>
        <w:fldChar w:fldCharType="end"/>
      </w:r>
      <w:r>
        <w:t xml:space="preserve">, </w:t>
      </w:r>
      <w:r>
        <w:rPr>
          <w:i/>
          <w:iCs/>
        </w:rPr>
        <w:t>N</w:t>
      </w:r>
      <w:r>
        <w:rPr>
          <w:vertAlign w:val="subscript"/>
        </w:rPr>
        <w:t>1</w:t>
      </w:r>
      <w:r>
        <w:t xml:space="preserve"> is calculated to be 41 to 411.</w:t>
      </w:r>
      <w:r>
        <w:rPr>
          <w:rFonts w:ascii="Times New Roman" w:hAnsi="Times New Roman"/>
          <w:szCs w:val="24"/>
        </w:rPr>
        <w:br w:type="page"/>
      </w:r>
    </w:p>
    <w:bookmarkEnd w:id="3"/>
    <w:p w:rsidR="001A3512" w:rsidRDefault="001A3512" w:rsidP="00A5323C">
      <w:pPr>
        <w:pStyle w:val="VCSchemeTitle"/>
        <w:rPr>
          <w:vertAlign w:val="subscript"/>
        </w:rPr>
      </w:pPr>
      <w:r>
        <w:lastRenderedPageBreak/>
        <w:t xml:space="preserve">Note S2. Derivation of </w:t>
      </w:r>
      <w:r>
        <w:rPr>
          <w:rFonts w:hint="eastAsia"/>
          <w:i/>
          <w:iCs/>
        </w:rPr>
        <w:t>N</w:t>
      </w:r>
      <w:r>
        <w:rPr>
          <w:vertAlign w:val="subscript"/>
        </w:rPr>
        <w:t>2</w:t>
      </w:r>
    </w:p>
    <w:p w:rsidR="001A3512" w:rsidRDefault="001A3512" w:rsidP="00A5323C">
      <w:pPr>
        <w:pStyle w:val="TAMainText"/>
        <w:spacing w:after="200"/>
        <w:ind w:firstLine="0"/>
      </w:pPr>
      <w:r>
        <w:t>For a</w:t>
      </w:r>
      <w:r>
        <w:rPr>
          <w:i/>
          <w:iCs/>
        </w:rPr>
        <w:t xml:space="preserve"> </w:t>
      </w:r>
      <w:r>
        <w:t>truncated conical nanochannel (fig</w:t>
      </w:r>
      <w:r>
        <w:rPr>
          <w:rFonts w:hint="eastAsia"/>
        </w:rPr>
        <w:t>. S</w:t>
      </w:r>
      <w:r w:rsidR="00F24BB9">
        <w:t>9</w:t>
      </w:r>
      <w:r>
        <w:t xml:space="preserve">c), the volume </w:t>
      </w:r>
      <w:r>
        <w:rPr>
          <w:i/>
          <w:iCs/>
        </w:rPr>
        <w:t>V</w:t>
      </w:r>
      <w:r>
        <w:rPr>
          <w:vertAlign w:val="subscript"/>
        </w:rPr>
        <w:t>i</w:t>
      </w:r>
      <w:r>
        <w:t xml:space="preserve"> is calculated by</w:t>
      </w:r>
    </w:p>
    <w:tbl>
      <w:tblPr>
        <w:tblW w:w="0" w:type="auto"/>
        <w:tblLook w:val="04A0" w:firstRow="1" w:lastRow="0" w:firstColumn="1" w:lastColumn="0" w:noHBand="0" w:noVBand="1"/>
      </w:tblPr>
      <w:tblGrid>
        <w:gridCol w:w="2689"/>
        <w:gridCol w:w="3974"/>
        <w:gridCol w:w="2546"/>
      </w:tblGrid>
      <w:tr w:rsidR="001A3512" w:rsidTr="004658B8">
        <w:tc>
          <w:tcPr>
            <w:tcW w:w="2689" w:type="dxa"/>
          </w:tcPr>
          <w:p w:rsidR="001A3512" w:rsidRDefault="001A3512" w:rsidP="00A5323C">
            <w:pPr>
              <w:spacing w:before="120" w:after="200" w:line="480" w:lineRule="auto"/>
              <w:rPr>
                <w:rFonts w:ascii="Times New Roman" w:eastAsia="宋体" w:hAnsi="Times New Roman" w:cs="Times New Roman"/>
                <w:bCs/>
                <w:kern w:val="0"/>
                <w:sz w:val="24"/>
                <w:szCs w:val="24"/>
              </w:rPr>
            </w:pPr>
          </w:p>
        </w:tc>
        <w:tc>
          <w:tcPr>
            <w:tcW w:w="3974" w:type="dxa"/>
          </w:tcPr>
          <w:p w:rsidR="001A3512" w:rsidRDefault="001A3512" w:rsidP="00A5323C">
            <w:pPr>
              <w:spacing w:before="120" w:after="200" w:line="480" w:lineRule="auto"/>
              <w:jc w:val="center"/>
              <w:rPr>
                <w:rFonts w:ascii="Times New Roman" w:eastAsia="宋体" w:hAnsi="Times New Roman" w:cs="Times New Roman"/>
                <w:sz w:val="24"/>
                <w:szCs w:val="24"/>
              </w:rPr>
            </w:pPr>
            <w:r>
              <w:rPr>
                <w:rFonts w:ascii="Times New Roman" w:eastAsia="宋体" w:hAnsi="Times New Roman" w:cs="Times New Roman"/>
                <w:position w:val="-12"/>
                <w:sz w:val="24"/>
                <w:szCs w:val="24"/>
              </w:rPr>
              <w:object w:dxaOrig="2504" w:dyaOrig="376">
                <v:shape id="_x0000_i1029" type="#_x0000_t75" style="width:124.85pt;height:19.15pt" o:ole="">
                  <v:imagedata r:id="rId16" o:title=""/>
                </v:shape>
                <o:OLEObject Type="Embed" ProgID="Equation.DSMT4" ShapeID="_x0000_i1029" DrawAspect="Content" ObjectID="_1845114697" r:id="rId17"/>
              </w:object>
            </w:r>
          </w:p>
        </w:tc>
        <w:tc>
          <w:tcPr>
            <w:tcW w:w="2546" w:type="dxa"/>
            <w:vAlign w:val="center"/>
          </w:tcPr>
          <w:p w:rsidR="001A3512" w:rsidRDefault="001A3512" w:rsidP="00A5323C">
            <w:pPr>
              <w:spacing w:before="120" w:after="200" w:line="480" w:lineRule="auto"/>
              <w:jc w:val="righ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(s5)</w:t>
            </w:r>
          </w:p>
        </w:tc>
      </w:tr>
    </w:tbl>
    <w:p w:rsidR="001A3512" w:rsidRDefault="001A3512" w:rsidP="00A5323C">
      <w:pPr>
        <w:pStyle w:val="TAMainText"/>
        <w:spacing w:after="200"/>
        <w:ind w:firstLine="0"/>
      </w:pPr>
      <w:r>
        <w:t xml:space="preserve">Where </w:t>
      </w:r>
      <w:r>
        <w:rPr>
          <w:i/>
          <w:iCs/>
        </w:rPr>
        <w:t>h</w:t>
      </w:r>
      <w:r>
        <w:rPr>
          <w:rFonts w:hint="eastAsia"/>
        </w:rPr>
        <w:t>,</w:t>
      </w:r>
      <w:r>
        <w:t xml:space="preserve"> </w:t>
      </w:r>
      <w:r>
        <w:rPr>
          <w:i/>
          <w:iCs/>
        </w:rPr>
        <w:t>D</w:t>
      </w:r>
      <w:r>
        <w:t xml:space="preserve">, </w:t>
      </w:r>
      <w:r>
        <w:rPr>
          <w:i/>
          <w:iCs/>
        </w:rPr>
        <w:t>d,</w:t>
      </w:r>
      <w:r>
        <w:t xml:space="preserve"> </w:t>
      </w:r>
      <w:r>
        <w:rPr>
          <w:rFonts w:hint="eastAsia"/>
        </w:rPr>
        <w:t>and</w:t>
      </w:r>
      <w:r>
        <w:t xml:space="preserve"> </w:t>
      </w:r>
      <w:r>
        <w:rPr>
          <w:i/>
          <w:iCs/>
        </w:rPr>
        <w:t>θ</w:t>
      </w:r>
      <w:r>
        <w:t xml:space="preserve"> represent </w:t>
      </w:r>
      <w:r>
        <w:rPr>
          <w:color w:val="000000" w:themeColor="text1"/>
        </w:rPr>
        <w:t>the height, top radius and bottom radius of the</w:t>
      </w:r>
      <w:r>
        <w:t xml:space="preserve"> truncated conic. </w:t>
      </w:r>
      <w:r>
        <w:rPr>
          <w:i/>
          <w:iCs/>
        </w:rPr>
        <w:t>α</w:t>
      </w:r>
      <w:r>
        <w:t>[Cu</w:t>
      </w:r>
      <w:r>
        <w:rPr>
          <w:vertAlign w:val="superscript"/>
        </w:rPr>
        <w:t>2+</w:t>
      </w:r>
      <w:r>
        <w:t>] is the activity of Cu</w:t>
      </w:r>
      <w:r>
        <w:rPr>
          <w:vertAlign w:val="superscript"/>
        </w:rPr>
        <w:t>2+</w:t>
      </w:r>
      <w:r>
        <w:t xml:space="preserve"> ion, see </w:t>
      </w:r>
      <w:r>
        <w:rPr>
          <w:color w:val="000000" w:themeColor="text1"/>
        </w:rPr>
        <w:t>table S1</w:t>
      </w:r>
      <w:r>
        <w:t xml:space="preserve">. </w:t>
      </w:r>
      <w:r>
        <w:rPr>
          <w:color w:val="000000" w:themeColor="text1"/>
        </w:rPr>
        <w:t>Given the assumptions that</w:t>
      </w:r>
      <w:r>
        <w:t xml:space="preserve"> </w:t>
      </w:r>
      <w:r>
        <w:rPr>
          <w:i/>
          <w:iCs/>
        </w:rPr>
        <w:t>h</w:t>
      </w:r>
      <w:r>
        <w:t xml:space="preserve"> = 14.28 nm, </w:t>
      </w:r>
      <w:r>
        <w:rPr>
          <w:i/>
          <w:iCs/>
        </w:rPr>
        <w:t>D</w:t>
      </w:r>
      <w:r>
        <w:t xml:space="preserve"> = 36 nm, and </w:t>
      </w:r>
      <w:r>
        <w:rPr>
          <w:i/>
          <w:iCs/>
        </w:rPr>
        <w:t>d</w:t>
      </w:r>
      <w:r>
        <w:t xml:space="preserve"> = 22 nm, </w:t>
      </w:r>
      <w:r>
        <w:rPr>
          <w:i/>
          <w:iCs/>
        </w:rPr>
        <w:t>N</w:t>
      </w:r>
      <w:r>
        <w:rPr>
          <w:vertAlign w:val="subscript"/>
        </w:rPr>
        <w:t>2</w:t>
      </w:r>
      <w:r>
        <w:t xml:space="preserve"> is calculated to be 199 in 1 </w:t>
      </w:r>
      <w:r>
        <w:rPr>
          <w:rFonts w:hint="eastAsia"/>
        </w:rPr>
        <w:t>M</w:t>
      </w:r>
      <w:r>
        <w:t xml:space="preserve"> CuSO</w:t>
      </w:r>
      <w:r>
        <w:rPr>
          <w:vertAlign w:val="subscript"/>
        </w:rPr>
        <w:t>4</w:t>
      </w:r>
      <w:r>
        <w:t>.</w:t>
      </w:r>
    </w:p>
    <w:p w:rsidR="001A3512" w:rsidRDefault="001A3512" w:rsidP="00A5323C">
      <w:pPr>
        <w:pStyle w:val="TAMainText"/>
        <w:spacing w:after="200"/>
        <w:rPr>
          <w:b/>
          <w:bCs/>
          <w:szCs w:val="28"/>
        </w:rPr>
      </w:pPr>
      <w:r>
        <w:rPr>
          <w:b/>
          <w:bCs/>
          <w:szCs w:val="28"/>
        </w:rPr>
        <w:br w:type="page"/>
      </w:r>
      <w:bookmarkEnd w:id="4"/>
    </w:p>
    <w:p w:rsidR="001A3512" w:rsidRDefault="001A3512" w:rsidP="00A5323C">
      <w:pPr>
        <w:pStyle w:val="VCSchemeTitle"/>
        <w:rPr>
          <w:vertAlign w:val="subscript"/>
        </w:rPr>
      </w:pPr>
      <w:r>
        <w:lastRenderedPageBreak/>
        <w:t xml:space="preserve">Note S3. Theoretical interpretation of </w:t>
      </w:r>
      <w:r>
        <w:rPr>
          <w:iCs/>
        </w:rPr>
        <w:t>nonzero short-circuit current (</w:t>
      </w:r>
      <w:proofErr w:type="spellStart"/>
      <w:r>
        <w:rPr>
          <w:i/>
          <w:iCs/>
        </w:rPr>
        <w:t>I</w:t>
      </w:r>
      <w:r>
        <w:rPr>
          <w:iCs/>
          <w:vertAlign w:val="subscript"/>
        </w:rPr>
        <w:t>sc</w:t>
      </w:r>
      <w:proofErr w:type="spellEnd"/>
      <w:r>
        <w:rPr>
          <w:iCs/>
        </w:rPr>
        <w:t xml:space="preserve">) </w:t>
      </w:r>
    </w:p>
    <w:p w:rsidR="001A3512" w:rsidRDefault="001A3512" w:rsidP="00A5323C">
      <w:pPr>
        <w:pStyle w:val="TAMainText"/>
        <w:spacing w:after="200"/>
        <w:ind w:firstLine="0"/>
      </w:pPr>
      <w:r>
        <w:t xml:space="preserve">In the </w:t>
      </w:r>
      <w:r>
        <w:rPr>
          <w:i/>
        </w:rPr>
        <w:t>I-V</w:t>
      </w:r>
      <w:r>
        <w:t xml:space="preserve"> characteristics of CNM, the current at the origin often exhibits a nonzero positive value. This behavior can be attributed to electrochemical reactions occurring within the CNM during voltage scanning. Specifically, the following reduction reactions may take place at the cathode:</w:t>
      </w:r>
      <w:r>
        <w:rPr>
          <w:color w:val="000000" w:themeColor="text1"/>
        </w:rPr>
        <w:t xml:space="preserve"> </w:t>
      </w:r>
    </w:p>
    <w:tbl>
      <w:tblPr>
        <w:tblW w:w="0" w:type="auto"/>
        <w:tblLook w:val="04A0" w:firstRow="1" w:lastRow="0" w:firstColumn="1" w:lastColumn="0" w:noHBand="0" w:noVBand="1"/>
      </w:tblPr>
      <w:tblGrid>
        <w:gridCol w:w="1987"/>
        <w:gridCol w:w="4967"/>
        <w:gridCol w:w="2259"/>
      </w:tblGrid>
      <w:tr w:rsidR="001A3512" w:rsidTr="004658B8">
        <w:tc>
          <w:tcPr>
            <w:tcW w:w="1987" w:type="dxa"/>
          </w:tcPr>
          <w:p w:rsidR="001A3512" w:rsidRDefault="001A3512" w:rsidP="00A5323C">
            <w:pPr>
              <w:spacing w:before="120" w:after="200" w:line="480" w:lineRule="auto"/>
              <w:rPr>
                <w:rFonts w:ascii="Times New Roman" w:eastAsia="宋体" w:hAnsi="Times New Roman" w:cs="Times New Roman"/>
                <w:bCs/>
                <w:kern w:val="0"/>
                <w:sz w:val="24"/>
                <w:szCs w:val="24"/>
              </w:rPr>
            </w:pPr>
          </w:p>
        </w:tc>
        <w:tc>
          <w:tcPr>
            <w:tcW w:w="4963" w:type="dxa"/>
          </w:tcPr>
          <w:p w:rsidR="001A3512" w:rsidRDefault="001A3512" w:rsidP="00A5323C">
            <w:pPr>
              <w:spacing w:before="120" w:after="200" w:line="480" w:lineRule="auto"/>
              <w:jc w:val="center"/>
              <w:rPr>
                <w:rFonts w:ascii="Times New Roman" w:eastAsia="宋体" w:hAnsi="Times New Roman" w:cs="Times New Roman"/>
                <w:sz w:val="24"/>
                <w:szCs w:val="24"/>
              </w:rPr>
            </w:pPr>
            <w:r>
              <w:rPr>
                <w:rFonts w:ascii="Times New Roman" w:eastAsia="宋体" w:hAnsi="Times New Roman" w:cs="Times New Roman"/>
                <w:position w:val="-4"/>
                <w:sz w:val="24"/>
                <w:szCs w:val="24"/>
              </w:rPr>
              <w:object w:dxaOrig="175" w:dyaOrig="288">
                <v:shape id="_x0000_i1030" type="#_x0000_t75" style="width:8.9pt;height:14.5pt" o:ole="">
                  <v:imagedata r:id="rId18" o:title=""/>
                </v:shape>
                <o:OLEObject Type="Embed" ProgID="Equation.DSMT4" ShapeID="_x0000_i1030" DrawAspect="Content" ObjectID="_1845114698" r:id="rId19"/>
              </w:object>
            </w:r>
            <w:r>
              <w:rPr>
                <w:rFonts w:ascii="Times New Roman" w:eastAsia="宋体" w:hAnsi="Times New Roman" w:cs="Times New Roman"/>
                <w:position w:val="-4"/>
                <w:sz w:val="24"/>
                <w:szCs w:val="24"/>
              </w:rPr>
              <w:object w:dxaOrig="175" w:dyaOrig="288">
                <v:shape id="_x0000_i1031" type="#_x0000_t75" style="width:8.9pt;height:14.5pt" o:ole="">
                  <v:imagedata r:id="rId18" o:title=""/>
                </v:shape>
                <o:OLEObject Type="Embed" ProgID="Equation.DSMT4" ShapeID="_x0000_i1031" DrawAspect="Content" ObjectID="_1845114699" r:id="rId20"/>
              </w:object>
            </w:r>
            <w:r>
              <w:rPr>
                <w:rFonts w:ascii="Times New Roman" w:eastAsia="宋体" w:hAnsi="Times New Roman" w:cs="Times New Roman"/>
                <w:position w:val="-10"/>
                <w:sz w:val="24"/>
                <w:szCs w:val="24"/>
              </w:rPr>
              <w:object w:dxaOrig="2417" w:dyaOrig="363">
                <v:shape id="_x0000_i1032" type="#_x0000_t75" style="width:121.1pt;height:18.25pt" o:ole="">
                  <v:imagedata r:id="rId21" o:title=""/>
                </v:shape>
                <o:OLEObject Type="Embed" ProgID="Equation.DSMT4" ShapeID="_x0000_i1032" DrawAspect="Content" ObjectID="_1845114700" r:id="rId22"/>
              </w:object>
            </w:r>
          </w:p>
        </w:tc>
        <w:tc>
          <w:tcPr>
            <w:tcW w:w="2259" w:type="dxa"/>
            <w:vAlign w:val="center"/>
          </w:tcPr>
          <w:p w:rsidR="001A3512" w:rsidRDefault="001A3512" w:rsidP="00A5323C">
            <w:pPr>
              <w:spacing w:before="120" w:after="200" w:line="480" w:lineRule="auto"/>
              <w:jc w:val="righ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(s6)</w:t>
            </w:r>
          </w:p>
        </w:tc>
      </w:tr>
      <w:tr w:rsidR="001A3512" w:rsidTr="004658B8">
        <w:tc>
          <w:tcPr>
            <w:tcW w:w="1987" w:type="dxa"/>
          </w:tcPr>
          <w:p w:rsidR="001A3512" w:rsidRDefault="001A3512" w:rsidP="00A5323C">
            <w:pPr>
              <w:spacing w:before="120" w:after="200" w:line="480" w:lineRule="auto"/>
              <w:rPr>
                <w:rFonts w:ascii="Times New Roman" w:eastAsia="宋体" w:hAnsi="Times New Roman" w:cs="Times New Roman"/>
                <w:bCs/>
                <w:kern w:val="0"/>
                <w:sz w:val="24"/>
                <w:szCs w:val="24"/>
              </w:rPr>
            </w:pPr>
          </w:p>
        </w:tc>
        <w:tc>
          <w:tcPr>
            <w:tcW w:w="4963" w:type="dxa"/>
          </w:tcPr>
          <w:p w:rsidR="001A3512" w:rsidRDefault="001A3512" w:rsidP="00A5323C">
            <w:pPr>
              <w:spacing w:before="120" w:after="200" w:line="480" w:lineRule="auto"/>
              <w:jc w:val="center"/>
              <w:rPr>
                <w:rFonts w:ascii="Times New Roman" w:eastAsia="宋体" w:hAnsi="Times New Roman" w:cs="Times New Roman"/>
                <w:sz w:val="24"/>
                <w:szCs w:val="24"/>
              </w:rPr>
            </w:pPr>
            <w:r>
              <w:rPr>
                <w:rFonts w:ascii="Times New Roman" w:eastAsia="宋体" w:hAnsi="Times New Roman" w:cs="Times New Roman"/>
                <w:position w:val="-12"/>
                <w:sz w:val="24"/>
                <w:szCs w:val="24"/>
              </w:rPr>
              <w:object w:dxaOrig="4182" w:dyaOrig="376">
                <v:shape id="_x0000_i1033" type="#_x0000_t75" style="width:209pt;height:19.15pt" o:ole="">
                  <v:imagedata r:id="rId23" o:title=""/>
                </v:shape>
                <o:OLEObject Type="Embed" ProgID="Equation.DSMT4" ShapeID="_x0000_i1033" DrawAspect="Content" ObjectID="_1845114701" r:id="rId24"/>
              </w:object>
            </w:r>
          </w:p>
        </w:tc>
        <w:tc>
          <w:tcPr>
            <w:tcW w:w="2259" w:type="dxa"/>
            <w:vAlign w:val="center"/>
          </w:tcPr>
          <w:p w:rsidR="001A3512" w:rsidRDefault="001A3512" w:rsidP="00A5323C">
            <w:pPr>
              <w:spacing w:before="120" w:after="200" w:line="480" w:lineRule="auto"/>
              <w:jc w:val="righ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(s7)</w:t>
            </w:r>
          </w:p>
        </w:tc>
      </w:tr>
      <w:tr w:rsidR="001A3512" w:rsidTr="004658B8">
        <w:tc>
          <w:tcPr>
            <w:tcW w:w="1987" w:type="dxa"/>
          </w:tcPr>
          <w:p w:rsidR="001A3512" w:rsidRDefault="001A3512" w:rsidP="00A5323C">
            <w:pPr>
              <w:spacing w:before="120" w:after="200" w:line="480" w:lineRule="auto"/>
              <w:rPr>
                <w:rFonts w:ascii="Times New Roman" w:eastAsia="宋体" w:hAnsi="Times New Roman" w:cs="Times New Roman"/>
                <w:bCs/>
                <w:kern w:val="0"/>
                <w:sz w:val="24"/>
                <w:szCs w:val="24"/>
              </w:rPr>
            </w:pPr>
          </w:p>
        </w:tc>
        <w:tc>
          <w:tcPr>
            <w:tcW w:w="4963" w:type="dxa"/>
          </w:tcPr>
          <w:p w:rsidR="001A3512" w:rsidRDefault="001A3512" w:rsidP="00A5323C">
            <w:pPr>
              <w:spacing w:before="120" w:after="200" w:line="480" w:lineRule="auto"/>
              <w:jc w:val="center"/>
              <w:rPr>
                <w:rFonts w:ascii="Times New Roman" w:eastAsia="宋体" w:hAnsi="Times New Roman" w:cs="Times New Roman"/>
                <w:sz w:val="24"/>
                <w:szCs w:val="24"/>
              </w:rPr>
            </w:pPr>
            <w:r>
              <w:rPr>
                <w:rFonts w:ascii="Times New Roman" w:eastAsia="宋体" w:hAnsi="Times New Roman" w:cs="Times New Roman"/>
                <w:position w:val="-12"/>
                <w:sz w:val="24"/>
                <w:szCs w:val="24"/>
              </w:rPr>
              <w:object w:dxaOrig="4746" w:dyaOrig="376">
                <v:shape id="_x0000_i1034" type="#_x0000_t75" style="width:237.5pt;height:19.15pt" o:ole="">
                  <v:imagedata r:id="rId25" o:title=""/>
                </v:shape>
                <o:OLEObject Type="Embed" ProgID="Equation.DSMT4" ShapeID="_x0000_i1034" DrawAspect="Content" ObjectID="_1845114702" r:id="rId26"/>
              </w:object>
            </w:r>
          </w:p>
        </w:tc>
        <w:tc>
          <w:tcPr>
            <w:tcW w:w="2259" w:type="dxa"/>
            <w:vAlign w:val="center"/>
          </w:tcPr>
          <w:p w:rsidR="001A3512" w:rsidRDefault="001A3512" w:rsidP="00A5323C">
            <w:pPr>
              <w:spacing w:before="120" w:after="200" w:line="480" w:lineRule="auto"/>
              <w:jc w:val="righ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(s8)</w:t>
            </w:r>
          </w:p>
        </w:tc>
      </w:tr>
    </w:tbl>
    <w:p w:rsidR="001A3512" w:rsidRDefault="001A3512" w:rsidP="00A5323C">
      <w:pPr>
        <w:pStyle w:val="TAMainText"/>
        <w:spacing w:after="200"/>
        <w:ind w:firstLine="0"/>
      </w:pPr>
      <w:r>
        <w:t xml:space="preserve">Reactions s6 and s7 involve the reduction of Cu²⁺ or </w:t>
      </w:r>
      <w:proofErr w:type="spellStart"/>
      <w:r>
        <w:t>Cu₂O</w:t>
      </w:r>
      <w:proofErr w:type="spellEnd"/>
      <w:r>
        <w:t xml:space="preserve"> to metallic Cu.</w:t>
      </w:r>
      <w:r>
        <w:rPr>
          <w:rFonts w:hint="eastAsia"/>
        </w:rPr>
        <w:t xml:space="preserve"> </w:t>
      </w:r>
      <w:r>
        <w:t xml:space="preserve">Reaction s8 corresponds to the reduction of Cu²⁺ to </w:t>
      </w:r>
      <w:proofErr w:type="spellStart"/>
      <w:r>
        <w:t>Cu₂O</w:t>
      </w:r>
      <w:proofErr w:type="spellEnd"/>
      <w:r>
        <w:t>.</w:t>
      </w:r>
      <w:r>
        <w:rPr>
          <w:rFonts w:hint="eastAsia"/>
        </w:rPr>
        <w:t xml:space="preserve"> </w:t>
      </w:r>
      <w:r>
        <w:t>At the anode, the following oxidation reactions may occur:</w:t>
      </w:r>
    </w:p>
    <w:tbl>
      <w:tblPr>
        <w:tblW w:w="0" w:type="auto"/>
        <w:tblLook w:val="04A0" w:firstRow="1" w:lastRow="0" w:firstColumn="1" w:lastColumn="0" w:noHBand="0" w:noVBand="1"/>
      </w:tblPr>
      <w:tblGrid>
        <w:gridCol w:w="1987"/>
        <w:gridCol w:w="4954"/>
        <w:gridCol w:w="2268"/>
      </w:tblGrid>
      <w:tr w:rsidR="001A3512" w:rsidTr="004658B8">
        <w:tc>
          <w:tcPr>
            <w:tcW w:w="1987" w:type="dxa"/>
          </w:tcPr>
          <w:p w:rsidR="001A3512" w:rsidRDefault="001A3512" w:rsidP="00A5323C">
            <w:pPr>
              <w:spacing w:before="120" w:after="200" w:line="480" w:lineRule="auto"/>
              <w:rPr>
                <w:rFonts w:ascii="Times New Roman" w:eastAsia="宋体" w:hAnsi="Times New Roman" w:cs="Times New Roman"/>
                <w:bCs/>
                <w:kern w:val="0"/>
                <w:sz w:val="24"/>
                <w:szCs w:val="24"/>
              </w:rPr>
            </w:pPr>
          </w:p>
        </w:tc>
        <w:tc>
          <w:tcPr>
            <w:tcW w:w="4954" w:type="dxa"/>
          </w:tcPr>
          <w:p w:rsidR="001A3512" w:rsidRDefault="001A3512" w:rsidP="00A5323C">
            <w:pPr>
              <w:spacing w:before="120" w:after="200" w:line="480" w:lineRule="auto"/>
              <w:jc w:val="center"/>
              <w:rPr>
                <w:rFonts w:ascii="Times New Roman" w:eastAsia="宋体" w:hAnsi="Times New Roman" w:cs="Times New Roman"/>
                <w:sz w:val="24"/>
                <w:szCs w:val="24"/>
              </w:rPr>
            </w:pPr>
            <w:r>
              <w:rPr>
                <w:rFonts w:ascii="Times New Roman" w:eastAsia="宋体" w:hAnsi="Times New Roman" w:cs="Times New Roman"/>
                <w:position w:val="-10"/>
                <w:sz w:val="24"/>
                <w:szCs w:val="24"/>
              </w:rPr>
              <w:object w:dxaOrig="2404" w:dyaOrig="363">
                <v:shape id="_x0000_i1035" type="#_x0000_t75" style="width:120.15pt;height:18.25pt" o:ole="">
                  <v:imagedata r:id="rId27" o:title=""/>
                </v:shape>
                <o:OLEObject Type="Embed" ProgID="Equation.DSMT4" ShapeID="_x0000_i1035" DrawAspect="Content" ObjectID="_1845114703" r:id="rId28"/>
              </w:object>
            </w:r>
          </w:p>
        </w:tc>
        <w:tc>
          <w:tcPr>
            <w:tcW w:w="2268" w:type="dxa"/>
            <w:vAlign w:val="center"/>
          </w:tcPr>
          <w:p w:rsidR="001A3512" w:rsidRDefault="001A3512" w:rsidP="00A5323C">
            <w:pPr>
              <w:spacing w:before="120" w:after="200" w:line="480" w:lineRule="auto"/>
              <w:jc w:val="righ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(s9)</w:t>
            </w:r>
          </w:p>
        </w:tc>
      </w:tr>
      <w:tr w:rsidR="001A3512" w:rsidTr="004658B8">
        <w:tc>
          <w:tcPr>
            <w:tcW w:w="1987" w:type="dxa"/>
          </w:tcPr>
          <w:p w:rsidR="001A3512" w:rsidRDefault="001A3512" w:rsidP="00A5323C">
            <w:pPr>
              <w:spacing w:before="120" w:after="200" w:line="480" w:lineRule="auto"/>
              <w:rPr>
                <w:rFonts w:ascii="Times New Roman" w:eastAsia="宋体" w:hAnsi="Times New Roman" w:cs="Times New Roman"/>
                <w:bCs/>
                <w:kern w:val="0"/>
                <w:sz w:val="24"/>
                <w:szCs w:val="24"/>
              </w:rPr>
            </w:pPr>
          </w:p>
        </w:tc>
        <w:tc>
          <w:tcPr>
            <w:tcW w:w="4954" w:type="dxa"/>
          </w:tcPr>
          <w:p w:rsidR="001A3512" w:rsidRDefault="001A3512" w:rsidP="00A5323C">
            <w:pPr>
              <w:spacing w:before="120" w:after="200" w:line="480" w:lineRule="auto"/>
              <w:jc w:val="center"/>
              <w:rPr>
                <w:rFonts w:ascii="Times New Roman" w:eastAsia="宋体" w:hAnsi="Times New Roman" w:cs="Times New Roman"/>
                <w:sz w:val="24"/>
                <w:szCs w:val="24"/>
              </w:rPr>
            </w:pPr>
            <w:r>
              <w:rPr>
                <w:rFonts w:ascii="Times New Roman" w:eastAsia="宋体" w:hAnsi="Times New Roman" w:cs="Times New Roman"/>
                <w:position w:val="-12"/>
                <w:sz w:val="24"/>
                <w:szCs w:val="24"/>
              </w:rPr>
              <w:object w:dxaOrig="4395" w:dyaOrig="376">
                <v:shape id="_x0000_i1036" type="#_x0000_t75" style="width:219.75pt;height:19.15pt" o:ole="">
                  <v:imagedata r:id="rId29" o:title=""/>
                </v:shape>
                <o:OLEObject Type="Embed" ProgID="Equation.DSMT4" ShapeID="_x0000_i1036" DrawAspect="Content" ObjectID="_1845114704" r:id="rId30"/>
              </w:object>
            </w:r>
          </w:p>
        </w:tc>
        <w:tc>
          <w:tcPr>
            <w:tcW w:w="2268" w:type="dxa"/>
            <w:vAlign w:val="center"/>
          </w:tcPr>
          <w:p w:rsidR="001A3512" w:rsidRDefault="001A3512" w:rsidP="00A5323C">
            <w:pPr>
              <w:spacing w:before="120" w:after="200" w:line="480" w:lineRule="auto"/>
              <w:jc w:val="righ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(s10)</w:t>
            </w:r>
          </w:p>
        </w:tc>
      </w:tr>
      <w:tr w:rsidR="001A3512" w:rsidTr="004658B8">
        <w:tc>
          <w:tcPr>
            <w:tcW w:w="1987" w:type="dxa"/>
          </w:tcPr>
          <w:p w:rsidR="001A3512" w:rsidRDefault="001A3512" w:rsidP="00A5323C">
            <w:pPr>
              <w:spacing w:before="120" w:after="200" w:line="480" w:lineRule="auto"/>
              <w:rPr>
                <w:rFonts w:ascii="Times New Roman" w:eastAsia="宋体" w:hAnsi="Times New Roman" w:cs="Times New Roman"/>
                <w:bCs/>
                <w:kern w:val="0"/>
                <w:sz w:val="24"/>
                <w:szCs w:val="24"/>
              </w:rPr>
            </w:pPr>
          </w:p>
        </w:tc>
        <w:tc>
          <w:tcPr>
            <w:tcW w:w="4954" w:type="dxa"/>
          </w:tcPr>
          <w:p w:rsidR="001A3512" w:rsidRDefault="001A3512" w:rsidP="00A5323C">
            <w:pPr>
              <w:tabs>
                <w:tab w:val="center" w:pos="2200"/>
                <w:tab w:val="right" w:pos="4400"/>
              </w:tabs>
              <w:spacing w:before="120" w:after="200" w:line="480" w:lineRule="auto"/>
              <w:jc w:val="center"/>
              <w:rPr>
                <w:rFonts w:ascii="Times New Roman" w:eastAsia="宋体" w:hAnsi="Times New Roman" w:cs="Times New Roman"/>
                <w:sz w:val="24"/>
                <w:szCs w:val="24"/>
              </w:rPr>
            </w:pPr>
            <w:r>
              <w:rPr>
                <w:rFonts w:ascii="Times New Roman" w:eastAsia="宋体" w:hAnsi="Times New Roman" w:cs="Times New Roman"/>
                <w:position w:val="-12"/>
                <w:sz w:val="24"/>
                <w:szCs w:val="24"/>
              </w:rPr>
              <w:object w:dxaOrig="4495" w:dyaOrig="376">
                <v:shape id="_x0000_i1037" type="#_x0000_t75" style="width:224.9pt;height:19.15pt" o:ole="">
                  <v:imagedata r:id="rId31" o:title=""/>
                </v:shape>
                <o:OLEObject Type="Embed" ProgID="Equation.DSMT4" ShapeID="_x0000_i1037" DrawAspect="Content" ObjectID="_1845114705" r:id="rId32"/>
              </w:object>
            </w:r>
          </w:p>
        </w:tc>
        <w:tc>
          <w:tcPr>
            <w:tcW w:w="2268" w:type="dxa"/>
            <w:vAlign w:val="center"/>
          </w:tcPr>
          <w:p w:rsidR="001A3512" w:rsidRDefault="001A3512" w:rsidP="00A5323C">
            <w:pPr>
              <w:spacing w:before="120" w:after="200" w:line="480" w:lineRule="auto"/>
              <w:jc w:val="righ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(s11)</w:t>
            </w:r>
          </w:p>
        </w:tc>
      </w:tr>
    </w:tbl>
    <w:p w:rsidR="001A3512" w:rsidRDefault="001A3512" w:rsidP="00A5323C">
      <w:pPr>
        <w:pStyle w:val="TAMainText"/>
        <w:spacing w:after="200"/>
        <w:ind w:firstLine="0"/>
      </w:pPr>
      <w:r>
        <w:t xml:space="preserve">Reactions s9 and s10 represent the oxidation of metallic Cu to Cu²⁺ or </w:t>
      </w:r>
      <w:proofErr w:type="spellStart"/>
      <w:r>
        <w:t>Cu₂O</w:t>
      </w:r>
      <w:proofErr w:type="spellEnd"/>
      <w:r>
        <w:t>.</w:t>
      </w:r>
      <w:r>
        <w:rPr>
          <w:rFonts w:hint="eastAsia"/>
        </w:rPr>
        <w:t xml:space="preserve"> </w:t>
      </w:r>
      <w:r>
        <w:t xml:space="preserve">Reaction s11 describes the further oxidation of </w:t>
      </w:r>
      <w:proofErr w:type="spellStart"/>
      <w:r>
        <w:t>Cu₂O</w:t>
      </w:r>
      <w:proofErr w:type="spellEnd"/>
      <w:r>
        <w:t xml:space="preserve"> to Cu²⁺.</w:t>
      </w:r>
      <w:r>
        <w:rPr>
          <w:rFonts w:hint="eastAsia"/>
        </w:rPr>
        <w:t xml:space="preserve"> </w:t>
      </w:r>
      <w:r>
        <w:t xml:space="preserve">The equilibrium electrode potentials for the above reactions can be determined using the Nernst equation: </w:t>
      </w:r>
    </w:p>
    <w:tbl>
      <w:tblPr>
        <w:tblW w:w="0" w:type="auto"/>
        <w:tblLook w:val="04A0" w:firstRow="1" w:lastRow="0" w:firstColumn="1" w:lastColumn="0" w:noHBand="0" w:noVBand="1"/>
      </w:tblPr>
      <w:tblGrid>
        <w:gridCol w:w="2251"/>
        <w:gridCol w:w="4412"/>
        <w:gridCol w:w="2546"/>
      </w:tblGrid>
      <w:tr w:rsidR="001A3512" w:rsidTr="004658B8">
        <w:tc>
          <w:tcPr>
            <w:tcW w:w="2251" w:type="dxa"/>
          </w:tcPr>
          <w:p w:rsidR="001A3512" w:rsidRDefault="001A3512" w:rsidP="00A5323C">
            <w:pPr>
              <w:spacing w:before="120" w:after="200" w:line="480" w:lineRule="auto"/>
              <w:rPr>
                <w:rFonts w:ascii="Times New Roman" w:eastAsia="宋体" w:hAnsi="Times New Roman" w:cs="Times New Roman"/>
                <w:bCs/>
                <w:kern w:val="0"/>
                <w:sz w:val="24"/>
                <w:szCs w:val="24"/>
              </w:rPr>
            </w:pPr>
          </w:p>
        </w:tc>
        <w:tc>
          <w:tcPr>
            <w:tcW w:w="4412" w:type="dxa"/>
          </w:tcPr>
          <w:p w:rsidR="001A3512" w:rsidRDefault="001A3512" w:rsidP="00A5323C">
            <w:pPr>
              <w:spacing w:before="120" w:after="200" w:line="480" w:lineRule="auto"/>
              <w:jc w:val="center"/>
              <w:rPr>
                <w:rFonts w:ascii="Times New Roman" w:eastAsia="宋体" w:hAnsi="Times New Roman" w:cs="Times New Roman"/>
                <w:sz w:val="24"/>
                <w:szCs w:val="24"/>
              </w:rPr>
            </w:pPr>
            <w:r>
              <w:rPr>
                <w:rFonts w:ascii="Times New Roman" w:eastAsia="宋体" w:hAnsi="Times New Roman" w:cs="Times New Roman"/>
                <w:position w:val="-24"/>
                <w:sz w:val="24"/>
                <w:szCs w:val="24"/>
              </w:rPr>
              <w:object w:dxaOrig="1878" w:dyaOrig="626">
                <v:shape id="_x0000_i1038" type="#_x0000_t75" style="width:93.95pt;height:31.3pt" o:ole="">
                  <v:imagedata r:id="rId33" o:title=""/>
                </v:shape>
                <o:OLEObject Type="Embed" ProgID="Equation.DSMT4" ShapeID="_x0000_i1038" DrawAspect="Content" ObjectID="_1845114706" r:id="rId34"/>
              </w:object>
            </w:r>
          </w:p>
        </w:tc>
        <w:tc>
          <w:tcPr>
            <w:tcW w:w="2546" w:type="dxa"/>
            <w:vAlign w:val="center"/>
          </w:tcPr>
          <w:p w:rsidR="001A3512" w:rsidRDefault="001A3512" w:rsidP="00A5323C">
            <w:pPr>
              <w:spacing w:before="120" w:after="200" w:line="480" w:lineRule="auto"/>
              <w:jc w:val="righ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(s12)</w:t>
            </w:r>
          </w:p>
        </w:tc>
      </w:tr>
    </w:tbl>
    <w:p w:rsidR="001A3512" w:rsidRDefault="001A3512" w:rsidP="00A5323C">
      <w:pPr>
        <w:pStyle w:val="TAMainText"/>
        <w:spacing w:after="200"/>
        <w:ind w:firstLine="0"/>
      </w:pPr>
      <w:r>
        <w:t xml:space="preserve">Each equilibrium electrode potential for the cathode reactions at various </w:t>
      </w:r>
      <w:proofErr w:type="spellStart"/>
      <w:r>
        <w:t>CuSO</w:t>
      </w:r>
      <w:proofErr w:type="spellEnd"/>
      <w:r>
        <w:t>₄ concentrations are summarized in table S2. Since the anode reactions are the reverse of their cathode counterparts, their equilibrium potentials are equal in magnitude but opposite in sign. Under ideal conditions, the overall electromotive force (</w:t>
      </w:r>
      <w:proofErr w:type="spellStart"/>
      <w:r>
        <w:rPr>
          <w:i/>
        </w:rPr>
        <w:t>E</w:t>
      </w:r>
      <w:r>
        <w:rPr>
          <w:vertAlign w:val="subscript"/>
        </w:rPr>
        <w:t>cell</w:t>
      </w:r>
      <w:proofErr w:type="spellEnd"/>
      <w:r>
        <w:t>) of the system can be expressed as:</w:t>
      </w:r>
    </w:p>
    <w:tbl>
      <w:tblPr>
        <w:tblW w:w="0" w:type="auto"/>
        <w:tblLook w:val="04A0" w:firstRow="1" w:lastRow="0" w:firstColumn="1" w:lastColumn="0" w:noHBand="0" w:noVBand="1"/>
      </w:tblPr>
      <w:tblGrid>
        <w:gridCol w:w="2251"/>
        <w:gridCol w:w="4412"/>
        <w:gridCol w:w="2546"/>
      </w:tblGrid>
      <w:tr w:rsidR="001A3512" w:rsidTr="004658B8">
        <w:tc>
          <w:tcPr>
            <w:tcW w:w="2251" w:type="dxa"/>
          </w:tcPr>
          <w:p w:rsidR="001A3512" w:rsidRDefault="001A3512" w:rsidP="00A5323C">
            <w:pPr>
              <w:spacing w:before="120" w:after="200" w:line="480" w:lineRule="auto"/>
              <w:rPr>
                <w:rFonts w:ascii="Times New Roman" w:eastAsia="宋体" w:hAnsi="Times New Roman" w:cs="Times New Roman"/>
                <w:bCs/>
                <w:kern w:val="0"/>
                <w:sz w:val="24"/>
                <w:szCs w:val="24"/>
              </w:rPr>
            </w:pPr>
          </w:p>
        </w:tc>
        <w:tc>
          <w:tcPr>
            <w:tcW w:w="4412" w:type="dxa"/>
          </w:tcPr>
          <w:p w:rsidR="001A3512" w:rsidRDefault="001A3512" w:rsidP="00A5323C">
            <w:pPr>
              <w:spacing w:before="120" w:after="200" w:line="480" w:lineRule="auto"/>
              <w:jc w:val="center"/>
              <w:rPr>
                <w:rFonts w:ascii="Times New Roman" w:eastAsia="宋体" w:hAnsi="Times New Roman" w:cs="Times New Roman"/>
                <w:sz w:val="24"/>
                <w:szCs w:val="24"/>
              </w:rPr>
            </w:pPr>
            <w:r>
              <w:rPr>
                <w:rFonts w:ascii="Times New Roman" w:eastAsia="宋体" w:hAnsi="Times New Roman" w:cs="Times New Roman"/>
                <w:position w:val="-12"/>
                <w:sz w:val="24"/>
                <w:szCs w:val="24"/>
              </w:rPr>
              <w:object w:dxaOrig="1953" w:dyaOrig="363">
                <v:shape id="_x0000_i1039" type="#_x0000_t75" style="width:97.25pt;height:18.25pt" o:ole="">
                  <v:imagedata r:id="rId35" o:title=""/>
                </v:shape>
                <o:OLEObject Type="Embed" ProgID="Equation.DSMT4" ShapeID="_x0000_i1039" DrawAspect="Content" ObjectID="_1845114707" r:id="rId36"/>
              </w:object>
            </w:r>
          </w:p>
        </w:tc>
        <w:tc>
          <w:tcPr>
            <w:tcW w:w="2546" w:type="dxa"/>
            <w:vAlign w:val="center"/>
          </w:tcPr>
          <w:p w:rsidR="001A3512" w:rsidRDefault="001A3512" w:rsidP="00A5323C">
            <w:pPr>
              <w:spacing w:before="120" w:after="200" w:line="480" w:lineRule="auto"/>
              <w:jc w:val="righ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(s13)</w:t>
            </w:r>
          </w:p>
        </w:tc>
      </w:tr>
    </w:tbl>
    <w:p w:rsidR="001A3512" w:rsidRDefault="001A3512" w:rsidP="00A5323C">
      <w:pPr>
        <w:pStyle w:val="TAMainText"/>
        <w:spacing w:after="200"/>
        <w:ind w:firstLine="0"/>
      </w:pPr>
      <w:proofErr w:type="spellStart"/>
      <w:r>
        <w:rPr>
          <w:i/>
        </w:rPr>
        <w:t>E</w:t>
      </w:r>
      <w:r>
        <w:rPr>
          <w:vertAlign w:val="subscript"/>
        </w:rPr>
        <w:t>cell</w:t>
      </w:r>
      <w:proofErr w:type="spellEnd"/>
      <w:r>
        <w:t xml:space="preserve"> greater than zero indicates that the corresponding reactions can proceed spontaneously. A positive </w:t>
      </w:r>
      <w:proofErr w:type="spellStart"/>
      <w:r>
        <w:rPr>
          <w:i/>
        </w:rPr>
        <w:t>E</w:t>
      </w:r>
      <w:r>
        <w:rPr>
          <w:vertAlign w:val="subscript"/>
        </w:rPr>
        <w:t>cell</w:t>
      </w:r>
      <w:proofErr w:type="spellEnd"/>
      <w:r>
        <w:t xml:space="preserve"> resulting from the coupling of cathodic reaction s6 and anodic reaction s10 — indicating a spontaneous electrochemical process within the CNM — accounts for the nonzero </w:t>
      </w:r>
      <w:proofErr w:type="spellStart"/>
      <w:r>
        <w:rPr>
          <w:i/>
        </w:rPr>
        <w:t>I</w:t>
      </w:r>
      <w:r>
        <w:rPr>
          <w:vertAlign w:val="subscript"/>
        </w:rPr>
        <w:t>sc</w:t>
      </w:r>
      <w:proofErr w:type="spellEnd"/>
      <w:r>
        <w:t>.</w:t>
      </w:r>
    </w:p>
    <w:p w:rsidR="001A3512" w:rsidRDefault="001A3512" w:rsidP="00A5323C">
      <w:pPr>
        <w:pStyle w:val="VCSchemeTitle"/>
        <w:rPr>
          <w:rFonts w:ascii="等线" w:hAnsi="等线"/>
          <w:szCs w:val="21"/>
        </w:rPr>
      </w:pPr>
      <w:r>
        <w:rPr>
          <w:b/>
          <w:bCs/>
          <w:szCs w:val="28"/>
        </w:rPr>
        <w:br w:type="page"/>
      </w:r>
      <w:r>
        <w:lastRenderedPageBreak/>
        <w:t>Note S4. Interaction between copper ions and the PAF nanochannels</w:t>
      </w:r>
    </w:p>
    <w:p w:rsidR="001A3512" w:rsidRDefault="001A3512" w:rsidP="00A5323C">
      <w:pPr>
        <w:pStyle w:val="TAMainText"/>
        <w:spacing w:after="200"/>
        <w:ind w:firstLine="0"/>
      </w:pPr>
      <w:r>
        <w:t xml:space="preserve">In 1 </w:t>
      </w:r>
      <w:r>
        <w:rPr>
          <w:rFonts w:hint="eastAsia"/>
        </w:rPr>
        <w:t>M</w:t>
      </w:r>
      <w:r>
        <w:t xml:space="preserve"> CuSO</w:t>
      </w:r>
      <w:r>
        <w:rPr>
          <w:vertAlign w:val="subscript"/>
        </w:rPr>
        <w:t>4</w:t>
      </w:r>
      <w:r>
        <w:t xml:space="preserve"> solution, PAF exhibits a weak positive zeta potential (~5 mV) (</w:t>
      </w:r>
      <w:r>
        <w:rPr>
          <w:color w:val="000000"/>
        </w:rPr>
        <w:t xml:space="preserve">fig. S2k and </w:t>
      </w:r>
      <w:r>
        <w:rPr>
          <w:rFonts w:hint="eastAsia"/>
          <w:color w:val="000000"/>
        </w:rPr>
        <w:t>l</w:t>
      </w:r>
      <w:r>
        <w:t>).</w:t>
      </w:r>
      <w:r>
        <w:rPr>
          <w:rFonts w:ascii="Segoe UI" w:hAnsi="Segoe UI" w:cs="Segoe UI"/>
          <w:sz w:val="23"/>
          <w:szCs w:val="23"/>
          <w:shd w:val="clear" w:color="auto" w:fill="F6F6F6"/>
        </w:rPr>
        <w:t xml:space="preserve"> </w:t>
      </w:r>
      <w:r>
        <w:t xml:space="preserve">Consequently, the interaction between </w:t>
      </w:r>
      <w:r>
        <w:rPr>
          <w:color w:val="000000"/>
        </w:rPr>
        <w:t>copper</w:t>
      </w:r>
      <w:r>
        <w:t xml:space="preserve"> ions and PAF is dominated primarily by chemical adsorption. Upon immersion in aqueous solutions, the PAF undergoes rapid surface hydroxylation, leading to the formation of surface hydroxyl groups [</w:t>
      </w:r>
      <w:r>
        <w:rPr>
          <w:rFonts w:hint="eastAsia"/>
        </w:rPr>
        <w:t>A</w:t>
      </w:r>
      <w:r>
        <w:t>l-OH].</w:t>
      </w:r>
      <w:r>
        <w:rPr>
          <w:rFonts w:hint="eastAsia"/>
        </w:rPr>
        <w:t xml:space="preserve"> </w:t>
      </w:r>
      <w:r>
        <w:t>These hydroxyl groups can stably coordinate with</w:t>
      </w:r>
      <w:r>
        <w:rPr>
          <w:rFonts w:ascii="Calibri" w:hAnsi="Calibri"/>
          <w:szCs w:val="21"/>
        </w:rPr>
        <w:t xml:space="preserve"> </w:t>
      </w:r>
      <w:r>
        <w:rPr>
          <w:color w:val="000000"/>
        </w:rPr>
        <w:t>copper</w:t>
      </w:r>
      <w:r>
        <w:t xml:space="preserve"> ions to form surface complexes, such as</w:t>
      </w:r>
      <w:r>
        <w:fldChar w:fldCharType="begin"/>
      </w:r>
      <w:r>
        <w:instrText xml:space="preserve"> ADDIN EN.CITE &lt;EndNote&gt;&lt;Cite&gt;&lt;Author&gt;McBride&lt;/Author&gt;&lt;Year&gt;1982&lt;/Year&gt;&lt;RecNum&gt;57&lt;/RecNum&gt;&lt;DisplayText&gt;(&lt;style face="italic"&gt;2&lt;/style&gt;)&lt;/DisplayText&gt;&lt;record&gt;&lt;rec-number&gt;57&lt;/rec-number&gt;&lt;foreign-keys&gt;&lt;key app="EN" db-id="w55vddfpr52d2serdwrpzx5uvxz0v0zpadsa" timestamp="1762864252"&gt;57&lt;/key&gt;&lt;/foreign-keys&gt;&lt;ref-type name="Journal Article"&gt;17&lt;/ref-type&gt;&lt;contributors&gt;&lt;authors&gt;&lt;author&gt;McBride, MB&lt;/author&gt;&lt;/authors&gt;&lt;/contributors&gt;&lt;titles&gt;&lt;title&gt;Cu2+-adsorption characteristics of aluminum hydroxide and oxyhydroxides&lt;/title&gt;&lt;secondary-title&gt;Clays and Clay Minerals&lt;/secondary-title&gt;&lt;/titles&gt;&lt;periodical&gt;&lt;full-title&gt;Clays and Clay Minerals&lt;/full-title&gt;&lt;/periodical&gt;&lt;pages&gt;21-28&lt;/pages&gt;&lt;volume&gt;30&lt;/volume&gt;&lt;number&gt;1&lt;/number&gt;&lt;dates&gt;&lt;year&gt;1982&lt;/year&gt;&lt;/dates&gt;&lt;isbn&gt;0009-8604&lt;/isbn&gt;&lt;urls&gt;&lt;/urls&gt;&lt;/record&gt;&lt;/Cite&gt;&lt;/EndNote&gt;</w:instrText>
      </w:r>
      <w:r>
        <w:fldChar w:fldCharType="separate"/>
      </w:r>
      <w:r>
        <w:t>(</w:t>
      </w:r>
      <w:r>
        <w:rPr>
          <w:i/>
        </w:rPr>
        <w:t>55</w:t>
      </w:r>
      <w:r>
        <w:t>)</w:t>
      </w:r>
      <w:r>
        <w:fldChar w:fldCharType="end"/>
      </w:r>
      <w:r>
        <w:t>:</w:t>
      </w:r>
    </w:p>
    <w:tbl>
      <w:tblPr>
        <w:tblW w:w="9209" w:type="dxa"/>
        <w:tblLook w:val="04A0" w:firstRow="1" w:lastRow="0" w:firstColumn="1" w:lastColumn="0" w:noHBand="0" w:noVBand="1"/>
      </w:tblPr>
      <w:tblGrid>
        <w:gridCol w:w="2465"/>
        <w:gridCol w:w="4378"/>
        <w:gridCol w:w="2366"/>
      </w:tblGrid>
      <w:tr w:rsidR="001A3512" w:rsidTr="004658B8">
        <w:tc>
          <w:tcPr>
            <w:tcW w:w="3114" w:type="dxa"/>
          </w:tcPr>
          <w:p w:rsidR="001A3512" w:rsidRDefault="001A3512" w:rsidP="00A5323C">
            <w:pPr>
              <w:spacing w:before="120" w:after="200" w:line="480" w:lineRule="auto"/>
              <w:rPr>
                <w:rFonts w:ascii="Times New Roman" w:eastAsia="宋体" w:hAnsi="Times New Roman" w:cs="Times New Roman"/>
                <w:bCs/>
                <w:kern w:val="0"/>
                <w:sz w:val="24"/>
                <w:szCs w:val="24"/>
              </w:rPr>
            </w:pPr>
          </w:p>
        </w:tc>
        <w:tc>
          <w:tcPr>
            <w:tcW w:w="3249" w:type="dxa"/>
          </w:tcPr>
          <w:p w:rsidR="001A3512" w:rsidRDefault="001A3512" w:rsidP="00A5323C">
            <w:pPr>
              <w:spacing w:before="120" w:after="200" w:line="480" w:lineRule="auto"/>
              <w:jc w:val="center"/>
              <w:rPr>
                <w:rFonts w:ascii="Times New Roman" w:eastAsia="宋体" w:hAnsi="Times New Roman" w:cs="Times New Roman"/>
                <w:sz w:val="24"/>
                <w:szCs w:val="24"/>
              </w:rPr>
            </w:pPr>
            <w:r>
              <w:rPr>
                <w:rFonts w:ascii="Times New Roman" w:eastAsia="宋体" w:hAnsi="Times New Roman" w:cs="Times New Roman"/>
                <w:position w:val="-10"/>
                <w:sz w:val="24"/>
                <w:szCs w:val="24"/>
              </w:rPr>
              <w:object w:dxaOrig="3769" w:dyaOrig="363">
                <v:shape id="_x0000_i1040" type="#_x0000_t75" style="width:188.4pt;height:18.25pt" o:ole="">
                  <v:imagedata r:id="rId37" o:title=""/>
                </v:shape>
                <o:OLEObject Type="Embed" ProgID="Equation.DSMT4" ShapeID="_x0000_i1040" DrawAspect="Content" ObjectID="_1845114708" r:id="rId38"/>
              </w:object>
            </w:r>
          </w:p>
        </w:tc>
        <w:tc>
          <w:tcPr>
            <w:tcW w:w="2846" w:type="dxa"/>
            <w:vAlign w:val="center"/>
          </w:tcPr>
          <w:p w:rsidR="001A3512" w:rsidRDefault="001A3512" w:rsidP="00A5323C">
            <w:pPr>
              <w:spacing w:before="120" w:after="200" w:line="480" w:lineRule="auto"/>
              <w:jc w:val="righ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(s14)</w:t>
            </w:r>
          </w:p>
        </w:tc>
      </w:tr>
      <w:tr w:rsidR="001A3512" w:rsidTr="004658B8">
        <w:tc>
          <w:tcPr>
            <w:tcW w:w="3114" w:type="dxa"/>
          </w:tcPr>
          <w:p w:rsidR="001A3512" w:rsidRDefault="001A3512" w:rsidP="00A5323C">
            <w:pPr>
              <w:spacing w:before="120" w:after="200" w:line="480" w:lineRule="auto"/>
              <w:rPr>
                <w:rFonts w:ascii="Times New Roman" w:eastAsia="宋体" w:hAnsi="Times New Roman" w:cs="Times New Roman"/>
                <w:bCs/>
                <w:kern w:val="0"/>
                <w:sz w:val="24"/>
                <w:szCs w:val="24"/>
              </w:rPr>
            </w:pPr>
          </w:p>
        </w:tc>
        <w:tc>
          <w:tcPr>
            <w:tcW w:w="3249" w:type="dxa"/>
          </w:tcPr>
          <w:p w:rsidR="001A3512" w:rsidRDefault="001A3512" w:rsidP="00A5323C">
            <w:pPr>
              <w:spacing w:before="120" w:after="200" w:line="480" w:lineRule="auto"/>
              <w:jc w:val="center"/>
              <w:rPr>
                <w:rFonts w:ascii="Times New Roman" w:eastAsia="宋体" w:hAnsi="Times New Roman" w:cs="Times New Roman"/>
                <w:sz w:val="24"/>
                <w:szCs w:val="24"/>
              </w:rPr>
            </w:pPr>
            <w:r>
              <w:rPr>
                <w:rFonts w:ascii="Times New Roman" w:eastAsia="宋体" w:hAnsi="Times New Roman" w:cs="Times New Roman"/>
                <w:position w:val="-10"/>
                <w:sz w:val="24"/>
                <w:szCs w:val="24"/>
              </w:rPr>
              <w:object w:dxaOrig="4157" w:dyaOrig="363">
                <v:shape id="_x0000_i1041" type="#_x0000_t75" style="width:208.05pt;height:18.25pt" o:ole="">
                  <v:imagedata r:id="rId39" o:title=""/>
                </v:shape>
                <o:OLEObject Type="Embed" ProgID="Equation.DSMT4" ShapeID="_x0000_i1041" DrawAspect="Content" ObjectID="_1845114709" r:id="rId40"/>
              </w:object>
            </w:r>
          </w:p>
        </w:tc>
        <w:tc>
          <w:tcPr>
            <w:tcW w:w="2846" w:type="dxa"/>
            <w:vAlign w:val="center"/>
          </w:tcPr>
          <w:p w:rsidR="001A3512" w:rsidRDefault="001A3512" w:rsidP="00A5323C">
            <w:pPr>
              <w:spacing w:before="120" w:after="200" w:line="480" w:lineRule="auto"/>
              <w:jc w:val="righ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(s15)</w:t>
            </w:r>
          </w:p>
        </w:tc>
      </w:tr>
    </w:tbl>
    <w:p w:rsidR="001A3512" w:rsidRDefault="001A3512" w:rsidP="00A5323C">
      <w:pPr>
        <w:pStyle w:val="TAMainText"/>
        <w:spacing w:after="200"/>
        <w:ind w:firstLine="0"/>
      </w:pPr>
      <w:r>
        <w:t>X-ray photoelectron spectroscopy (XPS) is employed to verify the copper ion adsorption capacity of PAF: the PAF is first extracted from CNM, then repeatedly rinsed and soaked in deionized water to remove residual electrolytes. The XPS spectra reveal a distinct copper signal on the PAF (fig. S7</w:t>
      </w:r>
      <w:r>
        <w:rPr>
          <w:rFonts w:hint="eastAsia"/>
        </w:rPr>
        <w:t>a</w:t>
      </w:r>
      <w:r>
        <w:t>)</w:t>
      </w:r>
      <w:r>
        <w:fldChar w:fldCharType="begin"/>
      </w:r>
      <w:r>
        <w:instrText xml:space="preserve"> ADDIN EN.CITE &lt;EndNote&gt;&lt;Cite&gt;&lt;Author&gt;Ghodselahi&lt;/Author&gt;&lt;Year&gt;2008&lt;/Year&gt;&lt;RecNum&gt;58&lt;/RecNum&gt;&lt;DisplayText&gt;(&lt;style face="italic"&gt;3&lt;/style&gt;)&lt;/DisplayText&gt;&lt;record&gt;&lt;rec-number&gt;58&lt;/rec-number&gt;&lt;foreign-keys&gt;&lt;key app="EN" db-id="w55vddfpr52d2serdwrpzx5uvxz0v0zpadsa" timestamp="1762864267"&gt;58&lt;/key&gt;&lt;/foreign-keys&gt;&lt;ref-type name="Journal Article"&gt;17&lt;/ref-type&gt;&lt;contributors&gt;&lt;authors&gt;&lt;author&gt;Ghodselahi, T&lt;/author&gt;&lt;author&gt;Vesaghi, MA&lt;/author&gt;&lt;author&gt;Shafiekhani, A&lt;/author&gt;&lt;author&gt;Baghizadeh, A&lt;/author&gt;&lt;author&gt;Lameii, M&lt;/author&gt;&lt;/authors&gt;&lt;/contributors&gt;&lt;titles&gt;&lt;title&gt;XPS study of the Cu@ Cu2O core-shell nanoparticles&lt;/title&gt;&lt;secondary-title&gt;Applied Surface Science&lt;/secondary-title&gt;&lt;/titles&gt;&lt;periodical&gt;&lt;full-title&gt;Applied Surface Science&lt;/full-title&gt;&lt;/periodical&gt;&lt;pages&gt;2730-2734&lt;/pages&gt;&lt;volume&gt;255&lt;/volume&gt;&lt;number&gt;5&lt;/number&gt;&lt;dates&gt;&lt;year&gt;2008&lt;/year&gt;&lt;/dates&gt;&lt;isbn&gt;0169-4332&lt;/isbn&gt;&lt;urls&gt;&lt;/urls&gt;&lt;/record&gt;&lt;/Cite&gt;&lt;/EndNote&gt;</w:instrText>
      </w:r>
      <w:r>
        <w:fldChar w:fldCharType="separate"/>
      </w:r>
      <w:r>
        <w:t>(</w:t>
      </w:r>
      <w:r>
        <w:rPr>
          <w:i/>
        </w:rPr>
        <w:t>6</w:t>
      </w:r>
      <w:r w:rsidR="00533396">
        <w:rPr>
          <w:i/>
        </w:rPr>
        <w:t>5</w:t>
      </w:r>
      <w:r>
        <w:t>)</w:t>
      </w:r>
      <w:r>
        <w:fldChar w:fldCharType="end"/>
      </w:r>
      <w:r>
        <w:t>.</w:t>
      </w:r>
    </w:p>
    <w:p w:rsidR="001A3512" w:rsidRDefault="001A3512" w:rsidP="00A5323C">
      <w:pPr>
        <w:pStyle w:val="TAMainText"/>
        <w:spacing w:after="200"/>
        <w:ind w:firstLine="420"/>
        <w:rPr>
          <w:rFonts w:eastAsia="等线"/>
          <w:color w:val="000000"/>
        </w:rPr>
      </w:pPr>
      <w:r>
        <w:rPr>
          <w:rFonts w:eastAsia="等线"/>
          <w:color w:val="000000"/>
        </w:rPr>
        <w:t xml:space="preserve">Furthermore, to confirm that the </w:t>
      </w:r>
      <w:proofErr w:type="spellStart"/>
      <w:r>
        <w:rPr>
          <w:rFonts w:eastAsia="等线"/>
          <w:color w:val="000000"/>
        </w:rPr>
        <w:t>memristive</w:t>
      </w:r>
      <w:proofErr w:type="spellEnd"/>
      <w:r>
        <w:rPr>
          <w:rFonts w:eastAsia="等线"/>
          <w:color w:val="000000"/>
        </w:rPr>
        <w:t xml:space="preserve"> effect originates from the interaction between PAF nanochannels and Cu²⁺, we performed a control experiment using a sulfate-based electrolyte free of Cu²⁺ ions by measuring the </w:t>
      </w:r>
      <w:r>
        <w:rPr>
          <w:rFonts w:eastAsia="等线"/>
          <w:i/>
          <w:color w:val="000000"/>
        </w:rPr>
        <w:t>I-V</w:t>
      </w:r>
      <w:r>
        <w:rPr>
          <w:rFonts w:eastAsia="等线"/>
          <w:color w:val="000000"/>
        </w:rPr>
        <w:t xml:space="preserve"> characteristics in a 1 M Na</w:t>
      </w:r>
      <w:r>
        <w:rPr>
          <w:rFonts w:eastAsia="等线"/>
          <w:color w:val="000000"/>
          <w:vertAlign w:val="subscript"/>
        </w:rPr>
        <w:t>2</w:t>
      </w:r>
      <w:r>
        <w:rPr>
          <w:rFonts w:eastAsia="等线"/>
          <w:color w:val="000000"/>
        </w:rPr>
        <w:t>SO₄ aqueous solution</w:t>
      </w:r>
      <w:r>
        <w:rPr>
          <w:rFonts w:eastAsia="等线"/>
        </w:rPr>
        <w:t xml:space="preserve">. The </w:t>
      </w:r>
      <w:r>
        <w:rPr>
          <w:rFonts w:eastAsia="等线"/>
          <w:i/>
          <w:iCs/>
          <w:color w:val="000000"/>
        </w:rPr>
        <w:t>I</w:t>
      </w:r>
      <w:r>
        <w:rPr>
          <w:rFonts w:eastAsia="等线"/>
          <w:color w:val="000000"/>
        </w:rPr>
        <w:t>-</w:t>
      </w:r>
      <w:r>
        <w:rPr>
          <w:rFonts w:eastAsia="等线"/>
          <w:i/>
          <w:iCs/>
          <w:color w:val="000000"/>
        </w:rPr>
        <w:t>V</w:t>
      </w:r>
      <w:r>
        <w:rPr>
          <w:rFonts w:eastAsia="等线"/>
          <w:color w:val="000000"/>
        </w:rPr>
        <w:t xml:space="preserve"> curve exhibits a purely linear ohmic response, </w:t>
      </w:r>
      <w:r>
        <w:rPr>
          <w:rFonts w:eastAsia="等线"/>
        </w:rPr>
        <w:t>with forward and backward scan curves forming a clockwise loop</w:t>
      </w:r>
      <w:r>
        <w:rPr>
          <w:rFonts w:ascii="Segoe UI" w:eastAsia="等线" w:hAnsi="Segoe UI" w:cs="Segoe UI"/>
          <w:sz w:val="23"/>
          <w:szCs w:val="23"/>
          <w:shd w:val="clear" w:color="auto" w:fill="F6F6F6"/>
        </w:rPr>
        <w:t xml:space="preserve"> </w:t>
      </w:r>
      <w:r>
        <w:rPr>
          <w:rFonts w:eastAsia="等线"/>
        </w:rPr>
        <w:t>resembling a capacitance curve (fig. S7b). Notably, a control device with a corundum film</w:t>
      </w:r>
      <w:r>
        <w:rPr>
          <w:rFonts w:eastAsia="等线" w:hint="eastAsia"/>
        </w:rPr>
        <w:t>,</w:t>
      </w:r>
      <w:r>
        <w:rPr>
          <w:rFonts w:eastAsia="等线"/>
        </w:rPr>
        <w:t xml:space="preserve"> which we consider a PAF without functional nanochannels, exhibits no </w:t>
      </w:r>
      <w:proofErr w:type="spellStart"/>
      <w:r>
        <w:rPr>
          <w:rFonts w:eastAsia="等线"/>
        </w:rPr>
        <w:t>memristive</w:t>
      </w:r>
      <w:proofErr w:type="spellEnd"/>
      <w:r>
        <w:rPr>
          <w:rFonts w:eastAsia="等线"/>
        </w:rPr>
        <w:t xml:space="preserve"> </w:t>
      </w:r>
      <w:r>
        <w:rPr>
          <w:rFonts w:eastAsia="等线"/>
        </w:rPr>
        <w:lastRenderedPageBreak/>
        <w:t>behavior (f</w:t>
      </w:r>
      <w:r>
        <w:rPr>
          <w:rFonts w:eastAsia="等线"/>
          <w:color w:val="000000"/>
        </w:rPr>
        <w:t>ig. S7c)</w:t>
      </w:r>
      <w:r>
        <w:rPr>
          <w:rFonts w:eastAsia="等线"/>
        </w:rPr>
        <w:t xml:space="preserve">. These results collectively attribute the observed </w:t>
      </w:r>
      <w:proofErr w:type="spellStart"/>
      <w:r>
        <w:rPr>
          <w:rFonts w:eastAsia="等线"/>
        </w:rPr>
        <w:t>memristive</w:t>
      </w:r>
      <w:proofErr w:type="spellEnd"/>
      <w:r>
        <w:rPr>
          <w:rFonts w:eastAsia="等线"/>
        </w:rPr>
        <w:t xml:space="preserve"> </w:t>
      </w:r>
      <w:r>
        <w:rPr>
          <w:rFonts w:eastAsia="等线"/>
          <w:color w:val="000000"/>
        </w:rPr>
        <w:t>behavior</w:t>
      </w:r>
      <w:r>
        <w:rPr>
          <w:rFonts w:eastAsia="等线"/>
        </w:rPr>
        <w:t xml:space="preserve"> to the interaction between copper ions and the PAF nanochannels.</w:t>
      </w:r>
    </w:p>
    <w:p w:rsidR="001A3512" w:rsidRDefault="001A3512" w:rsidP="00A5323C">
      <w:pPr>
        <w:widowControl/>
        <w:spacing w:before="120" w:after="200" w:line="480" w:lineRule="auto"/>
        <w:jc w:val="left"/>
        <w:rPr>
          <w:rFonts w:ascii="Times New Roman" w:hAnsi="Times New Roman" w:cs="Times New Roman"/>
          <w:b/>
          <w:bCs/>
          <w:sz w:val="24"/>
          <w:szCs w:val="28"/>
        </w:rPr>
      </w:pPr>
      <w:r>
        <w:rPr>
          <w:rFonts w:ascii="Times New Roman" w:hAnsi="Times New Roman" w:cs="Times New Roman"/>
          <w:b/>
          <w:bCs/>
          <w:sz w:val="24"/>
          <w:szCs w:val="28"/>
        </w:rPr>
        <w:br w:type="page"/>
      </w:r>
    </w:p>
    <w:p w:rsidR="001A3512" w:rsidRDefault="001A3512" w:rsidP="00A5323C">
      <w:pPr>
        <w:spacing w:before="120" w:after="200"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132D6F7" wp14:editId="666D8C5B">
            <wp:extent cx="3060000" cy="2552400"/>
            <wp:effectExtent l="0" t="0" r="762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60000" cy="2552400"/>
                    </a:xfrm>
                    <a:prstGeom prst="rect">
                      <a:avLst/>
                    </a:prstGeom>
                  </pic:spPr>
                </pic:pic>
              </a:graphicData>
            </a:graphic>
          </wp:inline>
        </w:drawing>
      </w:r>
    </w:p>
    <w:p w:rsidR="001A3512" w:rsidRDefault="001A3512" w:rsidP="00A5323C">
      <w:pPr>
        <w:pStyle w:val="VAFigureCaption"/>
      </w:pPr>
      <w:r>
        <w:rPr>
          <w:b/>
          <w:bCs/>
        </w:rPr>
        <w:t>Fig</w:t>
      </w:r>
      <w:r>
        <w:rPr>
          <w:rFonts w:hint="eastAsia"/>
          <w:b/>
          <w:bCs/>
          <w:lang w:eastAsia="zh-CN"/>
        </w:rPr>
        <w:t>.</w:t>
      </w:r>
      <w:r>
        <w:rPr>
          <w:b/>
          <w:bCs/>
        </w:rPr>
        <w:t xml:space="preserve"> </w:t>
      </w:r>
      <w:r>
        <w:rPr>
          <w:rFonts w:hint="eastAsia"/>
          <w:b/>
          <w:bCs/>
        </w:rPr>
        <w:t>S</w:t>
      </w:r>
      <w:r>
        <w:rPr>
          <w:b/>
          <w:bCs/>
        </w:rPr>
        <w:t>1</w:t>
      </w:r>
      <w:r w:rsidR="00022A16">
        <w:rPr>
          <w:b/>
          <w:bCs/>
        </w:rPr>
        <w:t>:</w:t>
      </w:r>
      <w:r>
        <w:rPr>
          <w:b/>
          <w:bCs/>
        </w:rPr>
        <w:t xml:space="preserve"> </w:t>
      </w:r>
      <w:bookmarkStart w:id="7" w:name="_Hlk172021929"/>
      <w:r>
        <w:rPr>
          <w:rFonts w:hint="eastAsia"/>
          <w:b/>
          <w:bCs/>
        </w:rPr>
        <w:t>D</w:t>
      </w:r>
      <w:r>
        <w:rPr>
          <w:b/>
          <w:bCs/>
        </w:rPr>
        <w:t xml:space="preserve">etailed fabrication process of </w:t>
      </w:r>
      <w:bookmarkEnd w:id="7"/>
      <w:r>
        <w:rPr>
          <w:b/>
          <w:bCs/>
        </w:rPr>
        <w:t>C</w:t>
      </w:r>
      <w:r>
        <w:rPr>
          <w:rFonts w:hint="eastAsia"/>
          <w:b/>
          <w:bCs/>
        </w:rPr>
        <w:t>NM.</w:t>
      </w:r>
      <w:r>
        <w:rPr>
          <w:b/>
          <w:bCs/>
        </w:rPr>
        <w:t xml:space="preserve"> </w:t>
      </w:r>
      <w:r>
        <w:t>(</w:t>
      </w:r>
      <w:r>
        <w:rPr>
          <w:b/>
        </w:rPr>
        <w:t>a</w:t>
      </w:r>
      <w:r>
        <w:t>) Pretreatment. (</w:t>
      </w:r>
      <w:r>
        <w:rPr>
          <w:b/>
        </w:rPr>
        <w:t>b</w:t>
      </w:r>
      <w:r>
        <w:t>) Curing PDMS to prepare a reservoir. (</w:t>
      </w:r>
      <w:r>
        <w:rPr>
          <w:b/>
        </w:rPr>
        <w:t>c</w:t>
      </w:r>
      <w:r>
        <w:t>) Transferring PAF and injecting CuSO</w:t>
      </w:r>
      <w:r>
        <w:rPr>
          <w:vertAlign w:val="subscript"/>
        </w:rPr>
        <w:t>4</w:t>
      </w:r>
      <w:r>
        <w:t xml:space="preserve"> solution. (</w:t>
      </w:r>
      <w:r>
        <w:rPr>
          <w:b/>
        </w:rPr>
        <w:t>d</w:t>
      </w:r>
      <w:r>
        <w:t>) Encapsulation.</w:t>
      </w:r>
    </w:p>
    <w:p w:rsidR="001A3512" w:rsidRDefault="001A3512" w:rsidP="00A5323C">
      <w:pPr>
        <w:widowControl/>
        <w:spacing w:before="120" w:after="200" w:line="480" w:lineRule="auto"/>
        <w:jc w:val="left"/>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1A3512" w:rsidRDefault="001A3512" w:rsidP="00A5323C">
      <w:pPr>
        <w:spacing w:before="120" w:after="200"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3AE7BF8" wp14:editId="27D684B4">
            <wp:extent cx="5039995" cy="57740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40000" cy="5774400"/>
                    </a:xfrm>
                    <a:prstGeom prst="rect">
                      <a:avLst/>
                    </a:prstGeom>
                  </pic:spPr>
                </pic:pic>
              </a:graphicData>
            </a:graphic>
          </wp:inline>
        </w:drawing>
      </w:r>
    </w:p>
    <w:p w:rsidR="001A3512" w:rsidRDefault="001A3512" w:rsidP="00A5323C">
      <w:pPr>
        <w:pStyle w:val="VAFigureCaption"/>
        <w:rPr>
          <w:color w:val="000000" w:themeColor="text1"/>
        </w:rPr>
      </w:pPr>
      <w:r>
        <w:rPr>
          <w:b/>
          <w:bCs/>
        </w:rPr>
        <w:t>Fig</w:t>
      </w:r>
      <w:r>
        <w:rPr>
          <w:rFonts w:hint="eastAsia"/>
          <w:b/>
          <w:bCs/>
          <w:lang w:eastAsia="zh-CN"/>
        </w:rPr>
        <w:t xml:space="preserve">. </w:t>
      </w:r>
      <w:r>
        <w:rPr>
          <w:b/>
          <w:bCs/>
        </w:rPr>
        <w:t>S2</w:t>
      </w:r>
      <w:r w:rsidR="00022A16">
        <w:rPr>
          <w:b/>
          <w:bCs/>
        </w:rPr>
        <w:t>:</w:t>
      </w:r>
      <w:r>
        <w:rPr>
          <w:b/>
          <w:bCs/>
        </w:rPr>
        <w:t xml:space="preserve"> Characterizations of PAF.</w:t>
      </w:r>
      <w:r>
        <w:t xml:space="preserve"> SEM images of PAF’s (</w:t>
      </w:r>
      <w:r>
        <w:rPr>
          <w:b/>
        </w:rPr>
        <w:t>a</w:t>
      </w:r>
      <w:r>
        <w:t>) top and (</w:t>
      </w:r>
      <w:r>
        <w:rPr>
          <w:b/>
        </w:rPr>
        <w:t>b</w:t>
      </w:r>
      <w:r>
        <w:t>) bottom surfaces, with scale bars of 100 nm. (</w:t>
      </w:r>
      <w:r>
        <w:rPr>
          <w:b/>
        </w:rPr>
        <w:t>c</w:t>
      </w:r>
      <w:r>
        <w:t>) Distributions of pore diameters on the top surface (</w:t>
      </w:r>
      <w:r>
        <w:rPr>
          <w:i/>
          <w:iCs/>
        </w:rPr>
        <w:t>D</w:t>
      </w:r>
      <w:r>
        <w:t>) and bottom surface (</w:t>
      </w:r>
      <w:r>
        <w:rPr>
          <w:i/>
          <w:iCs/>
        </w:rPr>
        <w:t>d</w:t>
      </w:r>
      <w:r>
        <w:t xml:space="preserve">). </w:t>
      </w:r>
      <w:r>
        <w:rPr>
          <w:rFonts w:hint="eastAsia"/>
        </w:rPr>
        <w:t>(</w:t>
      </w:r>
      <w:r>
        <w:rPr>
          <w:b/>
        </w:rPr>
        <w:t>d</w:t>
      </w:r>
      <w:r>
        <w:t>) and (</w:t>
      </w:r>
      <w:r>
        <w:rPr>
          <w:b/>
        </w:rPr>
        <w:t>e</w:t>
      </w:r>
      <w:r>
        <w:t xml:space="preserve">) Cross-sectional SEM images of PAF, with scale bars of 10 </w:t>
      </w:r>
      <w:proofErr w:type="spellStart"/>
      <w:r>
        <w:t>μm</w:t>
      </w:r>
      <w:proofErr w:type="spellEnd"/>
      <w:r>
        <w:t xml:space="preserve"> and 100 nm, respectively. (</w:t>
      </w:r>
      <w:r>
        <w:rPr>
          <w:b/>
        </w:rPr>
        <w:t>f</w:t>
      </w:r>
      <w:r>
        <w:t xml:space="preserve">) Cross-sectional SEM image of the bottom surface, with a scale bar of 100 nm. </w:t>
      </w:r>
      <w:r>
        <w:rPr>
          <w:color w:val="000000" w:themeColor="text1"/>
        </w:rPr>
        <w:t>(</w:t>
      </w:r>
      <w:r>
        <w:rPr>
          <w:b/>
          <w:color w:val="000000" w:themeColor="text1"/>
        </w:rPr>
        <w:t>g</w:t>
      </w:r>
      <w:r>
        <w:rPr>
          <w:color w:val="000000" w:themeColor="text1"/>
        </w:rPr>
        <w:t xml:space="preserve">) </w:t>
      </w:r>
      <w:r>
        <w:rPr>
          <w:rFonts w:hint="eastAsia"/>
        </w:rPr>
        <w:t>XRD</w:t>
      </w:r>
      <w:r>
        <w:t xml:space="preserve"> spectrum of </w:t>
      </w:r>
      <w:r>
        <w:rPr>
          <w:color w:val="000000" w:themeColor="text1"/>
        </w:rPr>
        <w:t>PAF,</w:t>
      </w:r>
      <w:r>
        <w:t xml:space="preserve"> showing a broad peak around 30°. (</w:t>
      </w:r>
      <w:r>
        <w:rPr>
          <w:b/>
          <w:bCs/>
        </w:rPr>
        <w:t>h</w:t>
      </w:r>
      <w:r>
        <w:t xml:space="preserve">) FTIR spectrum of PAF, with no </w:t>
      </w:r>
      <w:r>
        <w:lastRenderedPageBreak/>
        <w:t>significant absorption peak. (</w:t>
      </w:r>
      <w:proofErr w:type="spellStart"/>
      <w:r>
        <w:rPr>
          <w:b/>
          <w:bCs/>
        </w:rPr>
        <w:t>i</w:t>
      </w:r>
      <w:proofErr w:type="spellEnd"/>
      <w:r>
        <w:t xml:space="preserve">) EDS spectrum of PAF. </w:t>
      </w:r>
      <w:bookmarkStart w:id="8" w:name="_Hlk166513006"/>
      <w:r>
        <w:t>(</w:t>
      </w:r>
      <w:r>
        <w:rPr>
          <w:b/>
          <w:bCs/>
        </w:rPr>
        <w:t>j</w:t>
      </w:r>
      <w:r>
        <w:t>) SEM image of PAF and corresponding elemental EDS maps</w:t>
      </w:r>
      <w:bookmarkEnd w:id="8"/>
      <w:r>
        <w:t xml:space="preserve"> of aluminum and oxygen elements, with scale bars of 2.5 </w:t>
      </w:r>
      <w:proofErr w:type="spellStart"/>
      <w:r>
        <w:t>μm</w:t>
      </w:r>
      <w:proofErr w:type="spellEnd"/>
      <w:r>
        <w:t>. (</w:t>
      </w:r>
      <w:r>
        <w:rPr>
          <w:b/>
          <w:bCs/>
        </w:rPr>
        <w:t>k</w:t>
      </w:r>
      <w:r>
        <w:t xml:space="preserve">) </w:t>
      </w:r>
      <w:r>
        <w:rPr>
          <w:rFonts w:hint="eastAsia"/>
        </w:rPr>
        <w:t>Z</w:t>
      </w:r>
      <w:r>
        <w:t>eta potential graph of PAF, with the isoelectric point (IEP) of ~4.22. (</w:t>
      </w:r>
      <w:r>
        <w:rPr>
          <w:b/>
          <w:bCs/>
        </w:rPr>
        <w:t>l</w:t>
      </w:r>
      <w:r>
        <w:t>) Plot of the concentration</w:t>
      </w:r>
      <w:r>
        <w:rPr>
          <w:rFonts w:hint="eastAsia"/>
        </w:rPr>
        <w:t>s</w:t>
      </w:r>
      <w:r>
        <w:t xml:space="preserve"> and pH values of the CuSO4 solutions. </w:t>
      </w:r>
      <w:r>
        <w:rPr>
          <w:color w:val="000000" w:themeColor="text1"/>
        </w:rPr>
        <w:br w:type="page"/>
      </w:r>
    </w:p>
    <w:p w:rsidR="001A3512" w:rsidRDefault="001A3512" w:rsidP="00A5323C">
      <w:pPr>
        <w:widowControl/>
        <w:spacing w:before="120" w:after="200" w:line="480" w:lineRule="auto"/>
        <w:jc w:val="center"/>
        <w:rPr>
          <w:rFonts w:ascii="Times New Roman" w:hAnsi="Times New Roman" w:cs="Times New Roman"/>
          <w:color w:val="000000" w:themeColor="text1"/>
          <w:sz w:val="24"/>
          <w:szCs w:val="24"/>
        </w:rPr>
      </w:pPr>
      <w:r>
        <w:rPr>
          <w:rFonts w:ascii="Times New Roman" w:hAnsi="Times New Roman" w:cs="Times New Roman" w:hint="eastAsia"/>
          <w:noProof/>
          <w:color w:val="000000" w:themeColor="text1"/>
          <w:sz w:val="24"/>
          <w:szCs w:val="24"/>
        </w:rPr>
        <w:lastRenderedPageBreak/>
        <w:drawing>
          <wp:inline distT="0" distB="0" distL="0" distR="0" wp14:anchorId="6BADBC4A" wp14:editId="031D46FE">
            <wp:extent cx="5274310" cy="29032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74310" cy="2903220"/>
                    </a:xfrm>
                    <a:prstGeom prst="rect">
                      <a:avLst/>
                    </a:prstGeom>
                  </pic:spPr>
                </pic:pic>
              </a:graphicData>
            </a:graphic>
          </wp:inline>
        </w:drawing>
      </w:r>
    </w:p>
    <w:p w:rsidR="001A3512" w:rsidRDefault="001A3512" w:rsidP="00A5323C">
      <w:pPr>
        <w:pStyle w:val="VAFigureCaption"/>
      </w:pPr>
      <w:r>
        <w:rPr>
          <w:b/>
        </w:rPr>
        <w:t>Fig. S3</w:t>
      </w:r>
      <w:r w:rsidR="00022A16">
        <w:rPr>
          <w:b/>
        </w:rPr>
        <w:t>:</w:t>
      </w:r>
      <w:r>
        <w:rPr>
          <w:b/>
        </w:rPr>
        <w:t xml:space="preserve"> </w:t>
      </w:r>
      <w:r>
        <w:rPr>
          <w:b/>
          <w:i/>
        </w:rPr>
        <w:t>I-V</w:t>
      </w:r>
      <w:r>
        <w:rPr>
          <w:b/>
        </w:rPr>
        <w:t xml:space="preserve"> curves of CNM.</w:t>
      </w:r>
      <w:r>
        <w:t xml:space="preserve"> (</w:t>
      </w:r>
      <w:r>
        <w:rPr>
          <w:b/>
        </w:rPr>
        <w:t>a</w:t>
      </w:r>
      <w:r>
        <w:t xml:space="preserve">) </w:t>
      </w:r>
      <w:r>
        <w:rPr>
          <w:i/>
        </w:rPr>
        <w:t>I-V</w:t>
      </w:r>
      <w:r>
        <w:t xml:space="preserve"> curves of CNM in 1 M CuSO</w:t>
      </w:r>
      <w:r>
        <w:rPr>
          <w:vertAlign w:val="subscript"/>
        </w:rPr>
        <w:t>4</w:t>
      </w:r>
      <w:r>
        <w:t xml:space="preserve"> aqueous solution under a DC scan with a scan rate of 0.2 mV/step. (</w:t>
      </w:r>
      <w:r>
        <w:rPr>
          <w:b/>
        </w:rPr>
        <w:t>b-f</w:t>
      </w:r>
      <w:r>
        <w:t xml:space="preserve">) </w:t>
      </w:r>
      <w:r>
        <w:rPr>
          <w:i/>
        </w:rPr>
        <w:t>I-V</w:t>
      </w:r>
      <w:r>
        <w:t xml:space="preserve"> curves of CNM under DC scans with the voltage range set from 100 mV to 500 mV in 100 mV increments. The scan rate is set as 2 mV/step. The arrows indicate the scan direction. Notably, the ICR effect vanishes when the voltage exceeds 100 mV; however, CNM continues to exhibit </w:t>
      </w:r>
      <w:proofErr w:type="spellStart"/>
      <w:r>
        <w:t>memristive</w:t>
      </w:r>
      <w:proofErr w:type="spellEnd"/>
      <w:r>
        <w:t xml:space="preserve"> behavior. This behavior is independent of ion adsorption and desorption, and is instead attributed to changes in the overpotential </w:t>
      </w:r>
      <w:proofErr w:type="spellStart"/>
      <w:r>
        <w:rPr>
          <w:i/>
        </w:rPr>
        <w:t>E</w:t>
      </w:r>
      <w:r>
        <w:rPr>
          <w:vertAlign w:val="subscript"/>
        </w:rPr>
        <w:t>o</w:t>
      </w:r>
      <w:proofErr w:type="spellEnd"/>
      <w:r>
        <w:t xml:space="preserve">. Specifically, </w:t>
      </w:r>
      <w:proofErr w:type="spellStart"/>
      <w:r>
        <w:rPr>
          <w:i/>
        </w:rPr>
        <w:t>E</w:t>
      </w:r>
      <w:r>
        <w:rPr>
          <w:vertAlign w:val="subscript"/>
        </w:rPr>
        <w:t>o</w:t>
      </w:r>
      <w:proofErr w:type="spellEnd"/>
      <w:r>
        <w:t xml:space="preserve"> is lower during positive voltage scanning compared to negative voltage scanning. </w:t>
      </w:r>
    </w:p>
    <w:p w:rsidR="001A3512" w:rsidRDefault="001A3512" w:rsidP="00A5323C">
      <w:pPr>
        <w:pStyle w:val="VAFigureCaption"/>
        <w:rPr>
          <w:b/>
          <w:bCs/>
        </w:rPr>
      </w:pPr>
      <w:r>
        <w:rPr>
          <w:b/>
          <w:bCs/>
        </w:rPr>
        <w:br w:type="page"/>
      </w:r>
    </w:p>
    <w:p w:rsidR="001A3512" w:rsidRDefault="00714B0C" w:rsidP="00A5323C">
      <w:pPr>
        <w:widowControl/>
        <w:spacing w:before="120" w:after="200" w:line="480" w:lineRule="auto"/>
        <w:jc w:val="center"/>
        <w:rPr>
          <w:rFonts w:ascii="Times New Roman" w:eastAsia="宋体" w:hAnsi="Times New Roman" w:cs="Times New Roman"/>
          <w:b/>
          <w:bCs/>
          <w:kern w:val="0"/>
          <w:sz w:val="24"/>
          <w:szCs w:val="24"/>
        </w:rPr>
      </w:pPr>
      <w:bookmarkStart w:id="9" w:name="_Hlk215581218"/>
      <w:r>
        <w:rPr>
          <w:rFonts w:ascii="Times New Roman" w:eastAsia="宋体" w:hAnsi="Times New Roman" w:cs="Times New Roman"/>
          <w:b/>
          <w:bCs/>
          <w:noProof/>
          <w:kern w:val="0"/>
          <w:sz w:val="24"/>
          <w:szCs w:val="24"/>
        </w:rPr>
        <w:lastRenderedPageBreak/>
        <w:drawing>
          <wp:inline distT="0" distB="0" distL="0" distR="0">
            <wp:extent cx="3060000" cy="233946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4.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60000" cy="2339462"/>
                    </a:xfrm>
                    <a:prstGeom prst="rect">
                      <a:avLst/>
                    </a:prstGeom>
                  </pic:spPr>
                </pic:pic>
              </a:graphicData>
            </a:graphic>
          </wp:inline>
        </w:drawing>
      </w:r>
    </w:p>
    <w:p w:rsidR="001A3512" w:rsidRDefault="001A3512" w:rsidP="00A5323C">
      <w:pPr>
        <w:pStyle w:val="VAFigureCaption"/>
      </w:pPr>
      <w:r>
        <w:rPr>
          <w:b/>
          <w:bCs/>
        </w:rPr>
        <w:t>Fig. S</w:t>
      </w:r>
      <w:r w:rsidR="00C9572C">
        <w:rPr>
          <w:b/>
          <w:bCs/>
        </w:rPr>
        <w:t>4</w:t>
      </w:r>
      <w:r w:rsidR="00022A16">
        <w:rPr>
          <w:b/>
          <w:bCs/>
        </w:rPr>
        <w:t>:</w:t>
      </w:r>
      <w:bookmarkEnd w:id="9"/>
      <w:r w:rsidR="00714B0C" w:rsidRPr="00714B0C">
        <w:rPr>
          <w:b/>
          <w:bCs/>
        </w:rPr>
        <w:t xml:space="preserve"> </w:t>
      </w:r>
      <w:r w:rsidR="00714B0C" w:rsidRPr="008564BF">
        <w:rPr>
          <w:b/>
          <w:bCs/>
          <w:i/>
        </w:rPr>
        <w:t>I–V</w:t>
      </w:r>
      <w:r w:rsidR="00714B0C" w:rsidRPr="008564BF">
        <w:rPr>
          <w:b/>
          <w:bCs/>
        </w:rPr>
        <w:t xml:space="preserve"> curves of the CNM measured at different sweep rates.</w:t>
      </w:r>
    </w:p>
    <w:p w:rsidR="00C9572C" w:rsidRDefault="001A3512" w:rsidP="00C9572C">
      <w:pPr>
        <w:widowControl/>
        <w:spacing w:before="120" w:after="200" w:line="480" w:lineRule="auto"/>
        <w:jc w:val="center"/>
        <w:rPr>
          <w:rFonts w:ascii="Times New Roman" w:eastAsia="宋体" w:hAnsi="Times New Roman" w:cs="Times New Roman"/>
          <w:b/>
          <w:bCs/>
          <w:kern w:val="0"/>
          <w:sz w:val="24"/>
          <w:szCs w:val="24"/>
        </w:rPr>
      </w:pPr>
      <w:r>
        <w:br w:type="page"/>
      </w:r>
      <w:r w:rsidR="00C9572C">
        <w:rPr>
          <w:rFonts w:ascii="Times New Roman" w:eastAsia="宋体" w:hAnsi="Times New Roman" w:cs="Times New Roman" w:hint="eastAsia"/>
          <w:b/>
          <w:bCs/>
          <w:noProof/>
          <w:kern w:val="0"/>
          <w:sz w:val="24"/>
          <w:szCs w:val="24"/>
        </w:rPr>
        <w:lastRenderedPageBreak/>
        <w:drawing>
          <wp:inline distT="0" distB="0" distL="0" distR="0" wp14:anchorId="3E6A3430" wp14:editId="0B60F50D">
            <wp:extent cx="3060000" cy="2577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60000" cy="2577600"/>
                    </a:xfrm>
                    <a:prstGeom prst="rect">
                      <a:avLst/>
                    </a:prstGeom>
                  </pic:spPr>
                </pic:pic>
              </a:graphicData>
            </a:graphic>
          </wp:inline>
        </w:drawing>
      </w:r>
    </w:p>
    <w:p w:rsidR="00C9572C" w:rsidRDefault="00C9572C" w:rsidP="00C9572C">
      <w:pPr>
        <w:pStyle w:val="VAFigureCaption"/>
      </w:pPr>
      <w:r>
        <w:rPr>
          <w:b/>
          <w:bCs/>
        </w:rPr>
        <w:t xml:space="preserve">Fig. S5: Device with </w:t>
      </w:r>
      <w:r>
        <w:rPr>
          <w:b/>
          <w:bCs/>
          <w:color w:val="000000" w:themeColor="text1"/>
        </w:rPr>
        <w:t xml:space="preserve">symmetric PAF. </w:t>
      </w:r>
      <w:r>
        <w:t>SEM images of the</w:t>
      </w:r>
      <w:r>
        <w:rPr>
          <w:color w:val="000000" w:themeColor="text1"/>
        </w:rPr>
        <w:t xml:space="preserve"> symmetric</w:t>
      </w:r>
      <w:r>
        <w:t xml:space="preserve"> PAF’s (</w:t>
      </w:r>
      <w:r>
        <w:rPr>
          <w:b/>
        </w:rPr>
        <w:t>a</w:t>
      </w:r>
      <w:r>
        <w:t>) top and (</w:t>
      </w:r>
      <w:r>
        <w:rPr>
          <w:b/>
        </w:rPr>
        <w:t>b</w:t>
      </w:r>
      <w:r>
        <w:t>) bottom surfaces, with scale bars of 100 nm. Average pore diameters on the top surface (</w:t>
      </w:r>
      <w:r>
        <w:rPr>
          <w:i/>
          <w:iCs/>
        </w:rPr>
        <w:t>D</w:t>
      </w:r>
      <w:r>
        <w:t>) and bottom surface (</w:t>
      </w:r>
      <w:r>
        <w:rPr>
          <w:i/>
          <w:iCs/>
        </w:rPr>
        <w:t>d</w:t>
      </w:r>
      <w:r>
        <w:t>)</w:t>
      </w:r>
      <w:r>
        <w:rPr>
          <w:b/>
          <w:bCs/>
        </w:rPr>
        <w:t xml:space="preserve"> </w:t>
      </w:r>
      <w:r>
        <w:t>are 35 nm and 30 nm, respectively. (</w:t>
      </w:r>
      <w:r>
        <w:rPr>
          <w:b/>
        </w:rPr>
        <w:t>c</w:t>
      </w:r>
      <w:r>
        <w:t xml:space="preserve">) </w:t>
      </w:r>
      <w:r>
        <w:rPr>
          <w:i/>
          <w:iCs/>
        </w:rPr>
        <w:t>I</w:t>
      </w:r>
      <w:r>
        <w:t>-</w:t>
      </w:r>
      <w:r>
        <w:rPr>
          <w:rFonts w:hint="eastAsia"/>
          <w:i/>
          <w:iCs/>
        </w:rPr>
        <w:t>V</w:t>
      </w:r>
      <w:r>
        <w:t xml:space="preserve"> curves of the device with </w:t>
      </w:r>
      <w:r>
        <w:rPr>
          <w:color w:val="000000" w:themeColor="text1"/>
        </w:rPr>
        <w:t xml:space="preserve">symmetric PAF. The voltage range is set from 20 mV to 50 mV (10 mV increments) and </w:t>
      </w:r>
      <w:r>
        <w:t>the scan rate is set as 0.5 mV/step. The arrows indicate the scan direction.</w:t>
      </w:r>
    </w:p>
    <w:p w:rsidR="00C9572C" w:rsidRDefault="00C9572C" w:rsidP="00C9572C">
      <w:pPr>
        <w:pStyle w:val="VAFigureCaption"/>
      </w:pPr>
      <w:r>
        <w:br w:type="page"/>
      </w:r>
    </w:p>
    <w:p w:rsidR="001A3512" w:rsidRDefault="001A3512" w:rsidP="00A5323C">
      <w:pPr>
        <w:pStyle w:val="VAFigureCaption"/>
      </w:pPr>
    </w:p>
    <w:p w:rsidR="001A3512" w:rsidRDefault="001A3512" w:rsidP="00A5323C">
      <w:pPr>
        <w:autoSpaceDE w:val="0"/>
        <w:autoSpaceDN w:val="0"/>
        <w:adjustRightInd w:val="0"/>
        <w:spacing w:before="120" w:after="200"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981F5FF" wp14:editId="49C70A95">
            <wp:extent cx="5274310" cy="30137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74310" cy="3013710"/>
                    </a:xfrm>
                    <a:prstGeom prst="rect">
                      <a:avLst/>
                    </a:prstGeom>
                  </pic:spPr>
                </pic:pic>
              </a:graphicData>
            </a:graphic>
          </wp:inline>
        </w:drawing>
      </w:r>
    </w:p>
    <w:p w:rsidR="001A3512" w:rsidRDefault="001A3512" w:rsidP="00A5323C">
      <w:pPr>
        <w:pStyle w:val="VAFigureCaption"/>
        <w:rPr>
          <w:b/>
          <w:bCs/>
        </w:rPr>
      </w:pPr>
      <w:r>
        <w:rPr>
          <w:b/>
          <w:bCs/>
        </w:rPr>
        <w:t>Fig. S</w:t>
      </w:r>
      <w:r w:rsidR="00F24BB9">
        <w:rPr>
          <w:b/>
          <w:bCs/>
        </w:rPr>
        <w:t>6</w:t>
      </w:r>
      <w:r w:rsidR="00022A16">
        <w:rPr>
          <w:b/>
          <w:bCs/>
        </w:rPr>
        <w:t>:</w:t>
      </w:r>
      <w:r>
        <w:rPr>
          <w:b/>
          <w:bCs/>
        </w:rPr>
        <w:t xml:space="preserve"> Device-to-device variability of </w:t>
      </w:r>
      <w:r>
        <w:rPr>
          <w:b/>
          <w:bCs/>
          <w:color w:val="000000" w:themeColor="text1"/>
        </w:rPr>
        <w:t>CNM.</w:t>
      </w:r>
      <w:r>
        <w:rPr>
          <w:color w:val="000000" w:themeColor="text1"/>
        </w:rPr>
        <w:t xml:space="preserve"> (</w:t>
      </w:r>
      <w:r>
        <w:rPr>
          <w:b/>
          <w:color w:val="000000" w:themeColor="text1"/>
        </w:rPr>
        <w:t>a-</w:t>
      </w:r>
      <w:r>
        <w:rPr>
          <w:rFonts w:hint="eastAsia"/>
          <w:b/>
          <w:color w:val="000000" w:themeColor="text1"/>
        </w:rPr>
        <w:t>c</w:t>
      </w:r>
      <w:r>
        <w:rPr>
          <w:color w:val="000000" w:themeColor="text1"/>
        </w:rPr>
        <w:t xml:space="preserve">) </w:t>
      </w:r>
      <w:r>
        <w:rPr>
          <w:i/>
          <w:iCs/>
        </w:rPr>
        <w:t>I</w:t>
      </w:r>
      <w:r>
        <w:t>-</w:t>
      </w:r>
      <w:r>
        <w:rPr>
          <w:i/>
          <w:iCs/>
        </w:rPr>
        <w:t>V</w:t>
      </w:r>
      <w:r>
        <w:t xml:space="preserve"> curves of</w:t>
      </w:r>
      <w:r>
        <w:rPr>
          <w:color w:val="000000" w:themeColor="text1"/>
        </w:rPr>
        <w:t xml:space="preserve"> </w:t>
      </w:r>
      <w:r>
        <w:t>d</w:t>
      </w:r>
      <w:r>
        <w:rPr>
          <w:rFonts w:hint="eastAsia"/>
        </w:rPr>
        <w:t>e</w:t>
      </w:r>
      <w:r>
        <w:t>vices</w:t>
      </w:r>
      <w:r>
        <w:rPr>
          <w:color w:val="000000" w:themeColor="text1"/>
        </w:rPr>
        <w:t xml:space="preserve"> </w:t>
      </w:r>
      <w:r>
        <w:t>1-3 in 1 M CuSO</w:t>
      </w:r>
      <w:r>
        <w:rPr>
          <w:vertAlign w:val="subscript"/>
        </w:rPr>
        <w:t>4</w:t>
      </w:r>
      <w:r>
        <w:t xml:space="preserve"> aqueous solution under a DC scan with a scan rate of 0.5 mV/step. The arrows indicate the scan direction.</w:t>
      </w:r>
      <w:r>
        <w:rPr>
          <w:color w:val="000000" w:themeColor="text1"/>
        </w:rPr>
        <w:t xml:space="preserve"> </w:t>
      </w:r>
      <w:r>
        <w:t>(</w:t>
      </w:r>
      <w:r>
        <w:rPr>
          <w:b/>
        </w:rPr>
        <w:t>d-f</w:t>
      </w:r>
      <w:r>
        <w:t xml:space="preserve">) </w:t>
      </w:r>
      <w:r>
        <w:rPr>
          <w:i/>
          <w:iCs/>
        </w:rPr>
        <w:t>I</w:t>
      </w:r>
      <w:r>
        <w:t>-</w:t>
      </w:r>
      <w:r>
        <w:rPr>
          <w:i/>
          <w:iCs/>
        </w:rPr>
        <w:t>V</w:t>
      </w:r>
      <w:r>
        <w:t xml:space="preserve"> </w:t>
      </w:r>
      <w:r>
        <w:rPr>
          <w:rFonts w:hint="eastAsia"/>
        </w:rPr>
        <w:t>curve</w:t>
      </w:r>
      <w:r>
        <w:t xml:space="preserve">s </w:t>
      </w:r>
      <w:r>
        <w:rPr>
          <w:rFonts w:hint="eastAsia"/>
        </w:rPr>
        <w:t>o</w:t>
      </w:r>
      <w:r>
        <w:t>f d</w:t>
      </w:r>
      <w:r>
        <w:rPr>
          <w:rFonts w:hint="eastAsia"/>
        </w:rPr>
        <w:t>e</w:t>
      </w:r>
      <w:r>
        <w:t>vices 1-3 in 1 M CuSO</w:t>
      </w:r>
      <w:r>
        <w:rPr>
          <w:vertAlign w:val="subscript"/>
        </w:rPr>
        <w:t>4</w:t>
      </w:r>
      <w:r>
        <w:t xml:space="preserve"> </w:t>
      </w:r>
      <w:r>
        <w:rPr>
          <w:color w:val="000000" w:themeColor="text1"/>
        </w:rPr>
        <w:t xml:space="preserve">under </w:t>
      </w:r>
      <w:r>
        <w:t>DC scans with</w:t>
      </w:r>
      <w:r>
        <w:rPr>
          <w:color w:val="000000" w:themeColor="text1"/>
        </w:rPr>
        <w:t xml:space="preserve"> different </w:t>
      </w:r>
      <w:r>
        <w:t>scan</w:t>
      </w:r>
      <w:r>
        <w:rPr>
          <w:color w:val="000000" w:themeColor="text1"/>
        </w:rPr>
        <w:t xml:space="preserve"> rates (1, 0.1, and 0.05 mV/step). All devices consistently exhibit bipolar </w:t>
      </w:r>
      <w:proofErr w:type="spellStart"/>
      <w:r>
        <w:rPr>
          <w:color w:val="000000" w:themeColor="text1"/>
        </w:rPr>
        <w:t>memristive</w:t>
      </w:r>
      <w:proofErr w:type="spellEnd"/>
      <w:r>
        <w:rPr>
          <w:color w:val="000000" w:themeColor="text1"/>
        </w:rPr>
        <w:t xml:space="preserve"> behaviors, despite variations in ionic current magnitudes and hysteresis loop areas. These discrepancies likely originate from the variations in the quantity and pore diameter of activated nanochannels within PAFs.</w:t>
      </w:r>
    </w:p>
    <w:p w:rsidR="001A3512" w:rsidRDefault="001A3512" w:rsidP="00A5323C">
      <w:pPr>
        <w:widowControl/>
        <w:spacing w:before="120" w:after="200" w:line="480" w:lineRule="auto"/>
        <w:jc w:val="left"/>
        <w:rPr>
          <w:rFonts w:ascii="Times New Roman" w:hAnsi="Times New Roman" w:cs="Times New Roman"/>
          <w:sz w:val="24"/>
          <w:szCs w:val="24"/>
        </w:rPr>
      </w:pPr>
      <w:r>
        <w:rPr>
          <w:rFonts w:ascii="Times New Roman" w:hAnsi="Times New Roman" w:cs="Times New Roman"/>
          <w:sz w:val="24"/>
          <w:szCs w:val="24"/>
        </w:rPr>
        <w:br w:type="page"/>
      </w:r>
    </w:p>
    <w:p w:rsidR="001A3512" w:rsidRDefault="001A3512" w:rsidP="00A5323C">
      <w:pPr>
        <w:spacing w:before="120" w:after="200" w:line="480" w:lineRule="auto"/>
        <w:ind w:leftChars="-135" w:left="-283"/>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73EDD2E3" wp14:editId="05C049BA">
            <wp:extent cx="3060000" cy="3463200"/>
            <wp:effectExtent l="0" t="0" r="762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7" cstate="print">
                      <a:extLst>
                        <a:ext uri="{28A0092B-C50C-407E-A947-70E740481C1C}">
                          <a14:useLocalDpi xmlns:a14="http://schemas.microsoft.com/office/drawing/2010/main" val="0"/>
                        </a:ext>
                      </a:extLst>
                    </a:blip>
                    <a:srcRect l="5721"/>
                    <a:stretch>
                      <a:fillRect/>
                    </a:stretch>
                  </pic:blipFill>
                  <pic:spPr>
                    <a:xfrm>
                      <a:off x="0" y="0"/>
                      <a:ext cx="3060000" cy="3463200"/>
                    </a:xfrm>
                    <a:prstGeom prst="rect">
                      <a:avLst/>
                    </a:prstGeom>
                    <a:ln>
                      <a:noFill/>
                    </a:ln>
                  </pic:spPr>
                </pic:pic>
              </a:graphicData>
            </a:graphic>
          </wp:inline>
        </w:drawing>
      </w:r>
    </w:p>
    <w:p w:rsidR="001A3512" w:rsidRDefault="001A3512" w:rsidP="00A5323C">
      <w:pPr>
        <w:pStyle w:val="VAFigureCaption"/>
        <w:rPr>
          <w:rFonts w:ascii="Times New Roman" w:hAnsi="Times New Roman"/>
          <w:szCs w:val="24"/>
        </w:rPr>
      </w:pPr>
      <w:r>
        <w:rPr>
          <w:b/>
          <w:bCs/>
        </w:rPr>
        <w:t>Fig. S</w:t>
      </w:r>
      <w:r w:rsidR="00F24BB9">
        <w:rPr>
          <w:b/>
          <w:bCs/>
        </w:rPr>
        <w:t>7</w:t>
      </w:r>
      <w:r w:rsidR="00022A16">
        <w:rPr>
          <w:b/>
          <w:bCs/>
        </w:rPr>
        <w:t>:</w:t>
      </w:r>
      <w:r>
        <w:rPr>
          <w:b/>
          <w:bCs/>
        </w:rPr>
        <w:t xml:space="preserve"> Scalability of CNM.</w:t>
      </w:r>
      <w:r>
        <w:t xml:space="preserve"> (</w:t>
      </w:r>
      <w:r>
        <w:rPr>
          <w:b/>
        </w:rPr>
        <w:t>a</w:t>
      </w:r>
      <w:r>
        <w:t>) Image of CNM, which consists of PCBs (</w:t>
      </w:r>
      <w:bookmarkStart w:id="10" w:name="_Hlk198825624"/>
      <w:r>
        <w:t>printed circuit boards</w:t>
      </w:r>
      <w:bookmarkEnd w:id="10"/>
      <w:r>
        <w:t>), connectors, PAF, and CuSO</w:t>
      </w:r>
      <w:r>
        <w:rPr>
          <w:vertAlign w:val="subscript"/>
        </w:rPr>
        <w:t>4</w:t>
      </w:r>
      <w:r>
        <w:t xml:space="preserve"> solution. PCBs and connectors function as a reservoir, within which PAF and CuSO</w:t>
      </w:r>
      <w:r>
        <w:rPr>
          <w:vertAlign w:val="subscript"/>
        </w:rPr>
        <w:t>4</w:t>
      </w:r>
      <w:r>
        <w:t xml:space="preserve"> solution are contained. (</w:t>
      </w:r>
      <w:r>
        <w:rPr>
          <w:b/>
        </w:rPr>
        <w:t>b</w:t>
      </w:r>
      <w:r>
        <w:t>) Top view of CNM, copper wires of different sizes (0.02, 0.07, 0.2, 0.8 mm</w:t>
      </w:r>
      <w:r>
        <w:rPr>
          <w:vertAlign w:val="superscript"/>
        </w:rPr>
        <w:t>2</w:t>
      </w:r>
      <w:r>
        <w:t>) on PCBs are served as electrodes. (</w:t>
      </w:r>
      <w:r>
        <w:rPr>
          <w:b/>
        </w:rPr>
        <w:t>c</w:t>
      </w:r>
      <w:r>
        <w:t xml:space="preserve">) </w:t>
      </w:r>
      <w:r>
        <w:rPr>
          <w:i/>
          <w:iCs/>
        </w:rPr>
        <w:t>I</w:t>
      </w:r>
      <w:r>
        <w:t>-</w:t>
      </w:r>
      <w:r>
        <w:rPr>
          <w:i/>
          <w:iCs/>
        </w:rPr>
        <w:t>V</w:t>
      </w:r>
      <w:r>
        <w:t xml:space="preserve"> curves of CNM in 1 M CuSO</w:t>
      </w:r>
      <w:r>
        <w:rPr>
          <w:vertAlign w:val="subscript"/>
        </w:rPr>
        <w:t>4</w:t>
      </w:r>
      <w:r>
        <w:t xml:space="preserve"> aqueous solution under a DC scan with different electrode (copper foil tape) size (1, 7.5, and 20 mm</w:t>
      </w:r>
      <w:r>
        <w:rPr>
          <w:vertAlign w:val="superscript"/>
        </w:rPr>
        <w:t>2</w:t>
      </w:r>
      <w:r>
        <w:t>). The scan rate is set as 0.5 mV/step. (</w:t>
      </w:r>
      <w:r>
        <w:rPr>
          <w:b/>
        </w:rPr>
        <w:t>d</w:t>
      </w:r>
      <w:r>
        <w:t>) Plot of the electrode (copper foil tape) size with hysteresis loop area (</w:t>
      </w:r>
      <w:r>
        <w:rPr>
          <w:i/>
          <w:iCs/>
        </w:rPr>
        <w:t>S</w:t>
      </w:r>
      <w:r>
        <w:t>) and ICR ratio (</w:t>
      </w:r>
      <w:r>
        <w:rPr>
          <w:i/>
          <w:iCs/>
        </w:rPr>
        <w:t>R</w:t>
      </w:r>
      <w:r>
        <w:t>). (</w:t>
      </w:r>
      <w:r>
        <w:rPr>
          <w:b/>
        </w:rPr>
        <w:t>e</w:t>
      </w:r>
      <w:r>
        <w:t xml:space="preserve">) </w:t>
      </w:r>
      <w:r>
        <w:rPr>
          <w:i/>
          <w:iCs/>
        </w:rPr>
        <w:t>I</w:t>
      </w:r>
      <w:r>
        <w:t>-</w:t>
      </w:r>
      <w:r>
        <w:rPr>
          <w:i/>
          <w:iCs/>
        </w:rPr>
        <w:t>V</w:t>
      </w:r>
      <w:r>
        <w:t xml:space="preserve"> curves of CNM in 1 M CuSO</w:t>
      </w:r>
      <w:r>
        <w:rPr>
          <w:vertAlign w:val="subscript"/>
        </w:rPr>
        <w:t>4</w:t>
      </w:r>
      <w:r>
        <w:t xml:space="preserve"> aqueous solution under a DC scan with different electrode (copper wire) size. (</w:t>
      </w:r>
      <w:r>
        <w:rPr>
          <w:b/>
        </w:rPr>
        <w:t>f</w:t>
      </w:r>
      <w:r>
        <w:t>) Plot of the electrode (copper wire) size with hysteresis loop area (</w:t>
      </w:r>
      <w:r>
        <w:rPr>
          <w:i/>
          <w:iCs/>
        </w:rPr>
        <w:t>S</w:t>
      </w:r>
      <w:r>
        <w:t>) and ICR ratio (</w:t>
      </w:r>
      <w:r>
        <w:rPr>
          <w:i/>
          <w:iCs/>
        </w:rPr>
        <w:t>R</w:t>
      </w:r>
      <w:r>
        <w:t>).</w:t>
      </w:r>
      <w:r>
        <w:rPr>
          <w:rFonts w:ascii="Times New Roman" w:hAnsi="Times New Roman"/>
          <w:b/>
          <w:bCs/>
          <w:szCs w:val="24"/>
        </w:rPr>
        <w:br w:type="page"/>
      </w:r>
    </w:p>
    <w:p w:rsidR="001A3512" w:rsidRDefault="001A3512" w:rsidP="00A5323C">
      <w:pPr>
        <w:spacing w:before="120" w:after="200"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3CD91067" wp14:editId="6E572338">
            <wp:extent cx="5486400" cy="32080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86400" cy="3208020"/>
                    </a:xfrm>
                    <a:prstGeom prst="rect">
                      <a:avLst/>
                    </a:prstGeom>
                  </pic:spPr>
                </pic:pic>
              </a:graphicData>
            </a:graphic>
          </wp:inline>
        </w:drawing>
      </w:r>
    </w:p>
    <w:p w:rsidR="001A3512" w:rsidRDefault="001A3512" w:rsidP="00A5323C">
      <w:pPr>
        <w:pStyle w:val="VAFigureCaption"/>
        <w:rPr>
          <w:b/>
        </w:rPr>
      </w:pPr>
      <w:r>
        <w:rPr>
          <w:b/>
        </w:rPr>
        <w:t>Fig. S</w:t>
      </w:r>
      <w:r w:rsidR="00F24BB9">
        <w:rPr>
          <w:b/>
        </w:rPr>
        <w:t>8</w:t>
      </w:r>
      <w:r w:rsidR="00022A16">
        <w:rPr>
          <w:b/>
        </w:rPr>
        <w:t>:</w:t>
      </w:r>
      <w:r>
        <w:rPr>
          <w:b/>
        </w:rPr>
        <w:t xml:space="preserve"> Interaction between Cu</w:t>
      </w:r>
      <w:r>
        <w:rPr>
          <w:b/>
          <w:vertAlign w:val="superscript"/>
        </w:rPr>
        <w:t>2+</w:t>
      </w:r>
      <w:r>
        <w:rPr>
          <w:b/>
        </w:rPr>
        <w:t xml:space="preserve"> and PAF nanochannels. </w:t>
      </w:r>
      <w:r>
        <w:t>(</w:t>
      </w:r>
      <w:r>
        <w:rPr>
          <w:b/>
        </w:rPr>
        <w:t>a</w:t>
      </w:r>
      <w:r>
        <w:t>) XPS spectra of the pristine and tested PAF. (</w:t>
      </w:r>
      <w:r>
        <w:rPr>
          <w:b/>
        </w:rPr>
        <w:t>b</w:t>
      </w:r>
      <w:r>
        <w:t xml:space="preserve">) </w:t>
      </w:r>
      <w:r>
        <w:rPr>
          <w:i/>
        </w:rPr>
        <w:t>I-V</w:t>
      </w:r>
      <w:r>
        <w:t xml:space="preserve"> curves of the devices using 1 M CuSO</w:t>
      </w:r>
      <w:r>
        <w:rPr>
          <w:vertAlign w:val="subscript"/>
        </w:rPr>
        <w:t>4</w:t>
      </w:r>
      <w:r>
        <w:t xml:space="preserve"> or Na</w:t>
      </w:r>
      <w:r>
        <w:rPr>
          <w:vertAlign w:val="subscript"/>
        </w:rPr>
        <w:t>2</w:t>
      </w:r>
      <w:r>
        <w:t xml:space="preserve">SO₄ solutions, and the </w:t>
      </w:r>
      <w:r>
        <w:rPr>
          <w:i/>
        </w:rPr>
        <w:t>I-V</w:t>
      </w:r>
      <w:r>
        <w:t xml:space="preserve"> curve of device employing 1 M Na</w:t>
      </w:r>
      <w:r>
        <w:rPr>
          <w:vertAlign w:val="subscript"/>
        </w:rPr>
        <w:t>2</w:t>
      </w:r>
      <w:r>
        <w:t>SO₄ is more capacitive-like.</w:t>
      </w:r>
      <w:r>
        <w:rPr>
          <w:b/>
        </w:rPr>
        <w:t xml:space="preserve"> </w:t>
      </w:r>
      <w:r>
        <w:t>(</w:t>
      </w:r>
      <w:r>
        <w:rPr>
          <w:b/>
        </w:rPr>
        <w:t>c</w:t>
      </w:r>
      <w:r>
        <w:t>) SEM image of corundum film</w:t>
      </w:r>
      <w:r>
        <w:rPr>
          <w:b/>
        </w:rPr>
        <w:t>,</w:t>
      </w:r>
      <w:r>
        <w:t xml:space="preserve"> with a scale bar of 1 </w:t>
      </w:r>
      <w:proofErr w:type="spellStart"/>
      <w:r>
        <w:t>μm</w:t>
      </w:r>
      <w:proofErr w:type="spellEnd"/>
      <w:r>
        <w:t>. (</w:t>
      </w:r>
      <w:r>
        <w:rPr>
          <w:b/>
        </w:rPr>
        <w:t>d</w:t>
      </w:r>
      <w:r>
        <w:t>) EDS spectrum of PAF</w:t>
      </w:r>
      <w:r>
        <w:rPr>
          <w:rFonts w:hint="eastAsia"/>
        </w:rPr>
        <w:t xml:space="preserve"> </w:t>
      </w:r>
      <w:r>
        <w:t>and corundum film. (</w:t>
      </w:r>
      <w:r>
        <w:rPr>
          <w:b/>
        </w:rPr>
        <w:t>e</w:t>
      </w:r>
      <w:r>
        <w:t xml:space="preserve">) </w:t>
      </w:r>
      <w:r>
        <w:rPr>
          <w:i/>
          <w:iCs/>
        </w:rPr>
        <w:t>I</w:t>
      </w:r>
      <w:r>
        <w:t>-</w:t>
      </w:r>
      <w:r>
        <w:rPr>
          <w:rFonts w:hint="eastAsia"/>
          <w:i/>
          <w:iCs/>
        </w:rPr>
        <w:t>V</w:t>
      </w:r>
      <w:r>
        <w:t xml:space="preserve"> curves of the device with corundum film. The voltage range is set from 20 mV to 50 mV (10 mV increments) and the scan rate is set as 0.5 mV/step. The arrows indicate the scan direction.</w:t>
      </w:r>
    </w:p>
    <w:p w:rsidR="001A3512" w:rsidRDefault="001A3512" w:rsidP="00A5323C">
      <w:pPr>
        <w:widowControl/>
        <w:spacing w:before="120" w:after="200" w:line="480" w:lineRule="auto"/>
        <w:jc w:val="left"/>
        <w:rPr>
          <w:rFonts w:ascii="Times New Roman" w:hAnsi="Times New Roman" w:cs="Times New Roman"/>
          <w:b/>
          <w:bCs/>
          <w:sz w:val="24"/>
          <w:szCs w:val="24"/>
        </w:rPr>
      </w:pPr>
      <w:r>
        <w:rPr>
          <w:rFonts w:ascii="Times New Roman" w:hAnsi="Times New Roman" w:cs="Times New Roman"/>
          <w:b/>
          <w:bCs/>
          <w:sz w:val="24"/>
          <w:szCs w:val="24"/>
        </w:rPr>
        <w:br w:type="page"/>
      </w:r>
    </w:p>
    <w:p w:rsidR="001A3512" w:rsidRDefault="001A3512" w:rsidP="00A5323C">
      <w:pPr>
        <w:pStyle w:val="VAFigureCaption"/>
        <w:rPr>
          <w:b/>
          <w:bCs/>
        </w:rPr>
      </w:pPr>
      <w:r>
        <w:rPr>
          <w:noProof/>
        </w:rPr>
        <w:lastRenderedPageBreak/>
        <w:drawing>
          <wp:anchor distT="0" distB="0" distL="114300" distR="114300" simplePos="0" relativeHeight="251659264" behindDoc="0" locked="0" layoutInCell="1" allowOverlap="1" wp14:anchorId="1FEF1973" wp14:editId="32B01F3A">
            <wp:simplePos x="0" y="0"/>
            <wp:positionH relativeFrom="margin">
              <wp:posOffset>1377453</wp:posOffset>
            </wp:positionH>
            <wp:positionV relativeFrom="margin">
              <wp:align>top</wp:align>
            </wp:positionV>
            <wp:extent cx="3060000" cy="2548800"/>
            <wp:effectExtent l="0" t="0" r="7620" b="444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60000" cy="2548800"/>
                    </a:xfrm>
                    <a:prstGeom prst="rect">
                      <a:avLst/>
                    </a:prstGeom>
                  </pic:spPr>
                </pic:pic>
              </a:graphicData>
            </a:graphic>
            <wp14:sizeRelH relativeFrom="margin">
              <wp14:pctWidth>0</wp14:pctWidth>
            </wp14:sizeRelH>
            <wp14:sizeRelV relativeFrom="margin">
              <wp14:pctHeight>0</wp14:pctHeight>
            </wp14:sizeRelV>
          </wp:anchor>
        </w:drawing>
      </w:r>
      <w:r>
        <w:t>F</w:t>
      </w:r>
      <w:r>
        <w:rPr>
          <w:b/>
          <w:bCs/>
        </w:rPr>
        <w:t>ig. S</w:t>
      </w:r>
      <w:r w:rsidR="00F24BB9">
        <w:rPr>
          <w:b/>
          <w:bCs/>
        </w:rPr>
        <w:t>9</w:t>
      </w:r>
      <w:r w:rsidR="00022A16">
        <w:rPr>
          <w:b/>
          <w:bCs/>
        </w:rPr>
        <w:t>:</w:t>
      </w:r>
      <w:r>
        <w:rPr>
          <w:b/>
          <w:bCs/>
        </w:rPr>
        <w:t xml:space="preserve"> </w:t>
      </w:r>
      <w:r>
        <w:t>(</w:t>
      </w:r>
      <w:r>
        <w:rPr>
          <w:b/>
        </w:rPr>
        <w:t>a</w:t>
      </w:r>
      <w:r>
        <w:t xml:space="preserve">) Sectional view of </w:t>
      </w:r>
      <w:r>
        <w:rPr>
          <w:rFonts w:hint="eastAsia"/>
        </w:rPr>
        <w:t>one</w:t>
      </w:r>
      <w:r>
        <w:t xml:space="preserve"> nanochannel</w:t>
      </w:r>
      <w:r>
        <w:rPr>
          <w:rFonts w:hint="eastAsia"/>
        </w:rPr>
        <w:t xml:space="preserve"> in the </w:t>
      </w:r>
      <w:r>
        <w:t>PAF. (</w:t>
      </w:r>
      <w:r>
        <w:rPr>
          <w:b/>
        </w:rPr>
        <w:t>b</w:t>
      </w:r>
      <w:r>
        <w:t>) Vertical view of PAF. (</w:t>
      </w:r>
      <w:r>
        <w:rPr>
          <w:b/>
        </w:rPr>
        <w:t>c</w:t>
      </w:r>
      <w:r>
        <w:t>) Sectional view of the truncated conical nanochannel, which is modeled as a circular cone.</w:t>
      </w:r>
    </w:p>
    <w:p w:rsidR="001A3512" w:rsidRDefault="001A3512" w:rsidP="00A5323C">
      <w:pPr>
        <w:widowControl/>
        <w:spacing w:before="120" w:after="200" w:line="480" w:lineRule="auto"/>
        <w:jc w:val="left"/>
        <w:rPr>
          <w:rFonts w:ascii="Times New Roman" w:hAnsi="Times New Roman" w:cs="Times New Roman"/>
          <w:b/>
          <w:bCs/>
          <w:sz w:val="24"/>
          <w:szCs w:val="24"/>
        </w:rPr>
      </w:pPr>
      <w:r>
        <w:rPr>
          <w:rFonts w:ascii="Times New Roman" w:hAnsi="Times New Roman" w:cs="Times New Roman"/>
          <w:b/>
          <w:bCs/>
          <w:sz w:val="24"/>
          <w:szCs w:val="24"/>
        </w:rPr>
        <w:br w:type="page"/>
      </w:r>
    </w:p>
    <w:p w:rsidR="001A3512" w:rsidRDefault="001A3512" w:rsidP="00A5323C">
      <w:pPr>
        <w:pStyle w:val="VDTableTitle"/>
      </w:pPr>
      <w:bookmarkStart w:id="11" w:name="_Hlk215584566"/>
      <w:r>
        <w:rPr>
          <w:b/>
          <w:kern w:val="44"/>
        </w:rPr>
        <w:lastRenderedPageBreak/>
        <w:t>Table S1</w:t>
      </w:r>
      <w:r w:rsidR="00022A16">
        <w:rPr>
          <w:b/>
          <w:kern w:val="44"/>
        </w:rPr>
        <w:t>:</w:t>
      </w:r>
      <w:r>
        <w:t xml:space="preserve"> Relationship between the concentration </w:t>
      </w:r>
      <w:r>
        <w:rPr>
          <w:i/>
          <w:iCs/>
        </w:rPr>
        <w:t>c</w:t>
      </w:r>
      <w:r>
        <w:t xml:space="preserve"> of CuSO</w:t>
      </w:r>
      <w:r>
        <w:rPr>
          <w:vertAlign w:val="subscript"/>
        </w:rPr>
        <w:t>4</w:t>
      </w:r>
      <w:r>
        <w:t xml:space="preserve"> solution with mean activity coefficient </w:t>
      </w:r>
      <w:r>
        <w:sym w:font="Symbol" w:char="F067"/>
      </w:r>
      <w:r>
        <w:rPr>
          <w:vertAlign w:val="subscript"/>
        </w:rPr>
        <w:t>±</w:t>
      </w:r>
      <w:r>
        <w:t xml:space="preserve"> and activity </w:t>
      </w:r>
      <w:r>
        <w:rPr>
          <w:i/>
          <w:iCs/>
        </w:rPr>
        <w:t>α</w:t>
      </w:r>
      <w:r>
        <w:t>[Cu</w:t>
      </w:r>
      <w:r>
        <w:rPr>
          <w:vertAlign w:val="superscript"/>
        </w:rPr>
        <w:t>2+</w:t>
      </w:r>
      <w:r>
        <w:t>]</w:t>
      </w:r>
      <w:r>
        <w:fldChar w:fldCharType="begin">
          <w:fldData xml:space="preserve">PEVuZE5vdGU+PENpdGU+PEF1dGhvcj5TdW48L0F1dGhvcj48WWVhcj4yMDI0PC9ZZWFyPjxSZWNO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</w:fldData>
        </w:fldChar>
      </w:r>
      <w:r>
        <w:instrText xml:space="preserve"> ADDIN EN.CITE </w:instrText>
      </w:r>
      <w:r>
        <w:fldChar w:fldCharType="begin">
          <w:fldData xml:space="preserve">PEVuZE5vdGU+PENpdGU+PEF1dGhvcj5TdW48L0F1dGhvcj48WWVhcj4yMDI0PC9ZZWFyPjxSZWNO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</w:fldData>
        </w:fldChar>
      </w:r>
      <w:r>
        <w:instrText xml:space="preserve"> ADDIN EN.CITE.DATA </w:instrText>
      </w:r>
      <w:r>
        <w:fldChar w:fldCharType="end"/>
      </w:r>
      <w:r>
        <w:fldChar w:fldCharType="separate"/>
      </w:r>
      <w:r>
        <w:t>(</w:t>
      </w:r>
      <w:r>
        <w:rPr>
          <w:i/>
        </w:rPr>
        <w:t>6</w:t>
      </w:r>
      <w:r w:rsidR="00533396">
        <w:rPr>
          <w:i/>
        </w:rPr>
        <w:t>6</w:t>
      </w:r>
      <w:r>
        <w:rPr>
          <w:i/>
        </w:rPr>
        <w:t>-6</w:t>
      </w:r>
      <w:r w:rsidR="00533396">
        <w:rPr>
          <w:i/>
        </w:rPr>
        <w:t>8</w:t>
      </w:r>
      <w:r>
        <w:t>)</w:t>
      </w:r>
      <w:r>
        <w:fldChar w:fldCharType="end"/>
      </w:r>
    </w:p>
    <w:tbl>
      <w:tblPr>
        <w:tblW w:w="0" w:type="auto"/>
        <w:tblLook w:val="04A0" w:firstRow="1" w:lastRow="0" w:firstColumn="1" w:lastColumn="0" w:noHBand="0" w:noVBand="1"/>
      </w:tblPr>
      <w:tblGrid>
        <w:gridCol w:w="2829"/>
        <w:gridCol w:w="2831"/>
        <w:gridCol w:w="2646"/>
      </w:tblGrid>
      <w:tr w:rsidR="001A3512" w:rsidTr="004658B8">
        <w:tc>
          <w:tcPr>
            <w:tcW w:w="2829" w:type="dxa"/>
            <w:tcBorders>
              <w:top w:val="single" w:sz="8" w:space="0" w:color="auto"/>
              <w:bottom w:val="single" w:sz="8" w:space="0" w:color="auto"/>
            </w:tcBorders>
          </w:tcPr>
          <w:p w:rsidR="001A3512" w:rsidRDefault="001A3512" w:rsidP="00A5323C">
            <w:pPr>
              <w:pStyle w:val="TCTableBody"/>
              <w:spacing w:line="480" w:lineRule="auto"/>
            </w:pPr>
            <w:r>
              <w:rPr>
                <w:i/>
                <w:iCs/>
              </w:rPr>
              <w:t>c</w:t>
            </w:r>
            <w:r>
              <w:t xml:space="preserve"> (mM)</w:t>
            </w:r>
          </w:p>
        </w:tc>
        <w:tc>
          <w:tcPr>
            <w:tcW w:w="2831" w:type="dxa"/>
            <w:tcBorders>
              <w:top w:val="single" w:sz="8" w:space="0" w:color="auto"/>
              <w:bottom w:val="single" w:sz="8" w:space="0" w:color="auto"/>
            </w:tcBorders>
          </w:tcPr>
          <w:p w:rsidR="001A3512" w:rsidRDefault="001A3512" w:rsidP="00A5323C">
            <w:pPr>
              <w:pStyle w:val="TCTableBody"/>
              <w:spacing w:line="480" w:lineRule="auto"/>
            </w:pPr>
            <w:r>
              <w:sym w:font="Symbol" w:char="F067"/>
            </w:r>
            <w:r>
              <w:rPr>
                <w:vertAlign w:val="subscript"/>
              </w:rPr>
              <w:t>±</w:t>
            </w:r>
          </w:p>
        </w:tc>
        <w:tc>
          <w:tcPr>
            <w:tcW w:w="2646" w:type="dxa"/>
            <w:tcBorders>
              <w:top w:val="single" w:sz="8" w:space="0" w:color="auto"/>
              <w:bottom w:val="single" w:sz="8" w:space="0" w:color="auto"/>
            </w:tcBorders>
          </w:tcPr>
          <w:p w:rsidR="001A3512" w:rsidRDefault="001A3512" w:rsidP="00A5323C">
            <w:pPr>
              <w:pStyle w:val="TCTableBody"/>
              <w:spacing w:line="480" w:lineRule="auto"/>
            </w:pPr>
            <w:r>
              <w:rPr>
                <w:i/>
                <w:iCs/>
              </w:rPr>
              <w:t>α</w:t>
            </w:r>
            <w:r>
              <w:t>[Cu</w:t>
            </w:r>
            <w:r>
              <w:rPr>
                <w:vertAlign w:val="superscript"/>
              </w:rPr>
              <w:t>2+</w:t>
            </w:r>
            <w:r>
              <w:t>] (mM)</w:t>
            </w:r>
          </w:p>
        </w:tc>
      </w:tr>
      <w:tr w:rsidR="001A3512" w:rsidTr="004658B8">
        <w:tc>
          <w:tcPr>
            <w:tcW w:w="2829" w:type="dxa"/>
            <w:tcBorders>
              <w:top w:val="single" w:sz="8" w:space="0" w:color="auto"/>
            </w:tcBorders>
          </w:tcPr>
          <w:p w:rsidR="001A3512" w:rsidRDefault="001A3512" w:rsidP="00A5323C">
            <w:pPr>
              <w:pStyle w:val="TCTableBody"/>
              <w:spacing w:line="480" w:lineRule="auto"/>
            </w:pPr>
            <w:r>
              <w:t xml:space="preserve">1000 </w:t>
            </w:r>
          </w:p>
        </w:tc>
        <w:tc>
          <w:tcPr>
            <w:tcW w:w="2831" w:type="dxa"/>
            <w:tcBorders>
              <w:top w:val="single" w:sz="8" w:space="0" w:color="auto"/>
            </w:tcBorders>
          </w:tcPr>
          <w:p w:rsidR="001A3512" w:rsidRDefault="001A3512" w:rsidP="00A5323C">
            <w:pPr>
              <w:pStyle w:val="TCTableBody"/>
              <w:spacing w:line="480" w:lineRule="auto"/>
            </w:pPr>
            <w:r>
              <w:t>0.040</w:t>
            </w:r>
          </w:p>
        </w:tc>
        <w:tc>
          <w:tcPr>
            <w:tcW w:w="2646" w:type="dxa"/>
            <w:tcBorders>
              <w:top w:val="single" w:sz="8" w:space="0" w:color="auto"/>
            </w:tcBorders>
          </w:tcPr>
          <w:p w:rsidR="001A3512" w:rsidRDefault="001A3512" w:rsidP="00A5323C">
            <w:pPr>
              <w:pStyle w:val="TCTableBody"/>
              <w:spacing w:line="480" w:lineRule="auto"/>
            </w:pPr>
            <w:r>
              <w:rPr>
                <w:rFonts w:hint="eastAsia"/>
              </w:rPr>
              <w:t>4</w:t>
            </w:r>
            <w:r>
              <w:t>0.38</w:t>
            </w:r>
          </w:p>
        </w:tc>
      </w:tr>
      <w:tr w:rsidR="001A3512" w:rsidTr="004658B8">
        <w:tc>
          <w:tcPr>
            <w:tcW w:w="2829" w:type="dxa"/>
          </w:tcPr>
          <w:p w:rsidR="001A3512" w:rsidRDefault="001A3512" w:rsidP="00A5323C">
            <w:pPr>
              <w:pStyle w:val="TCTableBody"/>
              <w:spacing w:line="480" w:lineRule="auto"/>
            </w:pPr>
            <w:r>
              <w:t>100</w:t>
            </w:r>
          </w:p>
        </w:tc>
        <w:tc>
          <w:tcPr>
            <w:tcW w:w="2831" w:type="dxa"/>
          </w:tcPr>
          <w:p w:rsidR="001A3512" w:rsidRDefault="001A3512" w:rsidP="00A5323C">
            <w:pPr>
              <w:pStyle w:val="TCTableBody"/>
              <w:spacing w:line="480" w:lineRule="auto"/>
            </w:pPr>
            <w:r>
              <w:t>0.150</w:t>
            </w:r>
          </w:p>
        </w:tc>
        <w:tc>
          <w:tcPr>
            <w:tcW w:w="2646" w:type="dxa"/>
          </w:tcPr>
          <w:p w:rsidR="001A3512" w:rsidRDefault="001A3512" w:rsidP="00A5323C">
            <w:pPr>
              <w:pStyle w:val="TCTableBody"/>
              <w:spacing w:line="480" w:lineRule="auto"/>
            </w:pPr>
            <w:r>
              <w:t>14.95</w:t>
            </w:r>
          </w:p>
        </w:tc>
      </w:tr>
      <w:tr w:rsidR="001A3512" w:rsidTr="004658B8">
        <w:tc>
          <w:tcPr>
            <w:tcW w:w="2829" w:type="dxa"/>
          </w:tcPr>
          <w:p w:rsidR="001A3512" w:rsidRDefault="001A3512" w:rsidP="00A5323C">
            <w:pPr>
              <w:pStyle w:val="TCTableBody"/>
              <w:spacing w:line="480" w:lineRule="auto"/>
            </w:pPr>
            <w:r>
              <w:t>10</w:t>
            </w:r>
          </w:p>
        </w:tc>
        <w:tc>
          <w:tcPr>
            <w:tcW w:w="2831" w:type="dxa"/>
          </w:tcPr>
          <w:p w:rsidR="001A3512" w:rsidRDefault="001A3512" w:rsidP="00A5323C">
            <w:pPr>
              <w:pStyle w:val="TCTableBody"/>
              <w:spacing w:line="480" w:lineRule="auto"/>
            </w:pPr>
            <w:r>
              <w:t>0.485</w:t>
            </w:r>
          </w:p>
        </w:tc>
        <w:tc>
          <w:tcPr>
            <w:tcW w:w="2646" w:type="dxa"/>
          </w:tcPr>
          <w:p w:rsidR="001A3512" w:rsidRDefault="001A3512" w:rsidP="00A5323C">
            <w:pPr>
              <w:pStyle w:val="TCTableBody"/>
              <w:spacing w:line="480" w:lineRule="auto"/>
            </w:pPr>
            <w:r>
              <w:rPr>
                <w:rFonts w:hint="eastAsia"/>
              </w:rPr>
              <w:t>4</w:t>
            </w:r>
            <w:r>
              <w:t>.85</w:t>
            </w:r>
          </w:p>
        </w:tc>
      </w:tr>
      <w:tr w:rsidR="001A3512" w:rsidTr="004658B8">
        <w:tc>
          <w:tcPr>
            <w:tcW w:w="2829" w:type="dxa"/>
            <w:tcBorders>
              <w:bottom w:val="single" w:sz="8" w:space="0" w:color="auto"/>
            </w:tcBorders>
          </w:tcPr>
          <w:p w:rsidR="001A3512" w:rsidRDefault="001A3512" w:rsidP="00A5323C">
            <w:pPr>
              <w:pStyle w:val="TCTableBody"/>
              <w:spacing w:line="480" w:lineRule="auto"/>
            </w:pPr>
            <w:r>
              <w:t>1</w:t>
            </w:r>
          </w:p>
        </w:tc>
        <w:tc>
          <w:tcPr>
            <w:tcW w:w="2831" w:type="dxa"/>
            <w:tcBorders>
              <w:bottom w:val="single" w:sz="8" w:space="0" w:color="auto"/>
            </w:tcBorders>
          </w:tcPr>
          <w:p w:rsidR="001A3512" w:rsidRDefault="001A3512" w:rsidP="00A5323C">
            <w:pPr>
              <w:pStyle w:val="TCTableBody"/>
              <w:spacing w:line="480" w:lineRule="auto"/>
            </w:pPr>
            <w:r>
              <w:t>0.763</w:t>
            </w:r>
          </w:p>
        </w:tc>
        <w:tc>
          <w:tcPr>
            <w:tcW w:w="2646" w:type="dxa"/>
            <w:tcBorders>
              <w:bottom w:val="single" w:sz="8" w:space="0" w:color="auto"/>
            </w:tcBorders>
          </w:tcPr>
          <w:p w:rsidR="001A3512" w:rsidRDefault="001A3512" w:rsidP="00A5323C">
            <w:pPr>
              <w:pStyle w:val="TCTableBody"/>
              <w:spacing w:line="480" w:lineRule="auto"/>
            </w:pPr>
            <w:r>
              <w:rPr>
                <w:rFonts w:hint="eastAsia"/>
              </w:rPr>
              <w:t>0</w:t>
            </w:r>
            <w:r>
              <w:t>.76</w:t>
            </w:r>
          </w:p>
        </w:tc>
      </w:tr>
    </w:tbl>
    <w:p w:rsidR="001A3512" w:rsidRDefault="001A3512" w:rsidP="00A5323C">
      <w:pPr>
        <w:spacing w:before="120" w:after="200" w:line="480" w:lineRule="auto"/>
        <w:jc w:val="center"/>
        <w:rPr>
          <w:rFonts w:ascii="Times New Roman" w:hAnsi="Times New Roman" w:cs="Times New Roman"/>
          <w:b/>
          <w:bCs/>
          <w:sz w:val="22"/>
        </w:rPr>
      </w:pPr>
    </w:p>
    <w:p w:rsidR="001A3512" w:rsidRDefault="001A3512" w:rsidP="00A5323C">
      <w:pPr>
        <w:widowControl/>
        <w:spacing w:before="120" w:after="200" w:line="480" w:lineRule="auto"/>
        <w:jc w:val="left"/>
        <w:rPr>
          <w:rFonts w:ascii="Times New Roman" w:hAnsi="Times New Roman" w:cs="Times New Roman"/>
          <w:b/>
          <w:bCs/>
          <w:sz w:val="22"/>
        </w:rPr>
      </w:pPr>
      <w:r>
        <w:rPr>
          <w:rFonts w:ascii="Times New Roman" w:hAnsi="Times New Roman" w:cs="Times New Roman"/>
          <w:b/>
          <w:bCs/>
          <w:sz w:val="22"/>
        </w:rPr>
        <w:br w:type="page"/>
      </w:r>
      <w:bookmarkEnd w:id="11"/>
    </w:p>
    <w:p w:rsidR="001A3512" w:rsidRDefault="001A3512" w:rsidP="00A5323C">
      <w:pPr>
        <w:pStyle w:val="VDTableTitle"/>
      </w:pPr>
      <w:r>
        <w:rPr>
          <w:b/>
          <w:bCs/>
          <w:kern w:val="44"/>
        </w:rPr>
        <w:lastRenderedPageBreak/>
        <w:t>Table S2</w:t>
      </w:r>
      <w:r w:rsidR="00022A16">
        <w:rPr>
          <w:b/>
          <w:bCs/>
          <w:kern w:val="44"/>
        </w:rPr>
        <w:t>:</w:t>
      </w:r>
      <w:r>
        <w:t xml:space="preserve"> Equilibrium electrode potentials of cathodic reactions at various CuSO</w:t>
      </w:r>
      <w:r>
        <w:rPr>
          <w:vertAlign w:val="subscript"/>
        </w:rPr>
        <w:t>4</w:t>
      </w:r>
      <w:r>
        <w:t xml:space="preserve"> concentrations</w:t>
      </w:r>
    </w:p>
    <w:tbl>
      <w:tblPr>
        <w:tblW w:w="0" w:type="auto"/>
        <w:tblLook w:val="04A0" w:firstRow="1" w:lastRow="0" w:firstColumn="1" w:lastColumn="0" w:noHBand="0" w:noVBand="1"/>
      </w:tblPr>
      <w:tblGrid>
        <w:gridCol w:w="1818"/>
        <w:gridCol w:w="1796"/>
        <w:gridCol w:w="1818"/>
        <w:gridCol w:w="1437"/>
        <w:gridCol w:w="1437"/>
      </w:tblGrid>
      <w:tr w:rsidR="001A3512" w:rsidTr="004658B8">
        <w:tc>
          <w:tcPr>
            <w:tcW w:w="1818" w:type="dxa"/>
            <w:tcBorders>
              <w:top w:val="single" w:sz="8" w:space="0" w:color="auto"/>
              <w:bottom w:val="single" w:sz="8" w:space="0" w:color="auto"/>
            </w:tcBorders>
          </w:tcPr>
          <w:p w:rsidR="001A3512" w:rsidRDefault="001A3512" w:rsidP="00A5323C">
            <w:pPr>
              <w:pStyle w:val="TCTableBody"/>
              <w:spacing w:line="480" w:lineRule="auto"/>
            </w:pPr>
            <w:r>
              <w:rPr>
                <w:i/>
                <w:iCs/>
              </w:rPr>
              <w:t>c</w:t>
            </w:r>
            <w:r>
              <w:t xml:space="preserve"> (mM)</w:t>
            </w:r>
          </w:p>
        </w:tc>
        <w:tc>
          <w:tcPr>
            <w:tcW w:w="1796" w:type="dxa"/>
            <w:tcBorders>
              <w:top w:val="single" w:sz="8" w:space="0" w:color="auto"/>
              <w:bottom w:val="single" w:sz="8" w:space="0" w:color="auto"/>
            </w:tcBorders>
          </w:tcPr>
          <w:p w:rsidR="001A3512" w:rsidRDefault="001A3512" w:rsidP="00A5323C">
            <w:pPr>
              <w:pStyle w:val="TCTableBody"/>
              <w:spacing w:line="480" w:lineRule="auto"/>
            </w:pPr>
            <w:r>
              <w:rPr>
                <w:rFonts w:hint="eastAsia"/>
              </w:rPr>
              <w:t>p</w:t>
            </w:r>
            <w:r>
              <w:t>H</w:t>
            </w:r>
          </w:p>
        </w:tc>
        <w:tc>
          <w:tcPr>
            <w:tcW w:w="1818" w:type="dxa"/>
            <w:tcBorders>
              <w:top w:val="single" w:sz="8" w:space="0" w:color="auto"/>
              <w:bottom w:val="single" w:sz="8" w:space="0" w:color="auto"/>
            </w:tcBorders>
          </w:tcPr>
          <w:p w:rsidR="001A3512" w:rsidRDefault="001A3512" w:rsidP="00A5323C">
            <w:pPr>
              <w:pStyle w:val="TCTableBody"/>
              <w:spacing w:line="480" w:lineRule="auto"/>
            </w:pPr>
            <m:oMath>
              <m:r>
                <m:rPr>
                  <m:sty m:val="bi"/>
                </m:rPr>
                <w:rPr>
                  <w:rFonts w:ascii="Cambria Math" w:hAnsi="Cambria Math"/>
                </w:rPr>
                <m:t>φ</m:t>
              </m:r>
            </m:oMath>
            <w:r>
              <w:rPr>
                <w:iCs/>
                <w:vertAlign w:val="subscript"/>
              </w:rPr>
              <w:t xml:space="preserve">s6 </w:t>
            </w:r>
            <w:r>
              <w:rPr>
                <w:iCs/>
              </w:rPr>
              <w:t>(V)</w:t>
            </w:r>
          </w:p>
        </w:tc>
        <w:tc>
          <w:tcPr>
            <w:tcW w:w="1437" w:type="dxa"/>
            <w:tcBorders>
              <w:top w:val="single" w:sz="8" w:space="0" w:color="auto"/>
              <w:bottom w:val="single" w:sz="8" w:space="0" w:color="auto"/>
            </w:tcBorders>
          </w:tcPr>
          <w:p w:rsidR="001A3512" w:rsidRDefault="001A3512" w:rsidP="00A5323C">
            <w:pPr>
              <w:pStyle w:val="TCTableBody"/>
              <w:spacing w:line="480" w:lineRule="auto"/>
              <w:rPr>
                <w:i/>
                <w:iCs/>
              </w:rPr>
            </w:pPr>
            <m:oMath>
              <m:r>
                <m:rPr>
                  <m:sty m:val="bi"/>
                </m:rPr>
                <w:rPr>
                  <w:rFonts w:ascii="Cambria Math" w:hAnsi="Cambria Math"/>
                </w:rPr>
                <m:t>φ</m:t>
              </m:r>
            </m:oMath>
            <w:r>
              <w:rPr>
                <w:iCs/>
                <w:vertAlign w:val="subscript"/>
              </w:rPr>
              <w:t xml:space="preserve">s7 </w:t>
            </w:r>
            <w:r>
              <w:rPr>
                <w:iCs/>
              </w:rPr>
              <w:t>(V)</w:t>
            </w:r>
          </w:p>
        </w:tc>
        <w:tc>
          <w:tcPr>
            <w:tcW w:w="1437" w:type="dxa"/>
            <w:tcBorders>
              <w:top w:val="single" w:sz="8" w:space="0" w:color="auto"/>
              <w:bottom w:val="single" w:sz="8" w:space="0" w:color="auto"/>
            </w:tcBorders>
          </w:tcPr>
          <w:p w:rsidR="001A3512" w:rsidRDefault="001A3512" w:rsidP="00A5323C">
            <w:pPr>
              <w:pStyle w:val="TCTableBody"/>
              <w:spacing w:line="480" w:lineRule="auto"/>
              <w:rPr>
                <w:i/>
                <w:iCs/>
              </w:rPr>
            </w:pPr>
            <m:oMath>
              <m:r>
                <m:rPr>
                  <m:sty m:val="bi"/>
                </m:rPr>
                <w:rPr>
                  <w:rFonts w:ascii="Cambria Math" w:hAnsi="Cambria Math"/>
                </w:rPr>
                <m:t>φ</m:t>
              </m:r>
            </m:oMath>
            <w:r>
              <w:rPr>
                <w:iCs/>
                <w:vertAlign w:val="subscript"/>
              </w:rPr>
              <w:t xml:space="preserve">s8 </w:t>
            </w:r>
            <w:r>
              <w:rPr>
                <w:iCs/>
              </w:rPr>
              <w:t>(V)</w:t>
            </w:r>
          </w:p>
        </w:tc>
      </w:tr>
      <w:tr w:rsidR="001A3512" w:rsidTr="004658B8">
        <w:tc>
          <w:tcPr>
            <w:tcW w:w="1818" w:type="dxa"/>
            <w:tcBorders>
              <w:top w:val="single" w:sz="8" w:space="0" w:color="auto"/>
            </w:tcBorders>
          </w:tcPr>
          <w:p w:rsidR="001A3512" w:rsidRDefault="001A3512" w:rsidP="00A5323C">
            <w:pPr>
              <w:pStyle w:val="TCTableBody"/>
              <w:spacing w:line="480" w:lineRule="auto"/>
            </w:pPr>
            <w:r>
              <w:t xml:space="preserve">1000 </w:t>
            </w:r>
          </w:p>
        </w:tc>
        <w:tc>
          <w:tcPr>
            <w:tcW w:w="1796" w:type="dxa"/>
            <w:tcBorders>
              <w:top w:val="single" w:sz="8" w:space="0" w:color="auto"/>
            </w:tcBorders>
          </w:tcPr>
          <w:p w:rsidR="001A3512" w:rsidRDefault="001A3512" w:rsidP="00A5323C">
            <w:pPr>
              <w:pStyle w:val="TCTableBody"/>
              <w:spacing w:line="480" w:lineRule="auto"/>
            </w:pPr>
            <w:r>
              <w:t>3.19</w:t>
            </w:r>
          </w:p>
        </w:tc>
        <w:tc>
          <w:tcPr>
            <w:tcW w:w="1818" w:type="dxa"/>
            <w:tcBorders>
              <w:top w:val="single" w:sz="8" w:space="0" w:color="auto"/>
            </w:tcBorders>
          </w:tcPr>
          <w:p w:rsidR="001A3512" w:rsidRDefault="001A3512" w:rsidP="00A5323C">
            <w:pPr>
              <w:pStyle w:val="TCTableBody"/>
              <w:spacing w:line="480" w:lineRule="auto"/>
            </w:pPr>
            <w:r>
              <w:rPr>
                <w:rFonts w:hint="eastAsia"/>
              </w:rPr>
              <w:t>0</w:t>
            </w:r>
            <w:r>
              <w:t>.299</w:t>
            </w:r>
          </w:p>
        </w:tc>
        <w:tc>
          <w:tcPr>
            <w:tcW w:w="1437" w:type="dxa"/>
            <w:tcBorders>
              <w:top w:val="single" w:sz="8" w:space="0" w:color="auto"/>
            </w:tcBorders>
          </w:tcPr>
          <w:p w:rsidR="001A3512" w:rsidRDefault="001A3512" w:rsidP="00A5323C">
            <w:pPr>
              <w:pStyle w:val="TCTableBody"/>
              <w:spacing w:line="480" w:lineRule="auto"/>
            </w:pPr>
            <w:r>
              <w:rPr>
                <w:rFonts w:hint="eastAsia"/>
              </w:rPr>
              <w:t>0</w:t>
            </w:r>
            <w:r>
              <w:t>.273</w:t>
            </w:r>
          </w:p>
        </w:tc>
        <w:tc>
          <w:tcPr>
            <w:tcW w:w="1437" w:type="dxa"/>
            <w:tcBorders>
              <w:top w:val="single" w:sz="8" w:space="0" w:color="auto"/>
            </w:tcBorders>
          </w:tcPr>
          <w:p w:rsidR="001A3512" w:rsidRDefault="001A3512" w:rsidP="00A5323C">
            <w:pPr>
              <w:pStyle w:val="TCTableBody"/>
              <w:spacing w:line="480" w:lineRule="auto"/>
            </w:pPr>
            <w:r>
              <w:rPr>
                <w:rFonts w:hint="eastAsia"/>
              </w:rPr>
              <w:t>0</w:t>
            </w:r>
            <w:r>
              <w:t>.309</w:t>
            </w:r>
          </w:p>
        </w:tc>
      </w:tr>
      <w:tr w:rsidR="001A3512" w:rsidTr="004658B8">
        <w:tc>
          <w:tcPr>
            <w:tcW w:w="1818" w:type="dxa"/>
          </w:tcPr>
          <w:p w:rsidR="001A3512" w:rsidRDefault="001A3512" w:rsidP="00A5323C">
            <w:pPr>
              <w:pStyle w:val="TCTableBody"/>
              <w:spacing w:line="480" w:lineRule="auto"/>
            </w:pPr>
            <w:r>
              <w:t>100</w:t>
            </w:r>
          </w:p>
        </w:tc>
        <w:tc>
          <w:tcPr>
            <w:tcW w:w="1796" w:type="dxa"/>
          </w:tcPr>
          <w:p w:rsidR="001A3512" w:rsidRDefault="001A3512" w:rsidP="00A5323C">
            <w:pPr>
              <w:pStyle w:val="TCTableBody"/>
              <w:spacing w:line="480" w:lineRule="auto"/>
            </w:pPr>
            <w:r>
              <w:rPr>
                <w:rFonts w:hint="eastAsia"/>
              </w:rPr>
              <w:t>4</w:t>
            </w:r>
            <w:r>
              <w:t>.07</w:t>
            </w:r>
          </w:p>
        </w:tc>
        <w:tc>
          <w:tcPr>
            <w:tcW w:w="1818" w:type="dxa"/>
          </w:tcPr>
          <w:p w:rsidR="001A3512" w:rsidRDefault="001A3512" w:rsidP="00A5323C">
            <w:pPr>
              <w:pStyle w:val="TCTableBody"/>
              <w:spacing w:line="480" w:lineRule="auto"/>
            </w:pPr>
            <w:r>
              <w:rPr>
                <w:rFonts w:hint="eastAsia"/>
              </w:rPr>
              <w:t>0</w:t>
            </w:r>
            <w:r>
              <w:t>.286</w:t>
            </w:r>
          </w:p>
        </w:tc>
        <w:tc>
          <w:tcPr>
            <w:tcW w:w="1437" w:type="dxa"/>
          </w:tcPr>
          <w:p w:rsidR="001A3512" w:rsidRDefault="001A3512" w:rsidP="00A5323C">
            <w:pPr>
              <w:pStyle w:val="TCTableBody"/>
              <w:spacing w:line="480" w:lineRule="auto"/>
            </w:pPr>
            <w:r>
              <w:rPr>
                <w:rFonts w:hint="eastAsia"/>
              </w:rPr>
              <w:t>0</w:t>
            </w:r>
            <w:r>
              <w:t>.221</w:t>
            </w:r>
          </w:p>
        </w:tc>
        <w:tc>
          <w:tcPr>
            <w:tcW w:w="1437" w:type="dxa"/>
          </w:tcPr>
          <w:p w:rsidR="001A3512" w:rsidRDefault="001A3512" w:rsidP="00A5323C">
            <w:pPr>
              <w:pStyle w:val="TCTableBody"/>
              <w:spacing w:line="480" w:lineRule="auto"/>
            </w:pPr>
            <w:r>
              <w:rPr>
                <w:rFonts w:hint="eastAsia"/>
              </w:rPr>
              <w:t>0</w:t>
            </w:r>
            <w:r>
              <w:t>.33</w:t>
            </w:r>
          </w:p>
        </w:tc>
      </w:tr>
      <w:tr w:rsidR="001A3512" w:rsidTr="004658B8">
        <w:tc>
          <w:tcPr>
            <w:tcW w:w="1818" w:type="dxa"/>
          </w:tcPr>
          <w:p w:rsidR="001A3512" w:rsidRDefault="001A3512" w:rsidP="00A5323C">
            <w:pPr>
              <w:pStyle w:val="TCTableBody"/>
              <w:spacing w:line="480" w:lineRule="auto"/>
            </w:pPr>
            <w:r>
              <w:t>10</w:t>
            </w:r>
          </w:p>
        </w:tc>
        <w:tc>
          <w:tcPr>
            <w:tcW w:w="1796" w:type="dxa"/>
          </w:tcPr>
          <w:p w:rsidR="001A3512" w:rsidRDefault="001A3512" w:rsidP="00A5323C">
            <w:pPr>
              <w:pStyle w:val="TCTableBody"/>
              <w:spacing w:line="480" w:lineRule="auto"/>
            </w:pPr>
            <w:r>
              <w:rPr>
                <w:rFonts w:hint="eastAsia"/>
              </w:rPr>
              <w:t>4</w:t>
            </w:r>
            <w:r>
              <w:t>.83</w:t>
            </w:r>
          </w:p>
        </w:tc>
        <w:tc>
          <w:tcPr>
            <w:tcW w:w="1818" w:type="dxa"/>
          </w:tcPr>
          <w:p w:rsidR="001A3512" w:rsidRDefault="001A3512" w:rsidP="00A5323C">
            <w:pPr>
              <w:pStyle w:val="TCTableBody"/>
              <w:spacing w:line="480" w:lineRule="auto"/>
            </w:pPr>
            <w:r>
              <w:rPr>
                <w:rFonts w:hint="eastAsia"/>
              </w:rPr>
              <w:t>0</w:t>
            </w:r>
            <w:r>
              <w:t>.271</w:t>
            </w:r>
          </w:p>
        </w:tc>
        <w:tc>
          <w:tcPr>
            <w:tcW w:w="1437" w:type="dxa"/>
          </w:tcPr>
          <w:p w:rsidR="001A3512" w:rsidRDefault="001A3512" w:rsidP="00A5323C">
            <w:pPr>
              <w:pStyle w:val="TCTableBody"/>
              <w:spacing w:line="480" w:lineRule="auto"/>
            </w:pPr>
            <w:r>
              <w:rPr>
                <w:rFonts w:hint="eastAsia"/>
              </w:rPr>
              <w:t>0</w:t>
            </w:r>
            <w:r>
              <w:t>.176</w:t>
            </w:r>
          </w:p>
        </w:tc>
        <w:tc>
          <w:tcPr>
            <w:tcW w:w="1437" w:type="dxa"/>
          </w:tcPr>
          <w:p w:rsidR="001A3512" w:rsidRDefault="001A3512" w:rsidP="00A5323C">
            <w:pPr>
              <w:pStyle w:val="TCTableBody"/>
              <w:spacing w:line="480" w:lineRule="auto"/>
            </w:pPr>
            <w:r>
              <w:rPr>
                <w:rFonts w:hint="eastAsia"/>
              </w:rPr>
              <w:t>0</w:t>
            </w:r>
            <w:r>
              <w:t>.351</w:t>
            </w:r>
          </w:p>
        </w:tc>
      </w:tr>
      <w:tr w:rsidR="001A3512" w:rsidTr="004658B8">
        <w:tc>
          <w:tcPr>
            <w:tcW w:w="1818" w:type="dxa"/>
            <w:tcBorders>
              <w:bottom w:val="single" w:sz="8" w:space="0" w:color="auto"/>
            </w:tcBorders>
          </w:tcPr>
          <w:p w:rsidR="001A3512" w:rsidRDefault="001A3512" w:rsidP="00A5323C">
            <w:pPr>
              <w:pStyle w:val="TCTableBody"/>
              <w:spacing w:line="480" w:lineRule="auto"/>
            </w:pPr>
            <w:r>
              <w:t>1</w:t>
            </w:r>
          </w:p>
        </w:tc>
        <w:tc>
          <w:tcPr>
            <w:tcW w:w="1796" w:type="dxa"/>
            <w:tcBorders>
              <w:bottom w:val="single" w:sz="8" w:space="0" w:color="auto"/>
            </w:tcBorders>
          </w:tcPr>
          <w:p w:rsidR="001A3512" w:rsidRDefault="001A3512" w:rsidP="00A5323C">
            <w:pPr>
              <w:pStyle w:val="TCTableBody"/>
              <w:spacing w:line="480" w:lineRule="auto"/>
            </w:pPr>
            <w:r>
              <w:rPr>
                <w:rFonts w:hint="eastAsia"/>
              </w:rPr>
              <w:t>5</w:t>
            </w:r>
            <w:r>
              <w:t>.23</w:t>
            </w:r>
          </w:p>
        </w:tc>
        <w:tc>
          <w:tcPr>
            <w:tcW w:w="1818" w:type="dxa"/>
            <w:tcBorders>
              <w:bottom w:val="single" w:sz="8" w:space="0" w:color="auto"/>
            </w:tcBorders>
          </w:tcPr>
          <w:p w:rsidR="001A3512" w:rsidRDefault="001A3512" w:rsidP="00A5323C">
            <w:pPr>
              <w:pStyle w:val="TCTableBody"/>
              <w:spacing w:line="480" w:lineRule="auto"/>
            </w:pPr>
            <w:r>
              <w:rPr>
                <w:rFonts w:hint="eastAsia"/>
              </w:rPr>
              <w:t>0</w:t>
            </w:r>
            <w:r>
              <w:t>.248</w:t>
            </w:r>
          </w:p>
        </w:tc>
        <w:tc>
          <w:tcPr>
            <w:tcW w:w="1437" w:type="dxa"/>
            <w:tcBorders>
              <w:bottom w:val="single" w:sz="8" w:space="0" w:color="auto"/>
            </w:tcBorders>
          </w:tcPr>
          <w:p w:rsidR="001A3512" w:rsidRDefault="001A3512" w:rsidP="00A5323C">
            <w:pPr>
              <w:pStyle w:val="TCTableBody"/>
              <w:spacing w:line="480" w:lineRule="auto"/>
            </w:pPr>
            <w:r>
              <w:rPr>
                <w:rFonts w:hint="eastAsia"/>
              </w:rPr>
              <w:t>0</w:t>
            </w:r>
            <w:r>
              <w:t>.152</w:t>
            </w:r>
          </w:p>
        </w:tc>
        <w:tc>
          <w:tcPr>
            <w:tcW w:w="1437" w:type="dxa"/>
            <w:tcBorders>
              <w:bottom w:val="single" w:sz="8" w:space="0" w:color="auto"/>
            </w:tcBorders>
          </w:tcPr>
          <w:p w:rsidR="001A3512" w:rsidRDefault="001A3512" w:rsidP="00A5323C">
            <w:pPr>
              <w:pStyle w:val="TCTableBody"/>
              <w:spacing w:line="480" w:lineRule="auto"/>
            </w:pPr>
            <w:r>
              <w:rPr>
                <w:rFonts w:hint="eastAsia"/>
              </w:rPr>
              <w:t>0</w:t>
            </w:r>
            <w:r>
              <w:t>.328</w:t>
            </w:r>
          </w:p>
        </w:tc>
      </w:tr>
    </w:tbl>
    <w:p w:rsidR="001A3512" w:rsidRDefault="001A3512" w:rsidP="00A5323C">
      <w:pPr>
        <w:spacing w:before="120" w:after="200" w:line="480" w:lineRule="auto"/>
        <w:jc w:val="center"/>
        <w:rPr>
          <w:rFonts w:ascii="Times New Roman" w:hAnsi="Times New Roman" w:cs="Times New Roman"/>
          <w:b/>
          <w:bCs/>
          <w:sz w:val="22"/>
        </w:rPr>
      </w:pPr>
    </w:p>
    <w:p w:rsidR="001A3512" w:rsidRDefault="001A3512" w:rsidP="00A5323C">
      <w:pPr>
        <w:widowControl/>
        <w:spacing w:before="120" w:after="200" w:line="480" w:lineRule="auto"/>
        <w:jc w:val="left"/>
        <w:rPr>
          <w:rFonts w:ascii="Times New Roman" w:hAnsi="Times New Roman" w:cs="Times New Roman"/>
          <w:b/>
          <w:bCs/>
          <w:sz w:val="22"/>
        </w:rPr>
      </w:pPr>
      <w:r>
        <w:rPr>
          <w:rFonts w:ascii="Times New Roman" w:hAnsi="Times New Roman" w:cs="Times New Roman"/>
          <w:b/>
          <w:bCs/>
          <w:sz w:val="22"/>
        </w:rPr>
        <w:br w:type="page"/>
      </w:r>
    </w:p>
    <w:p w:rsidR="001A3512" w:rsidRDefault="001A3512" w:rsidP="00A5323C">
      <w:pPr>
        <w:pStyle w:val="VDTableTitle"/>
      </w:pPr>
      <w:r>
        <w:rPr>
          <w:b/>
          <w:bCs/>
          <w:kern w:val="44"/>
        </w:rPr>
        <w:lastRenderedPageBreak/>
        <w:t>Table S3</w:t>
      </w:r>
      <w:bookmarkStart w:id="12" w:name="_Hlk149919894"/>
      <w:bookmarkStart w:id="13" w:name="_Hlk172023190"/>
      <w:r w:rsidR="00022A16">
        <w:rPr>
          <w:b/>
          <w:bCs/>
          <w:kern w:val="44"/>
        </w:rPr>
        <w:t>:</w:t>
      </w:r>
      <w:r>
        <w:rPr>
          <w:b/>
          <w:bCs/>
          <w:kern w:val="44"/>
        </w:rPr>
        <w:t xml:space="preserve"> </w:t>
      </w:r>
      <w:r>
        <w:t>Comparison of the C</w:t>
      </w:r>
      <w:bookmarkEnd w:id="12"/>
      <w:bookmarkEnd w:id="13"/>
      <w:r>
        <w:t>NM with others</w:t>
      </w:r>
      <w:r>
        <w:rPr>
          <w:rFonts w:hint="eastAsia"/>
        </w:rPr>
        <w:t>.</w:t>
      </w:r>
    </w:p>
    <w:tbl>
      <w:tblPr>
        <w:tblW w:w="10349" w:type="dxa"/>
        <w:tblInd w:w="-426" w:type="dxa"/>
        <w:tblLayout w:type="fixed"/>
        <w:tblLook w:val="04A0" w:firstRow="1" w:lastRow="0" w:firstColumn="1" w:lastColumn="0" w:noHBand="0" w:noVBand="1"/>
      </w:tblPr>
      <w:tblGrid>
        <w:gridCol w:w="142"/>
        <w:gridCol w:w="1277"/>
        <w:gridCol w:w="1984"/>
        <w:gridCol w:w="2268"/>
        <w:gridCol w:w="2410"/>
        <w:gridCol w:w="2268"/>
      </w:tblGrid>
      <w:tr w:rsidR="001A3512" w:rsidTr="00022A16">
        <w:trPr>
          <w:gridBefore w:val="1"/>
          <w:wBefore w:w="142" w:type="dxa"/>
        </w:trPr>
        <w:tc>
          <w:tcPr>
            <w:tcW w:w="1277" w:type="dxa"/>
            <w:tcBorders>
              <w:top w:val="single" w:sz="8" w:space="0" w:color="auto"/>
              <w:bottom w:val="single" w:sz="8" w:space="0" w:color="auto"/>
            </w:tcBorders>
            <w:vAlign w:val="center"/>
          </w:tcPr>
          <w:p w:rsidR="001A3512" w:rsidRDefault="001A3512" w:rsidP="00022A16">
            <w:pPr>
              <w:pStyle w:val="TCTableBody"/>
              <w:spacing w:line="480" w:lineRule="auto"/>
              <w:jc w:val="center"/>
            </w:pPr>
            <w:r>
              <w:t>Reference</w:t>
            </w:r>
          </w:p>
        </w:tc>
        <w:tc>
          <w:tcPr>
            <w:tcW w:w="1984" w:type="dxa"/>
            <w:tcBorders>
              <w:top w:val="single" w:sz="8" w:space="0" w:color="auto"/>
              <w:bottom w:val="single" w:sz="8" w:space="0" w:color="auto"/>
            </w:tcBorders>
            <w:vAlign w:val="center"/>
          </w:tcPr>
          <w:p w:rsidR="001A3512" w:rsidRDefault="001A3512" w:rsidP="00022A16">
            <w:pPr>
              <w:pStyle w:val="TCTableBody"/>
              <w:spacing w:line="480" w:lineRule="auto"/>
              <w:jc w:val="center"/>
            </w:pPr>
            <w:r>
              <w:rPr>
                <w:rFonts w:hint="eastAsia"/>
              </w:rPr>
              <w:t>O</w:t>
            </w:r>
            <w:r>
              <w:t>perating</w:t>
            </w:r>
            <w:r>
              <w:rPr>
                <w:rFonts w:hint="eastAsia"/>
              </w:rPr>
              <w:t xml:space="preserve"> </w:t>
            </w:r>
            <w:r>
              <w:t>Current</w:t>
            </w:r>
            <w:r w:rsidR="00022A16">
              <w:t xml:space="preserve"> (</w:t>
            </w:r>
            <w:proofErr w:type="spellStart"/>
            <w:r w:rsidR="00022A16">
              <w:t>nA</w:t>
            </w:r>
            <w:proofErr w:type="spellEnd"/>
            <w:r w:rsidR="00022A16">
              <w:t>)</w:t>
            </w:r>
          </w:p>
        </w:tc>
        <w:tc>
          <w:tcPr>
            <w:tcW w:w="2268" w:type="dxa"/>
            <w:tcBorders>
              <w:top w:val="single" w:sz="8" w:space="0" w:color="auto"/>
              <w:bottom w:val="single" w:sz="8" w:space="0" w:color="auto"/>
            </w:tcBorders>
            <w:vAlign w:val="center"/>
          </w:tcPr>
          <w:p w:rsidR="001A3512" w:rsidRDefault="001A3512" w:rsidP="00022A16">
            <w:pPr>
              <w:pStyle w:val="TCTableBody"/>
              <w:spacing w:line="480" w:lineRule="auto"/>
              <w:jc w:val="center"/>
            </w:pPr>
            <w:r>
              <w:rPr>
                <w:rFonts w:hint="eastAsia"/>
              </w:rPr>
              <w:t>O</w:t>
            </w:r>
            <w:r>
              <w:t>perating</w:t>
            </w:r>
            <w:r>
              <w:rPr>
                <w:rFonts w:hint="eastAsia"/>
              </w:rPr>
              <w:t xml:space="preserve"> </w:t>
            </w:r>
            <w:r>
              <w:t>Voltage</w:t>
            </w:r>
            <w:r w:rsidR="00022A16">
              <w:t xml:space="preserve"> (V)</w:t>
            </w:r>
          </w:p>
        </w:tc>
        <w:tc>
          <w:tcPr>
            <w:tcW w:w="2410" w:type="dxa"/>
            <w:tcBorders>
              <w:top w:val="single" w:sz="8" w:space="0" w:color="auto"/>
              <w:bottom w:val="single" w:sz="8" w:space="0" w:color="auto"/>
            </w:tcBorders>
            <w:vAlign w:val="center"/>
          </w:tcPr>
          <w:p w:rsidR="001A3512" w:rsidRDefault="001A3512" w:rsidP="00022A16">
            <w:pPr>
              <w:pStyle w:val="TCTableBody"/>
              <w:spacing w:line="480" w:lineRule="auto"/>
              <w:jc w:val="center"/>
            </w:pPr>
            <w:r>
              <w:t>Energy Consumption</w:t>
            </w:r>
            <w:r w:rsidR="00022A16">
              <w:t xml:space="preserve"> (</w:t>
            </w:r>
            <w:proofErr w:type="spellStart"/>
            <w:r w:rsidR="00022A16">
              <w:t>fJ</w:t>
            </w:r>
            <w:proofErr w:type="spellEnd"/>
            <w:r w:rsidR="00022A16">
              <w:t>/</w:t>
            </w:r>
            <w:proofErr w:type="spellStart"/>
            <w:r w:rsidR="00022A16">
              <w:t>pluse</w:t>
            </w:r>
            <w:proofErr w:type="spellEnd"/>
            <w:r w:rsidR="00022A16">
              <w:t>)</w:t>
            </w:r>
          </w:p>
        </w:tc>
        <w:tc>
          <w:tcPr>
            <w:tcW w:w="2268" w:type="dxa"/>
            <w:tcBorders>
              <w:top w:val="single" w:sz="8" w:space="0" w:color="auto"/>
              <w:bottom w:val="single" w:sz="8" w:space="0" w:color="auto"/>
            </w:tcBorders>
            <w:vAlign w:val="center"/>
          </w:tcPr>
          <w:p w:rsidR="001A3512" w:rsidRDefault="001A3512" w:rsidP="00022A16">
            <w:pPr>
              <w:pStyle w:val="TCTableBody"/>
              <w:spacing w:line="480" w:lineRule="auto"/>
              <w:jc w:val="center"/>
            </w:pPr>
            <w:r>
              <w:t>Neuromorphic Function</w:t>
            </w:r>
          </w:p>
        </w:tc>
      </w:tr>
      <w:tr w:rsidR="001A3512" w:rsidTr="00022A16">
        <w:tc>
          <w:tcPr>
            <w:tcW w:w="1419" w:type="dxa"/>
            <w:gridSpan w:val="2"/>
            <w:vAlign w:val="center"/>
          </w:tcPr>
          <w:p w:rsidR="001A3512" w:rsidRDefault="001A3512" w:rsidP="00022A16">
            <w:pPr>
              <w:pStyle w:val="TCTableBody"/>
              <w:spacing w:line="480" w:lineRule="auto"/>
              <w:jc w:val="center"/>
              <w:rPr>
                <w:bCs/>
              </w:rPr>
            </w:pPr>
            <w:r>
              <w:rPr>
                <w:bCs/>
              </w:rPr>
              <w:t>Ref</w:t>
            </w:r>
            <w:r>
              <w:rPr>
                <w:bCs/>
              </w:rPr>
              <w:fldChar w:fldCharType="begin"/>
            </w:r>
            <w:r>
              <w:rPr>
                <w:bCs/>
              </w:rPr>
              <w:instrText xml:space="preserve"> ADDIN EN.CITE &lt;EndNote&gt;&lt;Cite&gt;&lt;Author&gt;Najem&lt;/Author&gt;&lt;Year&gt;2018&lt;/Year&gt;&lt;RecNum&gt;40&lt;/RecNum&gt;&lt;DisplayText&gt;(&lt;style face="italic"&gt;7&lt;/style&gt;)&lt;/DisplayText&gt;&lt;record&gt;&lt;rec-number&gt;40&lt;/rec-number&gt;&lt;foreign-keys&gt;&lt;key app="EN" db-id="w55vddfpr52d2serdwrpzx5uvxz0v0zpadsa" timestamp="1762863819"&gt;40&lt;/key&gt;&lt;/foreign-keys&gt;&lt;ref-type name="Journal Article"&gt;17&lt;/ref-type&gt;&lt;contributors&gt;&lt;authors&gt;&lt;author&gt;Najem, Joseph S&lt;/author&gt;&lt;author&gt;Taylor, Graham J&lt;/author&gt;&lt;author&gt;Weiss, Ryan J&lt;/author&gt;&lt;author&gt;Hasan, Md Sakib&lt;/author&gt;&lt;author&gt;Rose, Garrett&lt;/author&gt;&lt;author&gt;Schuman, Catherine D&lt;/author&gt;&lt;author&gt;Belianinov, Alex&lt;/author&gt;&lt;author&gt;Collier, C Patrick&lt;/author&gt;&lt;author&gt;Sarles, Stephen A&lt;/author&gt;&lt;/authors&gt;&lt;/contributors&gt;&lt;titles&gt;&lt;title&gt;Memristive ion channel-doped biomembranes as synaptic mimics&lt;/title&gt;&lt;secondary-title&gt;ACS nano&lt;/secondary-title&gt;&lt;/titles&gt;&lt;periodical&gt;&lt;full-title&gt;ACS nano&lt;/full-title&gt;&lt;/periodical&gt;&lt;pages&gt;4702-4711&lt;/pages&gt;&lt;volume&gt;12&lt;/volume&gt;&lt;number&gt;5&lt;/number&gt;&lt;dates&gt;&lt;year&gt;2018&lt;/year&gt;&lt;/dates&gt;&lt;isbn&gt;1936-0851&lt;/isbn&gt;&lt;urls&gt;&lt;/urls&gt;&lt;/record&gt;&lt;/Cite&gt;&lt;/EndNote&gt;</w:instrText>
            </w:r>
            <w:r>
              <w:rPr>
                <w:bCs/>
              </w:rPr>
              <w:fldChar w:fldCharType="separate"/>
            </w:r>
            <w:r>
              <w:rPr>
                <w:bCs/>
              </w:rPr>
              <w:t>(</w:t>
            </w:r>
            <w:r>
              <w:rPr>
                <w:bCs/>
                <w:i/>
              </w:rPr>
              <w:t>32</w:t>
            </w:r>
            <w:r>
              <w:rPr>
                <w:bCs/>
              </w:rPr>
              <w:t>)</w:t>
            </w:r>
            <w:r>
              <w:rPr>
                <w:bCs/>
              </w:rPr>
              <w:fldChar w:fldCharType="end"/>
            </w:r>
          </w:p>
        </w:tc>
        <w:tc>
          <w:tcPr>
            <w:tcW w:w="1984" w:type="dxa"/>
            <w:vAlign w:val="center"/>
          </w:tcPr>
          <w:p w:rsidR="001A3512" w:rsidRDefault="001A3512" w:rsidP="00022A16">
            <w:pPr>
              <w:pStyle w:val="TCTableBody"/>
              <w:spacing w:line="480" w:lineRule="auto"/>
              <w:jc w:val="center"/>
              <w:rPr>
                <w:bCs/>
              </w:rPr>
            </w:pPr>
            <w:r>
              <w:rPr>
                <w:bCs/>
              </w:rPr>
              <w:t>~65</w:t>
            </w:r>
          </w:p>
        </w:tc>
        <w:tc>
          <w:tcPr>
            <w:tcW w:w="2268" w:type="dxa"/>
            <w:vAlign w:val="center"/>
          </w:tcPr>
          <w:p w:rsidR="001A3512" w:rsidRDefault="00022A16" w:rsidP="00022A16">
            <w:pPr>
              <w:pStyle w:val="TCTableBody"/>
              <w:spacing w:line="480" w:lineRule="auto"/>
              <w:jc w:val="center"/>
              <w:rPr>
                <w:bCs/>
              </w:rPr>
            </w:pPr>
            <w:r>
              <w:rPr>
                <w:bCs/>
              </w:rPr>
              <w:t>0.15</w:t>
            </w:r>
          </w:p>
        </w:tc>
        <w:tc>
          <w:tcPr>
            <w:tcW w:w="2410" w:type="dxa"/>
            <w:vAlign w:val="center"/>
          </w:tcPr>
          <w:p w:rsidR="001A3512" w:rsidRDefault="001A3512" w:rsidP="00022A16">
            <w:pPr>
              <w:pStyle w:val="TCTableBody"/>
              <w:spacing w:line="480" w:lineRule="auto"/>
              <w:jc w:val="center"/>
              <w:rPr>
                <w:bCs/>
              </w:rPr>
            </w:pPr>
            <w:r>
              <w:rPr>
                <w:bCs/>
              </w:rPr>
              <w:t>~10</w:t>
            </w:r>
            <w:r>
              <w:rPr>
                <w:bCs/>
                <w:vertAlign w:val="superscript"/>
              </w:rPr>
              <w:t>5</w:t>
            </w:r>
          </w:p>
        </w:tc>
        <w:tc>
          <w:tcPr>
            <w:tcW w:w="2268" w:type="dxa"/>
            <w:vAlign w:val="center"/>
          </w:tcPr>
          <w:p w:rsidR="001A3512" w:rsidRDefault="001A3512" w:rsidP="00022A16">
            <w:pPr>
              <w:pStyle w:val="TCTableBody"/>
              <w:spacing w:line="480" w:lineRule="auto"/>
              <w:jc w:val="center"/>
              <w:rPr>
                <w:bCs/>
              </w:rPr>
            </w:pPr>
            <w:r>
              <w:rPr>
                <w:bCs/>
              </w:rPr>
              <w:t>STP</w:t>
            </w:r>
          </w:p>
        </w:tc>
      </w:tr>
      <w:tr w:rsidR="001A3512" w:rsidTr="00022A16">
        <w:tc>
          <w:tcPr>
            <w:tcW w:w="1419" w:type="dxa"/>
            <w:gridSpan w:val="2"/>
            <w:vAlign w:val="center"/>
          </w:tcPr>
          <w:p w:rsidR="001A3512" w:rsidRDefault="001A3512" w:rsidP="00022A16">
            <w:pPr>
              <w:pStyle w:val="TCTableBody"/>
              <w:spacing w:line="480" w:lineRule="auto"/>
              <w:jc w:val="center"/>
              <w:rPr>
                <w:bCs/>
              </w:rPr>
            </w:pPr>
            <w:r>
              <w:rPr>
                <w:bCs/>
              </w:rPr>
              <w:t>Ref</w:t>
            </w:r>
            <w:r>
              <w:rPr>
                <w:bCs/>
              </w:rPr>
              <w:fldChar w:fldCharType="begin"/>
            </w:r>
            <w:r>
              <w:rPr>
                <w:bCs/>
              </w:rPr>
              <w:instrText xml:space="preserve"> ADDIN EN.CITE &lt;EndNote&gt;&lt;Cite&gt;&lt;Author&gt;Zhang&lt;/Author&gt;&lt;Year&gt;2019&lt;/Year&gt;&lt;RecNum&gt;22&lt;/RecNum&gt;&lt;DisplayText&gt;(&lt;style face="italic"&gt;8&lt;/style&gt;)&lt;/DisplayText&gt;&lt;record&gt;&lt;rec-number&gt;22&lt;/rec-number&gt;&lt;foreign-keys&gt;&lt;key app="EN" db-id="t5tsz5pwiv0dxzezavn50pfftvs5w0ef29ed" timestamp="1698743141"&gt;22&lt;/key&gt;&lt;/foreign-keys&gt;&lt;ref-type name="Journal Article"&gt;17&lt;/ref-type&gt;&lt;contributors&gt;&lt;authors&gt;&lt;author&gt;Zhang, Pan&lt;/author&gt;&lt;author&gt;Xia, Min&lt;/author&gt;&lt;author&gt;Zhuge, Fuwei&lt;/author&gt;&lt;author&gt;Zhou, Yue&lt;/author&gt;&lt;author&gt;Wang, Zhenyu&lt;/author&gt;&lt;author&gt;Dong, Boyi&lt;/author&gt;&lt;author&gt;Fu, Yaoyao&lt;/author&gt;&lt;author&gt;Yang, Kecheng&lt;/author&gt;&lt;author&gt;Li, Yi&lt;/author&gt;&lt;author&gt;He, Yuhui&lt;/author&gt;&lt;/authors&gt;&lt;/contributors&gt;&lt;titles&gt;&lt;title&gt;Nanochannel-based transport in an interfacial memristor can emulate the analog weight modulation of synapses&lt;/title&gt;&lt;secondary-title&gt;Nano Letters&lt;/secondary-title&gt;&lt;/titles&gt;&lt;periodical&gt;&lt;full-title&gt;Nano Letters&lt;/full-title&gt;&lt;abbr-1&gt;Nano Lett.&lt;/abbr-1&gt;&lt;/periodical&gt;&lt;pages&gt;4279-4286&lt;/pages&gt;&lt;volume&gt;19&lt;/volume&gt;&lt;number&gt;7&lt;/number&gt;&lt;dates&gt;&lt;year&gt;2019&lt;/year&gt;&lt;/dates&gt;&lt;isbn&gt;1530-6984&lt;/isbn&gt;&lt;urls&gt;&lt;/urls&gt;&lt;/record&gt;&lt;/Cite&gt;&lt;/EndNote&gt;</w:instrText>
            </w:r>
            <w:r>
              <w:rPr>
                <w:bCs/>
              </w:rPr>
              <w:fldChar w:fldCharType="separate"/>
            </w:r>
            <w:r>
              <w:rPr>
                <w:bCs/>
              </w:rPr>
              <w:t>(</w:t>
            </w:r>
            <w:r>
              <w:rPr>
                <w:bCs/>
                <w:i/>
              </w:rPr>
              <w:t>35</w:t>
            </w:r>
            <w:r>
              <w:rPr>
                <w:bCs/>
              </w:rPr>
              <w:t>)</w:t>
            </w:r>
            <w:r>
              <w:rPr>
                <w:bCs/>
              </w:rPr>
              <w:fldChar w:fldCharType="end"/>
            </w:r>
          </w:p>
        </w:tc>
        <w:tc>
          <w:tcPr>
            <w:tcW w:w="1984" w:type="dxa"/>
            <w:vAlign w:val="center"/>
          </w:tcPr>
          <w:p w:rsidR="001A3512" w:rsidRDefault="001A3512" w:rsidP="00022A16">
            <w:pPr>
              <w:pStyle w:val="TCTableBody"/>
              <w:spacing w:line="480" w:lineRule="auto"/>
              <w:jc w:val="center"/>
              <w:rPr>
                <w:bCs/>
              </w:rPr>
            </w:pPr>
            <w:r>
              <w:rPr>
                <w:bCs/>
              </w:rPr>
              <w:t>~8</w:t>
            </w:r>
          </w:p>
        </w:tc>
        <w:tc>
          <w:tcPr>
            <w:tcW w:w="2268" w:type="dxa"/>
            <w:vAlign w:val="center"/>
          </w:tcPr>
          <w:p w:rsidR="001A3512" w:rsidRDefault="00022A16" w:rsidP="00022A16">
            <w:pPr>
              <w:pStyle w:val="TCTableBody"/>
              <w:spacing w:line="480" w:lineRule="auto"/>
              <w:jc w:val="center"/>
              <w:rPr>
                <w:bCs/>
              </w:rPr>
            </w:pPr>
            <w:r>
              <w:rPr>
                <w:bCs/>
              </w:rPr>
              <w:t>20</w:t>
            </w:r>
          </w:p>
        </w:tc>
        <w:tc>
          <w:tcPr>
            <w:tcW w:w="2410" w:type="dxa"/>
            <w:vAlign w:val="center"/>
          </w:tcPr>
          <w:p w:rsidR="001A3512" w:rsidRDefault="001A3512" w:rsidP="00022A16">
            <w:pPr>
              <w:pStyle w:val="TCTableBody"/>
              <w:spacing w:line="480" w:lineRule="auto"/>
              <w:jc w:val="center"/>
              <w:rPr>
                <w:bCs/>
              </w:rPr>
            </w:pPr>
            <w:r>
              <w:rPr>
                <w:bCs/>
              </w:rPr>
              <w:t>~3.5 × 10</w:t>
            </w:r>
            <w:r>
              <w:rPr>
                <w:bCs/>
                <w:vertAlign w:val="superscript"/>
              </w:rPr>
              <w:t>7</w:t>
            </w:r>
          </w:p>
        </w:tc>
        <w:tc>
          <w:tcPr>
            <w:tcW w:w="2268" w:type="dxa"/>
            <w:vAlign w:val="center"/>
          </w:tcPr>
          <w:p w:rsidR="001A3512" w:rsidRDefault="001A3512" w:rsidP="00022A16">
            <w:pPr>
              <w:pStyle w:val="TCTableBody"/>
              <w:spacing w:line="480" w:lineRule="auto"/>
              <w:jc w:val="center"/>
              <w:rPr>
                <w:bCs/>
              </w:rPr>
            </w:pPr>
            <w:r>
              <w:rPr>
                <w:bCs/>
              </w:rPr>
              <w:t>STP</w:t>
            </w:r>
            <w:r>
              <w:rPr>
                <w:rFonts w:hint="eastAsia"/>
                <w:bCs/>
              </w:rPr>
              <w:t>,</w:t>
            </w:r>
            <w:r>
              <w:rPr>
                <w:bCs/>
              </w:rPr>
              <w:t xml:space="preserve"> LTP</w:t>
            </w:r>
          </w:p>
        </w:tc>
      </w:tr>
      <w:tr w:rsidR="001A3512" w:rsidTr="00022A16">
        <w:tc>
          <w:tcPr>
            <w:tcW w:w="1419" w:type="dxa"/>
            <w:gridSpan w:val="2"/>
            <w:vAlign w:val="center"/>
          </w:tcPr>
          <w:p w:rsidR="001A3512" w:rsidRDefault="001A3512" w:rsidP="00022A16">
            <w:pPr>
              <w:pStyle w:val="TCTableBody"/>
              <w:spacing w:line="480" w:lineRule="auto"/>
              <w:jc w:val="center"/>
              <w:rPr>
                <w:bCs/>
              </w:rPr>
            </w:pPr>
            <w:r>
              <w:rPr>
                <w:bCs/>
              </w:rPr>
              <w:t>Ref</w:t>
            </w:r>
            <w:r>
              <w:rPr>
                <w:bCs/>
              </w:rPr>
              <w:fldChar w:fldCharType="begin"/>
            </w:r>
            <w:r>
              <w:rPr>
                <w:bCs/>
              </w:rPr>
              <w:instrText xml:space="preserve"> ADDIN EN.CITE &lt;EndNote&gt;&lt;Cite&gt;&lt;Author&gt;Robin&lt;/Author&gt;&lt;Year&gt;2023&lt;/Year&gt;&lt;RecNum&gt;68&lt;/RecNum&gt;&lt;DisplayText&gt;(&lt;style face="italic"&gt;9&lt;/style&gt;)&lt;/DisplayText&gt;&lt;record&gt;&lt;rec-number&gt;68&lt;/rec-number&gt;&lt;foreign-keys&gt;&lt;key app="EN" db-id="w55vddfpr52d2serdwrpzx5uvxz0v0zpadsa" timestamp="1762932317"&gt;68&lt;/key&gt;&lt;/foreign-keys&gt;&lt;ref-type name="Journal Article"&gt;17&lt;/ref-type&gt;&lt;contributors&gt;&lt;authors&gt;&lt;author&gt;Robin, P&lt;/author&gt;&lt;author&gt;Emmerich, T&lt;/author&gt;&lt;author&gt;Ismail, A&lt;/author&gt;&lt;author&gt;Niguès, A&lt;/author&gt;&lt;author&gt;You, Y&lt;/author&gt;&lt;author&gt;Nam, G-H&lt;/author&gt;&lt;author&gt;Keerthi, A&lt;/author&gt;&lt;author&gt;Siria, A&lt;/author&gt;&lt;author&gt;Geim, AK&lt;/author&gt;&lt;author&gt;Radha, B&lt;/author&gt;&lt;/authors&gt;&lt;/contributors&gt;&lt;titles&gt;&lt;title&gt;Long-term memory and synapse-like dynamics in two-dimensional nanofluidic channels&lt;/title&gt;&lt;secondary-title&gt;Science&lt;/secondary-title&gt;&lt;/titles&gt;&lt;periodical&gt;&lt;full-title&gt;Science&lt;/full-title&gt;&lt;/periodical&gt;&lt;pages&gt;161-167&lt;/pages&gt;&lt;volume&gt;379&lt;/volume&gt;&lt;number&gt;6628&lt;/number&gt;&lt;dates&gt;&lt;year&gt;2023&lt;/year&gt;&lt;/dates&gt;&lt;isbn&gt;0036-8075&lt;/isbn&gt;&lt;urls&gt;&lt;/urls&gt;&lt;/record&gt;&lt;/Cite&gt;&lt;/EndNote&gt;</w:instrText>
            </w:r>
            <w:r>
              <w:rPr>
                <w:bCs/>
              </w:rPr>
              <w:fldChar w:fldCharType="separate"/>
            </w:r>
            <w:r>
              <w:rPr>
                <w:bCs/>
              </w:rPr>
              <w:t>(</w:t>
            </w:r>
            <w:r>
              <w:rPr>
                <w:bCs/>
                <w:i/>
              </w:rPr>
              <w:t>48</w:t>
            </w:r>
            <w:r>
              <w:rPr>
                <w:bCs/>
              </w:rPr>
              <w:t>)</w:t>
            </w:r>
            <w:r>
              <w:rPr>
                <w:bCs/>
              </w:rPr>
              <w:fldChar w:fldCharType="end"/>
            </w:r>
          </w:p>
        </w:tc>
        <w:tc>
          <w:tcPr>
            <w:tcW w:w="1984" w:type="dxa"/>
            <w:vAlign w:val="center"/>
          </w:tcPr>
          <w:p w:rsidR="001A3512" w:rsidRDefault="001A3512" w:rsidP="00022A16">
            <w:pPr>
              <w:pStyle w:val="TCTableBody"/>
              <w:spacing w:line="480" w:lineRule="auto"/>
              <w:jc w:val="center"/>
              <w:rPr>
                <w:bCs/>
              </w:rPr>
            </w:pPr>
            <w:r>
              <w:rPr>
                <w:bCs/>
              </w:rPr>
              <w:t>~25</w:t>
            </w:r>
          </w:p>
        </w:tc>
        <w:tc>
          <w:tcPr>
            <w:tcW w:w="2268" w:type="dxa"/>
            <w:vAlign w:val="center"/>
          </w:tcPr>
          <w:p w:rsidR="001A3512" w:rsidRDefault="00022A16" w:rsidP="00022A16">
            <w:pPr>
              <w:pStyle w:val="TCTableBody"/>
              <w:spacing w:line="480" w:lineRule="auto"/>
              <w:jc w:val="center"/>
              <w:rPr>
                <w:bCs/>
              </w:rPr>
            </w:pPr>
            <w:r>
              <w:rPr>
                <w:bCs/>
              </w:rPr>
              <w:t>1</w:t>
            </w:r>
          </w:p>
        </w:tc>
        <w:tc>
          <w:tcPr>
            <w:tcW w:w="2410" w:type="dxa"/>
            <w:vAlign w:val="center"/>
          </w:tcPr>
          <w:p w:rsidR="001A3512" w:rsidRDefault="001A3512" w:rsidP="00022A16">
            <w:pPr>
              <w:pStyle w:val="TCTableBody"/>
              <w:spacing w:line="480" w:lineRule="auto"/>
              <w:jc w:val="center"/>
              <w:rPr>
                <w:bCs/>
              </w:rPr>
            </w:pPr>
            <w:r>
              <w:rPr>
                <w:bCs/>
              </w:rPr>
              <w:t>~4 × 10</w:t>
            </w:r>
            <w:r>
              <w:rPr>
                <w:rFonts w:hint="eastAsia"/>
                <w:bCs/>
                <w:vertAlign w:val="superscript"/>
              </w:rPr>
              <w:t>7</w:t>
            </w:r>
          </w:p>
        </w:tc>
        <w:tc>
          <w:tcPr>
            <w:tcW w:w="2268" w:type="dxa"/>
            <w:vAlign w:val="center"/>
          </w:tcPr>
          <w:p w:rsidR="001A3512" w:rsidRDefault="001A3512" w:rsidP="00022A16">
            <w:pPr>
              <w:pStyle w:val="TCTableBody"/>
              <w:spacing w:line="480" w:lineRule="auto"/>
              <w:jc w:val="center"/>
              <w:rPr>
                <w:bCs/>
              </w:rPr>
            </w:pPr>
            <w:r>
              <w:rPr>
                <w:bCs/>
              </w:rPr>
              <w:t>STP</w:t>
            </w:r>
            <w:r>
              <w:rPr>
                <w:rFonts w:hint="eastAsia"/>
                <w:bCs/>
              </w:rPr>
              <w:t>,</w:t>
            </w:r>
            <w:r>
              <w:rPr>
                <w:bCs/>
              </w:rPr>
              <w:t xml:space="preserve"> LTP</w:t>
            </w:r>
            <w:r>
              <w:rPr>
                <w:rFonts w:hint="eastAsia"/>
                <w:bCs/>
              </w:rPr>
              <w:t>,</w:t>
            </w:r>
            <w:r>
              <w:rPr>
                <w:bCs/>
              </w:rPr>
              <w:t xml:space="preserve"> SDTP</w:t>
            </w:r>
          </w:p>
        </w:tc>
      </w:tr>
      <w:tr w:rsidR="001A3512" w:rsidTr="00022A16">
        <w:tc>
          <w:tcPr>
            <w:tcW w:w="1419" w:type="dxa"/>
            <w:gridSpan w:val="2"/>
            <w:vAlign w:val="center"/>
          </w:tcPr>
          <w:p w:rsidR="001A3512" w:rsidRDefault="001A3512" w:rsidP="00022A16">
            <w:pPr>
              <w:pStyle w:val="TCTableBody"/>
              <w:spacing w:line="480" w:lineRule="auto"/>
              <w:jc w:val="center"/>
              <w:rPr>
                <w:bCs/>
              </w:rPr>
            </w:pPr>
            <w:r>
              <w:rPr>
                <w:bCs/>
              </w:rPr>
              <w:t>Ref</w:t>
            </w:r>
            <w:r>
              <w:rPr>
                <w:bCs/>
              </w:rPr>
              <w:fldChar w:fldCharType="begin"/>
            </w:r>
            <w:r>
              <w:rPr>
                <w:bCs/>
              </w:rPr>
              <w:instrText xml:space="preserve"> ADDIN EN.CITE &lt;EndNote&gt;&lt;Cite&gt;&lt;Author&gt;Emmerich&lt;/Author&gt;&lt;Year&gt;2024&lt;/Year&gt;&lt;RecNum&gt;87&lt;/RecNum&gt;&lt;DisplayText&gt;(&lt;style face="italic"&gt;10&lt;/style&gt;)&lt;/DisplayText&gt;&lt;record&gt;&lt;rec-number&gt;87&lt;/rec-number&gt;&lt;foreign-keys&gt;&lt;key app="EN" db-id="t5tsz5pwiv0dxzezavn50pfftvs5w0ef29ed" timestamp="1719892169"&gt;87&lt;/key&gt;&lt;/foreign-keys&gt;&lt;ref-type name="Journal Article"&gt;17&lt;/ref-type&gt;&lt;contributors&gt;&lt;authors&gt;&lt;author&gt;Emmerich, Theo&lt;/author&gt;&lt;author&gt;Teng, Yunfei&lt;/author&gt;&lt;author&gt;Ronceray, Nathan&lt;/author&gt;&lt;author&gt;Lopriore, Edoardo&lt;/author&gt;&lt;author&gt;Chiesa, Riccardo&lt;/author&gt;&lt;author&gt;Chernev, Andrey&lt;/author&gt;&lt;author&gt;Artemov, Vasily&lt;/author&gt;&lt;author&gt;Di Ventra, Massimiliano&lt;/author&gt;&lt;author&gt;Kis, Andras&lt;/author&gt;&lt;author&gt;Radenovic, Aleksandra&lt;/author&gt;&lt;/authors&gt;&lt;/contributors&gt;&lt;titles&gt;&lt;title&gt;Nanofluidic logic with mechano–ionic memristive switches&lt;/title&gt;&lt;secondary-title&gt;Nature Electronics&lt;/secondary-title&gt;&lt;/titles&gt;&lt;periodical&gt;&lt;full-title&gt;Nature Electronics&lt;/full-title&gt;&lt;abbr-1&gt;Nat. Electron.&lt;/abbr-1&gt;&lt;/periodical&gt;&lt;pages&gt;271-278&lt;/pages&gt;&lt;volume&gt;7&lt;/volume&gt;&lt;number&gt;4&lt;/number&gt;&lt;dates&gt;&lt;year&gt;2024&lt;/year&gt;&lt;/dates&gt;&lt;isbn&gt;2520-1131&lt;/isbn&gt;&lt;urls&gt;&lt;/urls&gt;&lt;/record&gt;&lt;/Cite&gt;&lt;/EndNote&gt;</w:instrText>
            </w:r>
            <w:r>
              <w:rPr>
                <w:bCs/>
              </w:rPr>
              <w:fldChar w:fldCharType="separate"/>
            </w:r>
            <w:r>
              <w:rPr>
                <w:bCs/>
              </w:rPr>
              <w:t>(</w:t>
            </w:r>
            <w:r>
              <w:rPr>
                <w:bCs/>
                <w:i/>
              </w:rPr>
              <w:t>6</w:t>
            </w:r>
            <w:r w:rsidR="00533396">
              <w:rPr>
                <w:bCs/>
                <w:i/>
              </w:rPr>
              <w:t>9</w:t>
            </w:r>
            <w:r>
              <w:rPr>
                <w:bCs/>
              </w:rPr>
              <w:t>)</w:t>
            </w:r>
            <w:r>
              <w:rPr>
                <w:bCs/>
              </w:rPr>
              <w:fldChar w:fldCharType="end"/>
            </w:r>
          </w:p>
        </w:tc>
        <w:tc>
          <w:tcPr>
            <w:tcW w:w="1984" w:type="dxa"/>
            <w:vAlign w:val="center"/>
          </w:tcPr>
          <w:p w:rsidR="001A3512" w:rsidRDefault="001A3512" w:rsidP="00022A16">
            <w:pPr>
              <w:pStyle w:val="TCTableBody"/>
              <w:spacing w:line="480" w:lineRule="auto"/>
              <w:jc w:val="center"/>
              <w:rPr>
                <w:bCs/>
              </w:rPr>
            </w:pPr>
            <w:r>
              <w:rPr>
                <w:bCs/>
              </w:rPr>
              <w:t>~120</w:t>
            </w:r>
          </w:p>
        </w:tc>
        <w:tc>
          <w:tcPr>
            <w:tcW w:w="2268" w:type="dxa"/>
            <w:vAlign w:val="center"/>
          </w:tcPr>
          <w:p w:rsidR="001A3512" w:rsidRDefault="00022A16" w:rsidP="00022A16">
            <w:pPr>
              <w:pStyle w:val="TCTableBody"/>
              <w:spacing w:line="480" w:lineRule="auto"/>
              <w:jc w:val="center"/>
              <w:rPr>
                <w:bCs/>
              </w:rPr>
            </w:pPr>
            <w:r>
              <w:rPr>
                <w:bCs/>
              </w:rPr>
              <w:t>1</w:t>
            </w:r>
          </w:p>
        </w:tc>
        <w:tc>
          <w:tcPr>
            <w:tcW w:w="2410" w:type="dxa"/>
            <w:vAlign w:val="center"/>
          </w:tcPr>
          <w:p w:rsidR="001A3512" w:rsidRDefault="001A3512" w:rsidP="00022A16">
            <w:pPr>
              <w:pStyle w:val="TCTableBody"/>
              <w:spacing w:line="480" w:lineRule="auto"/>
              <w:jc w:val="center"/>
              <w:rPr>
                <w:bCs/>
              </w:rPr>
            </w:pPr>
            <w:r>
              <w:rPr>
                <w:bCs/>
              </w:rPr>
              <w:t>~1.6 × 10</w:t>
            </w:r>
            <w:r>
              <w:rPr>
                <w:bCs/>
                <w:vertAlign w:val="superscript"/>
              </w:rPr>
              <w:t>8</w:t>
            </w:r>
          </w:p>
        </w:tc>
        <w:tc>
          <w:tcPr>
            <w:tcW w:w="2268" w:type="dxa"/>
            <w:vAlign w:val="center"/>
          </w:tcPr>
          <w:p w:rsidR="001A3512" w:rsidRDefault="001A3512" w:rsidP="00022A16">
            <w:pPr>
              <w:pStyle w:val="TCTableBody"/>
              <w:spacing w:line="480" w:lineRule="auto"/>
              <w:jc w:val="center"/>
              <w:rPr>
                <w:bCs/>
              </w:rPr>
            </w:pPr>
            <w:r>
              <w:rPr>
                <w:bCs/>
              </w:rPr>
              <w:t>Boolean logic operation</w:t>
            </w:r>
          </w:p>
        </w:tc>
      </w:tr>
      <w:tr w:rsidR="001A3512" w:rsidTr="00022A16">
        <w:tc>
          <w:tcPr>
            <w:tcW w:w="1419" w:type="dxa"/>
            <w:gridSpan w:val="2"/>
            <w:vAlign w:val="center"/>
          </w:tcPr>
          <w:p w:rsidR="001A3512" w:rsidRDefault="001A3512" w:rsidP="00022A16">
            <w:pPr>
              <w:pStyle w:val="TCTableBody"/>
              <w:spacing w:line="480" w:lineRule="auto"/>
              <w:jc w:val="center"/>
              <w:rPr>
                <w:bCs/>
              </w:rPr>
            </w:pPr>
            <w:r>
              <w:rPr>
                <w:bCs/>
              </w:rPr>
              <w:t>Ref</w:t>
            </w:r>
            <w:r>
              <w:rPr>
                <w:bCs/>
              </w:rPr>
              <w:fldChar w:fldCharType="begin"/>
            </w:r>
            <w:r>
              <w:rPr>
                <w:bCs/>
              </w:rPr>
              <w:instrText xml:space="preserve"> ADDIN EN.CITE &lt;EndNote&gt;&lt;Cite&gt;&lt;Author&gt;Wang&lt;/Author&gt;&lt;Year&gt;2012&lt;/Year&gt;&lt;RecNum&gt;31&lt;/RecNum&gt;&lt;DisplayText&gt;(&lt;style face="italic"&gt;11&lt;/style&gt;)&lt;/DisplayText&gt;&lt;record&gt;&lt;rec-number&gt;31&lt;/rec-number&gt;&lt;foreign-keys&gt;&lt;key app="EN" db-id="w55vddfpr52d2serdwrpzx5uvxz0v0zpadsa" timestamp="1762863637"&gt;31&lt;/key&gt;&lt;/foreign-keys&gt;&lt;ref-type name="Journal Article"&gt;17&lt;/ref-type&gt;&lt;contributors&gt;&lt;authors&gt;&lt;author&gt;Wang, Dengchao&lt;/author&gt;&lt;author&gt;Kvetny, Maksim&lt;/author&gt;&lt;author&gt;Liu, Juan&lt;/author&gt;&lt;author&gt;Brown, Warren&lt;/author&gt;&lt;author&gt;Li, Yan&lt;/author&gt;&lt;author&gt;Wang, Gangli&lt;/author&gt;&lt;/authors&gt;&lt;/contributors&gt;&lt;titles&gt;&lt;title&gt;Transmembrane potential across single conical nanopores and resulting memristive and memcapacitive ion transport&lt;/title&gt;&lt;secondary-title&gt;Journal of the American Chemical Society&lt;/secondary-title&gt;&lt;/titles&gt;&lt;periodical&gt;&lt;full-title&gt;Journal of the American Chemical Society&lt;/full-title&gt;&lt;/periodical&gt;&lt;pages&gt;3651-3654&lt;/pages&gt;&lt;volume&gt;134&lt;/volume&gt;&lt;number&gt;8&lt;/number&gt;&lt;dates&gt;&lt;year&gt;2012&lt;/year&gt;&lt;/dates&gt;&lt;isbn&gt;0002-7863&lt;/isbn&gt;&lt;urls&gt;&lt;/urls&gt;&lt;/record&gt;&lt;/Cite&gt;&lt;/EndNote&gt;</w:instrText>
            </w:r>
            <w:r>
              <w:rPr>
                <w:bCs/>
              </w:rPr>
              <w:fldChar w:fldCharType="separate"/>
            </w:r>
            <w:r>
              <w:rPr>
                <w:bCs/>
              </w:rPr>
              <w:t>(</w:t>
            </w:r>
            <w:r>
              <w:rPr>
                <w:bCs/>
                <w:i/>
              </w:rPr>
              <w:t>23</w:t>
            </w:r>
            <w:r>
              <w:rPr>
                <w:bCs/>
              </w:rPr>
              <w:t>)</w:t>
            </w:r>
            <w:r>
              <w:rPr>
                <w:bCs/>
              </w:rPr>
              <w:fldChar w:fldCharType="end"/>
            </w:r>
          </w:p>
        </w:tc>
        <w:tc>
          <w:tcPr>
            <w:tcW w:w="1984" w:type="dxa"/>
            <w:vAlign w:val="center"/>
          </w:tcPr>
          <w:p w:rsidR="001A3512" w:rsidRDefault="001A3512" w:rsidP="00022A16">
            <w:pPr>
              <w:pStyle w:val="TCTableBody"/>
              <w:spacing w:line="480" w:lineRule="auto"/>
              <w:jc w:val="center"/>
              <w:rPr>
                <w:bCs/>
              </w:rPr>
            </w:pPr>
            <w:r>
              <w:rPr>
                <w:bCs/>
              </w:rPr>
              <w:t>~45</w:t>
            </w:r>
          </w:p>
        </w:tc>
        <w:tc>
          <w:tcPr>
            <w:tcW w:w="2268" w:type="dxa"/>
            <w:vAlign w:val="center"/>
          </w:tcPr>
          <w:p w:rsidR="001A3512" w:rsidRDefault="00022A16" w:rsidP="00022A16">
            <w:pPr>
              <w:pStyle w:val="TCTableBody"/>
              <w:spacing w:line="480" w:lineRule="auto"/>
              <w:jc w:val="center"/>
              <w:rPr>
                <w:bCs/>
              </w:rPr>
            </w:pPr>
            <w:r>
              <w:rPr>
                <w:bCs/>
              </w:rPr>
              <w:t>1</w:t>
            </w:r>
          </w:p>
        </w:tc>
        <w:tc>
          <w:tcPr>
            <w:tcW w:w="2410" w:type="dxa"/>
            <w:vAlign w:val="center"/>
          </w:tcPr>
          <w:p w:rsidR="001A3512" w:rsidRDefault="001A3512" w:rsidP="00022A16">
            <w:pPr>
              <w:pStyle w:val="TCTableBody"/>
              <w:spacing w:line="480" w:lineRule="auto"/>
              <w:jc w:val="center"/>
              <w:rPr>
                <w:bCs/>
              </w:rPr>
            </w:pPr>
            <w:r>
              <w:rPr>
                <w:bCs/>
              </w:rPr>
              <w:t>/</w:t>
            </w:r>
          </w:p>
        </w:tc>
        <w:tc>
          <w:tcPr>
            <w:tcW w:w="2268" w:type="dxa"/>
            <w:vAlign w:val="center"/>
          </w:tcPr>
          <w:p w:rsidR="001A3512" w:rsidRDefault="001A3512" w:rsidP="00022A16">
            <w:pPr>
              <w:pStyle w:val="TCTableBody"/>
              <w:spacing w:line="480" w:lineRule="auto"/>
              <w:jc w:val="center"/>
              <w:rPr>
                <w:bCs/>
              </w:rPr>
            </w:pPr>
            <w:r>
              <w:rPr>
                <w:bCs/>
              </w:rPr>
              <w:t>/</w:t>
            </w:r>
          </w:p>
        </w:tc>
      </w:tr>
      <w:tr w:rsidR="001A3512" w:rsidTr="00022A16">
        <w:tc>
          <w:tcPr>
            <w:tcW w:w="1419" w:type="dxa"/>
            <w:gridSpan w:val="2"/>
            <w:vAlign w:val="center"/>
          </w:tcPr>
          <w:p w:rsidR="001A3512" w:rsidRDefault="001A3512" w:rsidP="00022A16">
            <w:pPr>
              <w:pStyle w:val="TCTableBody"/>
              <w:spacing w:line="480" w:lineRule="auto"/>
              <w:jc w:val="center"/>
              <w:rPr>
                <w:bCs/>
              </w:rPr>
            </w:pPr>
            <w:r>
              <w:rPr>
                <w:bCs/>
              </w:rPr>
              <w:t>Ref</w:t>
            </w:r>
            <w:r>
              <w:rPr>
                <w:bCs/>
              </w:rPr>
              <w:fldChar w:fldCharType="begin"/>
            </w:r>
            <w:r>
              <w:rPr>
                <w:bCs/>
              </w:rPr>
              <w:instrText xml:space="preserve"> ADDIN EN.CITE &lt;EndNote&gt;&lt;Cite&gt;&lt;Author&gt;Xiong&lt;/Author&gt;&lt;Year&gt;2023&lt;/Year&gt;&lt;RecNum&gt;2&lt;/RecNum&gt;&lt;DisplayText&gt;(&lt;style face="italic"&gt;12&lt;/style&gt;)&lt;/DisplayText&gt;&lt;record&gt;&lt;rec-number&gt;2&lt;/rec-number&gt;&lt;foreign-keys&gt;&lt;key app="EN" db-id="t5tsz5pwiv0dxzezavn50pfftvs5w0ef29ed" timestamp="1698738243"&gt;2&lt;/key&gt;&lt;/foreign-keys&gt;&lt;ref-type name="Journal Article"&gt;17&lt;/ref-type&gt;&lt;contributors&gt;&lt;authors&gt;&lt;author&gt;Xiong, Tianyi&lt;/author&gt;&lt;author&gt;Li, Changwei&lt;/author&gt;&lt;author&gt;He, Xiulan&lt;/author&gt;&lt;author&gt;Xie, Boyang&lt;/author&gt;&lt;author&gt;Zong, Jianwei&lt;/author&gt;&lt;author&gt;Jiang, Yanan&lt;/author&gt;&lt;author&gt;Ma, Wenjie&lt;/author&gt;&lt;author&gt;Wu, Fei&lt;/author&gt;&lt;author&gt;Fei, Junjie&lt;/author&gt;&lt;author&gt;Yu, Ping&lt;/author&gt;&lt;/authors&gt;&lt;/contributors&gt;&lt;titles&gt;&lt;title&gt;Neuromorphic functions with a polyelectrolyte-confined fluidic memristor&lt;/title&gt;&lt;secondary-title&gt;Science&lt;/secondary-title&gt;&lt;/titles&gt;&lt;periodical&gt;&lt;full-title&gt;Science&lt;/full-title&gt;&lt;/periodical&gt;&lt;pages&gt;156-161&lt;/pages&gt;&lt;volume&gt;379&lt;/volume&gt;&lt;number&gt;6628&lt;/number&gt;&lt;dates&gt;&lt;year&gt;2023&lt;/year&gt;&lt;/dates&gt;&lt;isbn&gt;0036-8075&lt;/isbn&gt;&lt;urls&gt;&lt;/urls&gt;&lt;/record&gt;&lt;/Cite&gt;&lt;/EndNote&gt;</w:instrText>
            </w:r>
            <w:r>
              <w:rPr>
                <w:bCs/>
              </w:rPr>
              <w:fldChar w:fldCharType="separate"/>
            </w:r>
            <w:r>
              <w:rPr>
                <w:bCs/>
              </w:rPr>
              <w:t>(</w:t>
            </w:r>
            <w:r>
              <w:rPr>
                <w:bCs/>
                <w:i/>
              </w:rPr>
              <w:t>6</w:t>
            </w:r>
            <w:r w:rsidR="00533396">
              <w:rPr>
                <w:bCs/>
                <w:i/>
              </w:rPr>
              <w:t>3</w:t>
            </w:r>
            <w:r>
              <w:rPr>
                <w:bCs/>
              </w:rPr>
              <w:t>)</w:t>
            </w:r>
            <w:r>
              <w:rPr>
                <w:bCs/>
              </w:rPr>
              <w:fldChar w:fldCharType="end"/>
            </w:r>
          </w:p>
        </w:tc>
        <w:tc>
          <w:tcPr>
            <w:tcW w:w="1984" w:type="dxa"/>
            <w:vAlign w:val="center"/>
          </w:tcPr>
          <w:p w:rsidR="001A3512" w:rsidRDefault="001A3512" w:rsidP="00022A16">
            <w:pPr>
              <w:pStyle w:val="TCTableBody"/>
              <w:spacing w:line="480" w:lineRule="auto"/>
              <w:jc w:val="center"/>
              <w:rPr>
                <w:bCs/>
              </w:rPr>
            </w:pPr>
            <w:r>
              <w:rPr>
                <w:bCs/>
              </w:rPr>
              <w:t>~200</w:t>
            </w:r>
          </w:p>
        </w:tc>
        <w:tc>
          <w:tcPr>
            <w:tcW w:w="2268" w:type="dxa"/>
            <w:vAlign w:val="center"/>
          </w:tcPr>
          <w:p w:rsidR="001A3512" w:rsidRDefault="00022A16" w:rsidP="00022A16">
            <w:pPr>
              <w:pStyle w:val="TCTableBody"/>
              <w:spacing w:line="480" w:lineRule="auto"/>
              <w:jc w:val="center"/>
              <w:rPr>
                <w:bCs/>
              </w:rPr>
            </w:pPr>
            <w:r>
              <w:rPr>
                <w:bCs/>
              </w:rPr>
              <w:t>1</w:t>
            </w:r>
          </w:p>
        </w:tc>
        <w:tc>
          <w:tcPr>
            <w:tcW w:w="2410" w:type="dxa"/>
            <w:vAlign w:val="center"/>
          </w:tcPr>
          <w:p w:rsidR="001A3512" w:rsidRDefault="001A3512" w:rsidP="00022A16">
            <w:pPr>
              <w:pStyle w:val="TCTableBody"/>
              <w:spacing w:line="480" w:lineRule="auto"/>
              <w:jc w:val="center"/>
              <w:rPr>
                <w:bCs/>
              </w:rPr>
            </w:pPr>
            <w:r>
              <w:rPr>
                <w:bCs/>
              </w:rPr>
              <w:t>~5 × 10</w:t>
            </w:r>
            <w:r>
              <w:rPr>
                <w:bCs/>
                <w:vertAlign w:val="superscript"/>
              </w:rPr>
              <w:t>6</w:t>
            </w:r>
          </w:p>
        </w:tc>
        <w:tc>
          <w:tcPr>
            <w:tcW w:w="2268" w:type="dxa"/>
            <w:vAlign w:val="center"/>
          </w:tcPr>
          <w:p w:rsidR="001A3512" w:rsidRDefault="001A3512" w:rsidP="00022A16">
            <w:pPr>
              <w:pStyle w:val="TCTableBody"/>
              <w:spacing w:line="480" w:lineRule="auto"/>
              <w:jc w:val="center"/>
              <w:rPr>
                <w:bCs/>
              </w:rPr>
            </w:pPr>
            <w:r>
              <w:rPr>
                <w:bCs/>
              </w:rPr>
              <w:t>STP</w:t>
            </w:r>
            <w:r>
              <w:rPr>
                <w:rFonts w:hint="eastAsia"/>
                <w:bCs/>
              </w:rPr>
              <w:t>,</w:t>
            </w:r>
            <w:r>
              <w:rPr>
                <w:bCs/>
              </w:rPr>
              <w:t xml:space="preserve"> Chemical-electric signal transduction</w:t>
            </w:r>
          </w:p>
        </w:tc>
      </w:tr>
      <w:tr w:rsidR="001A3512" w:rsidTr="00022A16">
        <w:tc>
          <w:tcPr>
            <w:tcW w:w="1419" w:type="dxa"/>
            <w:gridSpan w:val="2"/>
            <w:vAlign w:val="center"/>
          </w:tcPr>
          <w:p w:rsidR="001A3512" w:rsidRDefault="001A3512" w:rsidP="00022A16">
            <w:pPr>
              <w:pStyle w:val="TCTableBody"/>
              <w:spacing w:line="480" w:lineRule="auto"/>
              <w:jc w:val="center"/>
              <w:rPr>
                <w:bCs/>
              </w:rPr>
            </w:pPr>
            <w:r>
              <w:rPr>
                <w:bCs/>
              </w:rPr>
              <w:t>Ref</w:t>
            </w:r>
            <w:r>
              <w:rPr>
                <w:bCs/>
              </w:rPr>
              <w:fldChar w:fldCharType="begin"/>
            </w:r>
            <w:r>
              <w:rPr>
                <w:bCs/>
              </w:rPr>
              <w:instrText xml:space="preserve"> ADDIN EN.CITE &lt;EndNote&gt;&lt;Cite&gt;&lt;Author&gt;Ling&lt;/Author&gt;&lt;Year&gt;2024&lt;/Year&gt;&lt;RecNum&gt;303&lt;/RecNum&gt;&lt;DisplayText&gt;(&lt;style face="italic"&gt;13&lt;/style&gt;)&lt;/DisplayText&gt;&lt;record&gt;&lt;rec-number&gt;303&lt;/rec-number&gt;&lt;foreign-keys&gt;&lt;key app="EN" db-id="t5tsz5pwiv0dxzezavn50pfftvs5w0ef29ed" timestamp="1747986412"&gt;303&lt;/key&gt;&lt;/foreign-keys&gt;&lt;ref-type name="Journal Article"&gt;17&lt;/ref-type&gt;&lt;contributors&gt;&lt;authors&gt;&lt;author&gt;Ling, Yixin&lt;/author&gt;&lt;author&gt;Yu, Lejian&lt;/author&gt;&lt;author&gt;Guo, Ziwen&lt;/author&gt;&lt;author&gt;Bian, Fazhou&lt;/author&gt;&lt;author&gt;Wang, Yanqiong&lt;/author&gt;&lt;author&gt;Wang, Xin&lt;/author&gt;&lt;author&gt;Hou, Yaqi&lt;/author&gt;&lt;author&gt;Hou, Xu&lt;/author&gt;&lt;/authors&gt;&lt;/contributors&gt;&lt;titles&gt;&lt;title&gt;Single-pore nanofluidic logic memristor with reconfigurable synaptic functions and designable combinations&lt;/title&gt;&lt;secondary-title&gt;Journal of the American Chemical Society&lt;/secondary-title&gt;&lt;/titles&gt;&lt;pages&gt;14558-14565&lt;/pages&gt;&lt;volume&gt;146&lt;/volume&gt;&lt;number&gt;21&lt;/number&gt;&lt;dates&gt;&lt;year&gt;2024&lt;/year&gt;&lt;/dates&gt;&lt;isbn&gt;0002-7863&lt;/isbn&gt;&lt;urls&gt;&lt;/urls&gt;&lt;/record&gt;&lt;/Cite&gt;&lt;/EndNote&gt;</w:instrText>
            </w:r>
            <w:r>
              <w:rPr>
                <w:bCs/>
              </w:rPr>
              <w:fldChar w:fldCharType="separate"/>
            </w:r>
            <w:r>
              <w:rPr>
                <w:bCs/>
              </w:rPr>
              <w:t>(</w:t>
            </w:r>
            <w:r>
              <w:rPr>
                <w:bCs/>
                <w:i/>
              </w:rPr>
              <w:t>70</w:t>
            </w:r>
            <w:r>
              <w:rPr>
                <w:bCs/>
              </w:rPr>
              <w:t>)</w:t>
            </w:r>
            <w:r>
              <w:rPr>
                <w:bCs/>
              </w:rPr>
              <w:fldChar w:fldCharType="end"/>
            </w:r>
          </w:p>
        </w:tc>
        <w:tc>
          <w:tcPr>
            <w:tcW w:w="1984" w:type="dxa"/>
            <w:vAlign w:val="center"/>
          </w:tcPr>
          <w:p w:rsidR="001A3512" w:rsidRDefault="001A3512" w:rsidP="00022A16">
            <w:pPr>
              <w:pStyle w:val="TCTableBody"/>
              <w:spacing w:line="480" w:lineRule="auto"/>
              <w:jc w:val="center"/>
              <w:rPr>
                <w:bCs/>
              </w:rPr>
            </w:pPr>
            <w:r>
              <w:rPr>
                <w:bCs/>
              </w:rPr>
              <w:t>~15</w:t>
            </w:r>
          </w:p>
        </w:tc>
        <w:tc>
          <w:tcPr>
            <w:tcW w:w="2268" w:type="dxa"/>
            <w:vAlign w:val="center"/>
          </w:tcPr>
          <w:p w:rsidR="001A3512" w:rsidRDefault="00022A16" w:rsidP="00022A16">
            <w:pPr>
              <w:pStyle w:val="TCTableBody"/>
              <w:spacing w:line="480" w:lineRule="auto"/>
              <w:jc w:val="center"/>
              <w:rPr>
                <w:bCs/>
              </w:rPr>
            </w:pPr>
            <w:r>
              <w:rPr>
                <w:bCs/>
              </w:rPr>
              <w:t>1</w:t>
            </w:r>
          </w:p>
        </w:tc>
        <w:tc>
          <w:tcPr>
            <w:tcW w:w="2410" w:type="dxa"/>
            <w:vAlign w:val="center"/>
          </w:tcPr>
          <w:p w:rsidR="001A3512" w:rsidRDefault="001A3512" w:rsidP="00022A16">
            <w:pPr>
              <w:pStyle w:val="TCTableBody"/>
              <w:spacing w:line="480" w:lineRule="auto"/>
              <w:jc w:val="center"/>
              <w:rPr>
                <w:bCs/>
              </w:rPr>
            </w:pPr>
            <w:r>
              <w:rPr>
                <w:bCs/>
              </w:rPr>
              <w:t>~6 × 10</w:t>
            </w:r>
            <w:r>
              <w:rPr>
                <w:bCs/>
                <w:vertAlign w:val="superscript"/>
              </w:rPr>
              <w:t>3</w:t>
            </w:r>
          </w:p>
        </w:tc>
        <w:tc>
          <w:tcPr>
            <w:tcW w:w="2268" w:type="dxa"/>
            <w:vAlign w:val="center"/>
          </w:tcPr>
          <w:p w:rsidR="001A3512" w:rsidRDefault="001A3512" w:rsidP="00022A16">
            <w:pPr>
              <w:pStyle w:val="TCTableBody"/>
              <w:spacing w:line="480" w:lineRule="auto"/>
              <w:jc w:val="center"/>
              <w:rPr>
                <w:bCs/>
              </w:rPr>
            </w:pPr>
            <w:proofErr w:type="spellStart"/>
            <w:r>
              <w:rPr>
                <w:bCs/>
              </w:rPr>
              <w:t>STP</w:t>
            </w:r>
            <w:r>
              <w:rPr>
                <w:bCs/>
              </w:rPr>
              <w:t>、</w:t>
            </w:r>
            <w:r>
              <w:rPr>
                <w:bCs/>
              </w:rPr>
              <w:t>Logic</w:t>
            </w:r>
            <w:proofErr w:type="spellEnd"/>
            <w:r>
              <w:rPr>
                <w:bCs/>
              </w:rPr>
              <w:t xml:space="preserve"> operation</w:t>
            </w:r>
          </w:p>
        </w:tc>
      </w:tr>
      <w:tr w:rsidR="001A3512" w:rsidTr="00022A16">
        <w:tc>
          <w:tcPr>
            <w:tcW w:w="1419" w:type="dxa"/>
            <w:gridSpan w:val="2"/>
            <w:tcBorders>
              <w:bottom w:val="single" w:sz="8" w:space="0" w:color="auto"/>
            </w:tcBorders>
            <w:vAlign w:val="center"/>
          </w:tcPr>
          <w:p w:rsidR="001A3512" w:rsidRPr="00022A16" w:rsidRDefault="001A3512" w:rsidP="00022A16">
            <w:pPr>
              <w:pStyle w:val="TCTableBody"/>
              <w:spacing w:line="480" w:lineRule="auto"/>
              <w:jc w:val="center"/>
              <w:rPr>
                <w:b/>
                <w:bCs/>
              </w:rPr>
            </w:pPr>
            <w:r w:rsidRPr="00022A16">
              <w:rPr>
                <w:b/>
                <w:bCs/>
              </w:rPr>
              <w:t>Our work</w:t>
            </w:r>
          </w:p>
        </w:tc>
        <w:tc>
          <w:tcPr>
            <w:tcW w:w="1984" w:type="dxa"/>
            <w:tcBorders>
              <w:bottom w:val="single" w:sz="8" w:space="0" w:color="auto"/>
            </w:tcBorders>
            <w:vAlign w:val="center"/>
          </w:tcPr>
          <w:p w:rsidR="001A3512" w:rsidRDefault="001A3512" w:rsidP="00022A16">
            <w:pPr>
              <w:pStyle w:val="TCTableBody"/>
              <w:spacing w:line="480" w:lineRule="auto"/>
              <w:jc w:val="center"/>
              <w:rPr>
                <w:bCs/>
              </w:rPr>
            </w:pPr>
            <w:r>
              <w:rPr>
                <w:bCs/>
              </w:rPr>
              <w:t>~</w:t>
            </w:r>
            <w:r>
              <w:rPr>
                <w:rFonts w:hint="eastAsia"/>
                <w:bCs/>
              </w:rPr>
              <w:t>700</w:t>
            </w:r>
          </w:p>
        </w:tc>
        <w:tc>
          <w:tcPr>
            <w:tcW w:w="2268" w:type="dxa"/>
            <w:tcBorders>
              <w:bottom w:val="single" w:sz="8" w:space="0" w:color="auto"/>
            </w:tcBorders>
            <w:vAlign w:val="center"/>
          </w:tcPr>
          <w:p w:rsidR="001A3512" w:rsidRDefault="00022A16" w:rsidP="00022A16">
            <w:pPr>
              <w:pStyle w:val="TCTableBody"/>
              <w:spacing w:line="480" w:lineRule="auto"/>
              <w:jc w:val="center"/>
              <w:rPr>
                <w:bCs/>
              </w:rPr>
            </w:pPr>
            <w:r>
              <w:rPr>
                <w:bCs/>
              </w:rPr>
              <w:t>0.015</w:t>
            </w:r>
          </w:p>
        </w:tc>
        <w:tc>
          <w:tcPr>
            <w:tcW w:w="2410" w:type="dxa"/>
            <w:tcBorders>
              <w:bottom w:val="single" w:sz="8" w:space="0" w:color="auto"/>
            </w:tcBorders>
            <w:vAlign w:val="center"/>
          </w:tcPr>
          <w:p w:rsidR="001A3512" w:rsidRDefault="001A3512" w:rsidP="00022A16">
            <w:pPr>
              <w:pStyle w:val="TCTableBody"/>
              <w:spacing w:line="480" w:lineRule="auto"/>
              <w:jc w:val="center"/>
              <w:rPr>
                <w:bCs/>
              </w:rPr>
            </w:pPr>
            <w:r>
              <w:rPr>
                <w:bCs/>
              </w:rPr>
              <w:t>~</w:t>
            </w:r>
            <w:r>
              <w:rPr>
                <w:rFonts w:hint="eastAsia"/>
                <w:bCs/>
              </w:rPr>
              <w:t>100</w:t>
            </w:r>
          </w:p>
        </w:tc>
        <w:tc>
          <w:tcPr>
            <w:tcW w:w="2268" w:type="dxa"/>
            <w:tcBorders>
              <w:bottom w:val="single" w:sz="8" w:space="0" w:color="auto"/>
            </w:tcBorders>
            <w:vAlign w:val="center"/>
          </w:tcPr>
          <w:p w:rsidR="001A3512" w:rsidRDefault="001A3512" w:rsidP="00022A16">
            <w:pPr>
              <w:pStyle w:val="TCTableBody"/>
              <w:spacing w:line="480" w:lineRule="auto"/>
              <w:jc w:val="center"/>
              <w:rPr>
                <w:bCs/>
              </w:rPr>
            </w:pPr>
            <w:r>
              <w:rPr>
                <w:bCs/>
              </w:rPr>
              <w:t>STP</w:t>
            </w:r>
          </w:p>
        </w:tc>
      </w:tr>
    </w:tbl>
    <w:p w:rsidR="001A3512" w:rsidRDefault="001A3512" w:rsidP="00022A16">
      <w:pPr>
        <w:spacing w:before="120" w:after="200" w:line="480" w:lineRule="auto"/>
        <w:jc w:val="center"/>
      </w:pPr>
    </w:p>
    <w:p w:rsidR="006B6B3A" w:rsidRPr="001A3512" w:rsidRDefault="006B6B3A" w:rsidP="00A5323C">
      <w:pPr>
        <w:spacing w:line="480" w:lineRule="auto"/>
      </w:pPr>
    </w:p>
    <w:sectPr w:rsidR="006B6B3A" w:rsidRPr="001A3512">
      <w:footerReference w:type="default" r:id="rId50"/>
      <w:pgSz w:w="12240" w:h="15840"/>
      <w:pgMar w:top="1440" w:right="1440" w:bottom="1440" w:left="144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72F8" w:rsidRDefault="00F672F8">
      <w:r>
        <w:separator/>
      </w:r>
    </w:p>
  </w:endnote>
  <w:endnote w:type="continuationSeparator" w:id="0">
    <w:p w:rsidR="00F672F8" w:rsidRDefault="00F67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variable"/>
    <w:sig w:usb0="00000000" w:usb1="10000000" w:usb2="00000000" w:usb3="00000000" w:csb0="80000000" w:csb1="00000000"/>
  </w:font>
  <w:font w:name="Arno Pro">
    <w:altName w:val="Times New Roman"/>
    <w:charset w:val="00"/>
    <w:family w:val="roman"/>
    <w:pitch w:val="default"/>
    <w:sig w:usb0="00000000" w:usb1="00000000"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9710786"/>
    </w:sdtPr>
    <w:sdtEndPr/>
    <w:sdtContent>
      <w:p w:rsidR="006B6B3A" w:rsidRDefault="00EB2D72">
        <w:pPr>
          <w:jc w:val="right"/>
        </w:pPr>
        <w:r>
          <w:fldChar w:fldCharType="begin"/>
        </w:r>
        <w:r>
          <w:instrText>PAGE   \* MERGEFORMAT</w:instrText>
        </w:r>
        <w:r>
          <w:fldChar w:fldCharType="separate"/>
        </w:r>
        <w:r>
          <w:rPr>
            <w:lang w:val="zh-CN"/>
          </w:rPr>
          <w:t>2</w:t>
        </w:r>
        <w:r>
          <w:fldChar w:fldCharType="end"/>
        </w:r>
      </w:p>
    </w:sdtContent>
  </w:sdt>
  <w:p w:rsidR="006B6B3A" w:rsidRDefault="006B6B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72F8" w:rsidRDefault="00F672F8">
      <w:r>
        <w:separator/>
      </w:r>
    </w:p>
  </w:footnote>
  <w:footnote w:type="continuationSeparator" w:id="0">
    <w:p w:rsidR="00F672F8" w:rsidRDefault="00F672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A3sTQwtjQ1MzC0sDBV0lEKTi0uzszPAykwNK0FAJdPUV8tAAAA"/>
    <w:docVar w:name="EN.InstantFormat" w:val="&lt;ENInstantFormat&gt;&lt;Enabled&gt;0&lt;/Enabled&gt;&lt;ScanUnformatted&gt;1&lt;/ScanUnformatted&gt;&lt;ScanChanges&gt;1&lt;/ScanChanges&gt;&lt;Suspended&gt;0&lt;/Suspended&gt;&lt;/ENInstantFormat&gt;"/>
    <w:docVar w:name="EN.Layout" w:val="&lt;ENLayout&gt;&lt;Style&gt;Scienc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1&lt;/EnableBibliographyCategories&gt;&lt;/ENLayout&gt;"/>
    <w:docVar w:name="EN.Libraries" w:val="&lt;Libraries&gt;&lt;item db-id=&quot;w55vddfpr52d2serdwrpzx5uvxz0v0zpadsa&quot;&gt;My EndNote Library&lt;record-ids&gt;&lt;item&gt;4&lt;/item&gt;&lt;item&gt;5&lt;/item&gt;&lt;item&gt;6&lt;/item&gt;&lt;item&gt;7&lt;/item&gt;&lt;item&gt;8&lt;/item&gt;&lt;item&gt;9&lt;/item&gt;&lt;item&gt;10&lt;/item&gt;&lt;item&gt;11&lt;/item&gt;&lt;item&gt;12&lt;/item&gt;&lt;item&gt;13&lt;/item&gt;&lt;item&gt;14&lt;/item&gt;&lt;item&gt;15&lt;/item&gt;&lt;item&gt;16&lt;/item&gt;&lt;item&gt;17&lt;/item&gt;&lt;item&gt;18&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60&lt;/item&gt;&lt;item&gt;61&lt;/item&gt;&lt;item&gt;62&lt;/item&gt;&lt;item&gt;63&lt;/item&gt;&lt;item&gt;64&lt;/item&gt;&lt;item&gt;65&lt;/item&gt;&lt;item&gt;66&lt;/item&gt;&lt;item&gt;68&lt;/item&gt;&lt;item&gt;73&lt;/item&gt;&lt;item&gt;74&lt;/item&gt;&lt;item&gt;76&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9E3958"/>
    <w:rsid w:val="00004621"/>
    <w:rsid w:val="00005716"/>
    <w:rsid w:val="00007971"/>
    <w:rsid w:val="00007CF3"/>
    <w:rsid w:val="00011115"/>
    <w:rsid w:val="00011723"/>
    <w:rsid w:val="0001270B"/>
    <w:rsid w:val="00013207"/>
    <w:rsid w:val="00013CCA"/>
    <w:rsid w:val="00015B4C"/>
    <w:rsid w:val="00016E7B"/>
    <w:rsid w:val="000227BD"/>
    <w:rsid w:val="00022879"/>
    <w:rsid w:val="00022A16"/>
    <w:rsid w:val="000233C1"/>
    <w:rsid w:val="000233DF"/>
    <w:rsid w:val="00023762"/>
    <w:rsid w:val="00024D88"/>
    <w:rsid w:val="00027967"/>
    <w:rsid w:val="00027ECF"/>
    <w:rsid w:val="000307D8"/>
    <w:rsid w:val="0003290C"/>
    <w:rsid w:val="000355F7"/>
    <w:rsid w:val="00036591"/>
    <w:rsid w:val="00036599"/>
    <w:rsid w:val="00037566"/>
    <w:rsid w:val="00037F7C"/>
    <w:rsid w:val="00040001"/>
    <w:rsid w:val="00043B4E"/>
    <w:rsid w:val="000442A0"/>
    <w:rsid w:val="00044722"/>
    <w:rsid w:val="00050419"/>
    <w:rsid w:val="0005351B"/>
    <w:rsid w:val="00053F31"/>
    <w:rsid w:val="0006006B"/>
    <w:rsid w:val="00060506"/>
    <w:rsid w:val="0006089D"/>
    <w:rsid w:val="00061626"/>
    <w:rsid w:val="000635E3"/>
    <w:rsid w:val="00063CAD"/>
    <w:rsid w:val="00064F95"/>
    <w:rsid w:val="00065974"/>
    <w:rsid w:val="000667B0"/>
    <w:rsid w:val="00071121"/>
    <w:rsid w:val="00071BE9"/>
    <w:rsid w:val="00072155"/>
    <w:rsid w:val="00073978"/>
    <w:rsid w:val="00074652"/>
    <w:rsid w:val="00074FC4"/>
    <w:rsid w:val="000770FF"/>
    <w:rsid w:val="00077157"/>
    <w:rsid w:val="00080FC8"/>
    <w:rsid w:val="000833E0"/>
    <w:rsid w:val="00083DE9"/>
    <w:rsid w:val="00084B6A"/>
    <w:rsid w:val="00086A83"/>
    <w:rsid w:val="00087A35"/>
    <w:rsid w:val="00090A90"/>
    <w:rsid w:val="0009115C"/>
    <w:rsid w:val="000911E4"/>
    <w:rsid w:val="00092F4F"/>
    <w:rsid w:val="00096516"/>
    <w:rsid w:val="000B163F"/>
    <w:rsid w:val="000B1918"/>
    <w:rsid w:val="000B228B"/>
    <w:rsid w:val="000B23CD"/>
    <w:rsid w:val="000B2B81"/>
    <w:rsid w:val="000B32F9"/>
    <w:rsid w:val="000B4227"/>
    <w:rsid w:val="000B691A"/>
    <w:rsid w:val="000B6AC9"/>
    <w:rsid w:val="000C020D"/>
    <w:rsid w:val="000C16A6"/>
    <w:rsid w:val="000C2D2F"/>
    <w:rsid w:val="000C3416"/>
    <w:rsid w:val="000C3564"/>
    <w:rsid w:val="000C3650"/>
    <w:rsid w:val="000C445A"/>
    <w:rsid w:val="000C4811"/>
    <w:rsid w:val="000C6C89"/>
    <w:rsid w:val="000C74A9"/>
    <w:rsid w:val="000C796A"/>
    <w:rsid w:val="000D0EC0"/>
    <w:rsid w:val="000D1D1C"/>
    <w:rsid w:val="000D1FFC"/>
    <w:rsid w:val="000D2FFC"/>
    <w:rsid w:val="000D32BD"/>
    <w:rsid w:val="000D3FFE"/>
    <w:rsid w:val="000D420C"/>
    <w:rsid w:val="000D4EB4"/>
    <w:rsid w:val="000D5660"/>
    <w:rsid w:val="000D5C1D"/>
    <w:rsid w:val="000D6195"/>
    <w:rsid w:val="000D7EF4"/>
    <w:rsid w:val="000E0453"/>
    <w:rsid w:val="000E12B0"/>
    <w:rsid w:val="000E2FE7"/>
    <w:rsid w:val="000E406F"/>
    <w:rsid w:val="000E7E9D"/>
    <w:rsid w:val="000F0A9F"/>
    <w:rsid w:val="000F0F76"/>
    <w:rsid w:val="000F18FB"/>
    <w:rsid w:val="000F207A"/>
    <w:rsid w:val="000F4384"/>
    <w:rsid w:val="000F69C3"/>
    <w:rsid w:val="000F78D8"/>
    <w:rsid w:val="00100768"/>
    <w:rsid w:val="0010222D"/>
    <w:rsid w:val="001025F8"/>
    <w:rsid w:val="00105000"/>
    <w:rsid w:val="00105CEF"/>
    <w:rsid w:val="001074F0"/>
    <w:rsid w:val="001075E6"/>
    <w:rsid w:val="00110856"/>
    <w:rsid w:val="0011154C"/>
    <w:rsid w:val="00112876"/>
    <w:rsid w:val="00113EC1"/>
    <w:rsid w:val="00113ED1"/>
    <w:rsid w:val="00114B55"/>
    <w:rsid w:val="001160D3"/>
    <w:rsid w:val="00120397"/>
    <w:rsid w:val="00122669"/>
    <w:rsid w:val="00125395"/>
    <w:rsid w:val="00126000"/>
    <w:rsid w:val="00126069"/>
    <w:rsid w:val="00126426"/>
    <w:rsid w:val="00127CAB"/>
    <w:rsid w:val="0013369C"/>
    <w:rsid w:val="00135B4C"/>
    <w:rsid w:val="00136B0C"/>
    <w:rsid w:val="0013756D"/>
    <w:rsid w:val="001402CD"/>
    <w:rsid w:val="00140B55"/>
    <w:rsid w:val="00140E9D"/>
    <w:rsid w:val="001423AC"/>
    <w:rsid w:val="00144C9C"/>
    <w:rsid w:val="00144D11"/>
    <w:rsid w:val="00145223"/>
    <w:rsid w:val="001468D0"/>
    <w:rsid w:val="001511F6"/>
    <w:rsid w:val="00151685"/>
    <w:rsid w:val="00152B83"/>
    <w:rsid w:val="001548E2"/>
    <w:rsid w:val="00155048"/>
    <w:rsid w:val="00156917"/>
    <w:rsid w:val="00156A1C"/>
    <w:rsid w:val="00161A15"/>
    <w:rsid w:val="00163B1A"/>
    <w:rsid w:val="001643FF"/>
    <w:rsid w:val="001653DC"/>
    <w:rsid w:val="00165EA9"/>
    <w:rsid w:val="001660FC"/>
    <w:rsid w:val="0016616C"/>
    <w:rsid w:val="00167B73"/>
    <w:rsid w:val="00171002"/>
    <w:rsid w:val="001723ED"/>
    <w:rsid w:val="00173116"/>
    <w:rsid w:val="00173A50"/>
    <w:rsid w:val="00173E0C"/>
    <w:rsid w:val="00176126"/>
    <w:rsid w:val="001769DB"/>
    <w:rsid w:val="00181324"/>
    <w:rsid w:val="00182B48"/>
    <w:rsid w:val="00185A65"/>
    <w:rsid w:val="00187B0F"/>
    <w:rsid w:val="001929F3"/>
    <w:rsid w:val="0019306D"/>
    <w:rsid w:val="0019432B"/>
    <w:rsid w:val="001948E1"/>
    <w:rsid w:val="00195CFC"/>
    <w:rsid w:val="00196AD9"/>
    <w:rsid w:val="00196D45"/>
    <w:rsid w:val="001A21C3"/>
    <w:rsid w:val="001A3512"/>
    <w:rsid w:val="001A4DB3"/>
    <w:rsid w:val="001A5609"/>
    <w:rsid w:val="001A75D0"/>
    <w:rsid w:val="001B1159"/>
    <w:rsid w:val="001B1EDD"/>
    <w:rsid w:val="001B226A"/>
    <w:rsid w:val="001B2983"/>
    <w:rsid w:val="001C53BA"/>
    <w:rsid w:val="001C55B2"/>
    <w:rsid w:val="001C56AB"/>
    <w:rsid w:val="001C5F00"/>
    <w:rsid w:val="001C604A"/>
    <w:rsid w:val="001D00AE"/>
    <w:rsid w:val="001D27DC"/>
    <w:rsid w:val="001D41A3"/>
    <w:rsid w:val="001E0363"/>
    <w:rsid w:val="001E0BF2"/>
    <w:rsid w:val="001E1F21"/>
    <w:rsid w:val="001E2F84"/>
    <w:rsid w:val="001E4428"/>
    <w:rsid w:val="001E51E4"/>
    <w:rsid w:val="001E58B1"/>
    <w:rsid w:val="001E601F"/>
    <w:rsid w:val="001E7603"/>
    <w:rsid w:val="001F16FB"/>
    <w:rsid w:val="001F2782"/>
    <w:rsid w:val="001F43DE"/>
    <w:rsid w:val="001F50A1"/>
    <w:rsid w:val="001F6913"/>
    <w:rsid w:val="002022DE"/>
    <w:rsid w:val="00202A05"/>
    <w:rsid w:val="002032AF"/>
    <w:rsid w:val="00204468"/>
    <w:rsid w:val="00204857"/>
    <w:rsid w:val="002064C8"/>
    <w:rsid w:val="002067ED"/>
    <w:rsid w:val="00207F50"/>
    <w:rsid w:val="00211992"/>
    <w:rsid w:val="002122FB"/>
    <w:rsid w:val="00212872"/>
    <w:rsid w:val="002136E4"/>
    <w:rsid w:val="00221980"/>
    <w:rsid w:val="00222242"/>
    <w:rsid w:val="00226C5D"/>
    <w:rsid w:val="00227A21"/>
    <w:rsid w:val="002306D9"/>
    <w:rsid w:val="00230D11"/>
    <w:rsid w:val="00231E81"/>
    <w:rsid w:val="00232B43"/>
    <w:rsid w:val="00234DED"/>
    <w:rsid w:val="00236EF8"/>
    <w:rsid w:val="00240424"/>
    <w:rsid w:val="002421DC"/>
    <w:rsid w:val="00245527"/>
    <w:rsid w:val="00245595"/>
    <w:rsid w:val="00245F0D"/>
    <w:rsid w:val="00246BB8"/>
    <w:rsid w:val="00246F4D"/>
    <w:rsid w:val="002501B4"/>
    <w:rsid w:val="00251504"/>
    <w:rsid w:val="00251DF9"/>
    <w:rsid w:val="002521D0"/>
    <w:rsid w:val="002543D1"/>
    <w:rsid w:val="00254436"/>
    <w:rsid w:val="002549CD"/>
    <w:rsid w:val="00255D4F"/>
    <w:rsid w:val="00257FBD"/>
    <w:rsid w:val="002624AB"/>
    <w:rsid w:val="002636D6"/>
    <w:rsid w:val="00265601"/>
    <w:rsid w:val="00266272"/>
    <w:rsid w:val="00266E63"/>
    <w:rsid w:val="00267531"/>
    <w:rsid w:val="00270180"/>
    <w:rsid w:val="00270D5A"/>
    <w:rsid w:val="00270E61"/>
    <w:rsid w:val="002722A1"/>
    <w:rsid w:val="00273223"/>
    <w:rsid w:val="00276E69"/>
    <w:rsid w:val="00277502"/>
    <w:rsid w:val="00277696"/>
    <w:rsid w:val="0028526B"/>
    <w:rsid w:val="002866D1"/>
    <w:rsid w:val="00291A66"/>
    <w:rsid w:val="00293972"/>
    <w:rsid w:val="002940BB"/>
    <w:rsid w:val="00294631"/>
    <w:rsid w:val="002958A2"/>
    <w:rsid w:val="00296D2F"/>
    <w:rsid w:val="00297217"/>
    <w:rsid w:val="0029792B"/>
    <w:rsid w:val="002A050A"/>
    <w:rsid w:val="002A1132"/>
    <w:rsid w:val="002A1579"/>
    <w:rsid w:val="002A2A61"/>
    <w:rsid w:val="002A5BA5"/>
    <w:rsid w:val="002A776B"/>
    <w:rsid w:val="002B1A7D"/>
    <w:rsid w:val="002B2913"/>
    <w:rsid w:val="002B31A4"/>
    <w:rsid w:val="002B3FF5"/>
    <w:rsid w:val="002B7ED9"/>
    <w:rsid w:val="002B7F12"/>
    <w:rsid w:val="002C2106"/>
    <w:rsid w:val="002C3E6A"/>
    <w:rsid w:val="002C4800"/>
    <w:rsid w:val="002C61B9"/>
    <w:rsid w:val="002C644F"/>
    <w:rsid w:val="002D0E19"/>
    <w:rsid w:val="002D187B"/>
    <w:rsid w:val="002D262C"/>
    <w:rsid w:val="002D3DF1"/>
    <w:rsid w:val="002D419F"/>
    <w:rsid w:val="002D60A2"/>
    <w:rsid w:val="002D74D8"/>
    <w:rsid w:val="002E1D2C"/>
    <w:rsid w:val="002E24B5"/>
    <w:rsid w:val="002E356D"/>
    <w:rsid w:val="002E3894"/>
    <w:rsid w:val="002E3DA1"/>
    <w:rsid w:val="002E4E1F"/>
    <w:rsid w:val="002E558A"/>
    <w:rsid w:val="002E651A"/>
    <w:rsid w:val="002E69C3"/>
    <w:rsid w:val="002F004E"/>
    <w:rsid w:val="002F095C"/>
    <w:rsid w:val="002F1D56"/>
    <w:rsid w:val="002F3A08"/>
    <w:rsid w:val="002F44AB"/>
    <w:rsid w:val="002F457D"/>
    <w:rsid w:val="002F4802"/>
    <w:rsid w:val="002F4C15"/>
    <w:rsid w:val="002F5789"/>
    <w:rsid w:val="002F5B91"/>
    <w:rsid w:val="002F6883"/>
    <w:rsid w:val="00301A15"/>
    <w:rsid w:val="00303D0A"/>
    <w:rsid w:val="00304BAD"/>
    <w:rsid w:val="003050A4"/>
    <w:rsid w:val="003050C7"/>
    <w:rsid w:val="00305CCD"/>
    <w:rsid w:val="00306056"/>
    <w:rsid w:val="003100DE"/>
    <w:rsid w:val="00310D7E"/>
    <w:rsid w:val="0031272C"/>
    <w:rsid w:val="003127FD"/>
    <w:rsid w:val="00314C42"/>
    <w:rsid w:val="003151D3"/>
    <w:rsid w:val="00317576"/>
    <w:rsid w:val="00322BBE"/>
    <w:rsid w:val="00323779"/>
    <w:rsid w:val="00323EC1"/>
    <w:rsid w:val="0032677E"/>
    <w:rsid w:val="00326955"/>
    <w:rsid w:val="00332264"/>
    <w:rsid w:val="003325E4"/>
    <w:rsid w:val="0033387A"/>
    <w:rsid w:val="00335ACC"/>
    <w:rsid w:val="0033631F"/>
    <w:rsid w:val="00337432"/>
    <w:rsid w:val="00337F16"/>
    <w:rsid w:val="00341BC1"/>
    <w:rsid w:val="0034219B"/>
    <w:rsid w:val="003425B7"/>
    <w:rsid w:val="00342937"/>
    <w:rsid w:val="0034305D"/>
    <w:rsid w:val="00344601"/>
    <w:rsid w:val="00344B50"/>
    <w:rsid w:val="00344F84"/>
    <w:rsid w:val="003458D8"/>
    <w:rsid w:val="003460E4"/>
    <w:rsid w:val="00347FBA"/>
    <w:rsid w:val="00350185"/>
    <w:rsid w:val="0035145B"/>
    <w:rsid w:val="00351582"/>
    <w:rsid w:val="003549A6"/>
    <w:rsid w:val="00356CCB"/>
    <w:rsid w:val="0035793E"/>
    <w:rsid w:val="00363609"/>
    <w:rsid w:val="003651FB"/>
    <w:rsid w:val="00367704"/>
    <w:rsid w:val="00367F8A"/>
    <w:rsid w:val="00371B07"/>
    <w:rsid w:val="00374EDD"/>
    <w:rsid w:val="0037615F"/>
    <w:rsid w:val="0037620D"/>
    <w:rsid w:val="00377DC7"/>
    <w:rsid w:val="00377E0C"/>
    <w:rsid w:val="00383490"/>
    <w:rsid w:val="00386177"/>
    <w:rsid w:val="0038669B"/>
    <w:rsid w:val="003874B9"/>
    <w:rsid w:val="00390A35"/>
    <w:rsid w:val="00390DAC"/>
    <w:rsid w:val="00393892"/>
    <w:rsid w:val="00393BE0"/>
    <w:rsid w:val="003955ED"/>
    <w:rsid w:val="00397243"/>
    <w:rsid w:val="003A28E9"/>
    <w:rsid w:val="003A5867"/>
    <w:rsid w:val="003A73E6"/>
    <w:rsid w:val="003B1C5A"/>
    <w:rsid w:val="003B30B4"/>
    <w:rsid w:val="003B317E"/>
    <w:rsid w:val="003B428B"/>
    <w:rsid w:val="003B4E70"/>
    <w:rsid w:val="003B5B8C"/>
    <w:rsid w:val="003B66D0"/>
    <w:rsid w:val="003B7742"/>
    <w:rsid w:val="003C2540"/>
    <w:rsid w:val="003C5074"/>
    <w:rsid w:val="003D01E0"/>
    <w:rsid w:val="003D05C2"/>
    <w:rsid w:val="003D0E8A"/>
    <w:rsid w:val="003D6176"/>
    <w:rsid w:val="003D6359"/>
    <w:rsid w:val="003E10A5"/>
    <w:rsid w:val="003E11B6"/>
    <w:rsid w:val="003E4627"/>
    <w:rsid w:val="003E488D"/>
    <w:rsid w:val="003E5CE6"/>
    <w:rsid w:val="003E6498"/>
    <w:rsid w:val="003E6985"/>
    <w:rsid w:val="003F15EE"/>
    <w:rsid w:val="003F2808"/>
    <w:rsid w:val="003F3580"/>
    <w:rsid w:val="003F37C7"/>
    <w:rsid w:val="003F7376"/>
    <w:rsid w:val="003F7C3B"/>
    <w:rsid w:val="00400F25"/>
    <w:rsid w:val="004021A1"/>
    <w:rsid w:val="00406636"/>
    <w:rsid w:val="00410295"/>
    <w:rsid w:val="00410B0E"/>
    <w:rsid w:val="00412507"/>
    <w:rsid w:val="0041395F"/>
    <w:rsid w:val="00413C57"/>
    <w:rsid w:val="00414375"/>
    <w:rsid w:val="004156D1"/>
    <w:rsid w:val="004205E4"/>
    <w:rsid w:val="00420BA1"/>
    <w:rsid w:val="00420FF1"/>
    <w:rsid w:val="00421962"/>
    <w:rsid w:val="004220D7"/>
    <w:rsid w:val="004248C1"/>
    <w:rsid w:val="0042634C"/>
    <w:rsid w:val="00426BD6"/>
    <w:rsid w:val="00430CA5"/>
    <w:rsid w:val="0043109E"/>
    <w:rsid w:val="00431434"/>
    <w:rsid w:val="004319C2"/>
    <w:rsid w:val="004335FB"/>
    <w:rsid w:val="00434E96"/>
    <w:rsid w:val="004358B6"/>
    <w:rsid w:val="004444E4"/>
    <w:rsid w:val="00444954"/>
    <w:rsid w:val="00444FAA"/>
    <w:rsid w:val="00446D0F"/>
    <w:rsid w:val="00446D24"/>
    <w:rsid w:val="00450090"/>
    <w:rsid w:val="00450917"/>
    <w:rsid w:val="00450E7A"/>
    <w:rsid w:val="00453339"/>
    <w:rsid w:val="004545FF"/>
    <w:rsid w:val="00460682"/>
    <w:rsid w:val="00460A83"/>
    <w:rsid w:val="004621C2"/>
    <w:rsid w:val="0046324B"/>
    <w:rsid w:val="00463A7B"/>
    <w:rsid w:val="004649F6"/>
    <w:rsid w:val="00464AF5"/>
    <w:rsid w:val="004654FE"/>
    <w:rsid w:val="0046632D"/>
    <w:rsid w:val="0046671A"/>
    <w:rsid w:val="00466B46"/>
    <w:rsid w:val="00470EE5"/>
    <w:rsid w:val="00472F8D"/>
    <w:rsid w:val="00474737"/>
    <w:rsid w:val="00474A24"/>
    <w:rsid w:val="00474AF0"/>
    <w:rsid w:val="00475D0B"/>
    <w:rsid w:val="00476746"/>
    <w:rsid w:val="0048125E"/>
    <w:rsid w:val="00482E4D"/>
    <w:rsid w:val="00483A83"/>
    <w:rsid w:val="0048464C"/>
    <w:rsid w:val="0048470A"/>
    <w:rsid w:val="004855AA"/>
    <w:rsid w:val="00485975"/>
    <w:rsid w:val="00487443"/>
    <w:rsid w:val="004874E9"/>
    <w:rsid w:val="00487610"/>
    <w:rsid w:val="00487619"/>
    <w:rsid w:val="00491647"/>
    <w:rsid w:val="0049245A"/>
    <w:rsid w:val="00495056"/>
    <w:rsid w:val="004A07D9"/>
    <w:rsid w:val="004A0B91"/>
    <w:rsid w:val="004A4039"/>
    <w:rsid w:val="004A4447"/>
    <w:rsid w:val="004A45B3"/>
    <w:rsid w:val="004A4AD6"/>
    <w:rsid w:val="004A5862"/>
    <w:rsid w:val="004A658E"/>
    <w:rsid w:val="004A66C9"/>
    <w:rsid w:val="004A69E2"/>
    <w:rsid w:val="004B0446"/>
    <w:rsid w:val="004B1617"/>
    <w:rsid w:val="004B31D4"/>
    <w:rsid w:val="004B38EB"/>
    <w:rsid w:val="004B6764"/>
    <w:rsid w:val="004B6AD3"/>
    <w:rsid w:val="004B73A6"/>
    <w:rsid w:val="004B7610"/>
    <w:rsid w:val="004C0B09"/>
    <w:rsid w:val="004C3DAA"/>
    <w:rsid w:val="004C7D9D"/>
    <w:rsid w:val="004D03E3"/>
    <w:rsid w:val="004D1322"/>
    <w:rsid w:val="004D1913"/>
    <w:rsid w:val="004D2048"/>
    <w:rsid w:val="004D32AF"/>
    <w:rsid w:val="004D4413"/>
    <w:rsid w:val="004D4E5A"/>
    <w:rsid w:val="004D7B3A"/>
    <w:rsid w:val="004E0062"/>
    <w:rsid w:val="004E0BEE"/>
    <w:rsid w:val="004E22AC"/>
    <w:rsid w:val="004E3524"/>
    <w:rsid w:val="004F2B75"/>
    <w:rsid w:val="004F2D27"/>
    <w:rsid w:val="004F315B"/>
    <w:rsid w:val="004F329A"/>
    <w:rsid w:val="004F3589"/>
    <w:rsid w:val="004F4A71"/>
    <w:rsid w:val="004F6949"/>
    <w:rsid w:val="0050647F"/>
    <w:rsid w:val="00506BC2"/>
    <w:rsid w:val="005116DE"/>
    <w:rsid w:val="005156D2"/>
    <w:rsid w:val="005220F7"/>
    <w:rsid w:val="00522AD4"/>
    <w:rsid w:val="00522E4A"/>
    <w:rsid w:val="0052309D"/>
    <w:rsid w:val="00523309"/>
    <w:rsid w:val="0052467A"/>
    <w:rsid w:val="00524DED"/>
    <w:rsid w:val="0052658E"/>
    <w:rsid w:val="0052704D"/>
    <w:rsid w:val="00533396"/>
    <w:rsid w:val="00534F64"/>
    <w:rsid w:val="0053593C"/>
    <w:rsid w:val="00535CAB"/>
    <w:rsid w:val="00536297"/>
    <w:rsid w:val="005364BA"/>
    <w:rsid w:val="005366F3"/>
    <w:rsid w:val="00536F73"/>
    <w:rsid w:val="0053753D"/>
    <w:rsid w:val="00543754"/>
    <w:rsid w:val="00544FDD"/>
    <w:rsid w:val="005459AC"/>
    <w:rsid w:val="005473EC"/>
    <w:rsid w:val="00554C3A"/>
    <w:rsid w:val="00556CEB"/>
    <w:rsid w:val="00556F9D"/>
    <w:rsid w:val="005602C6"/>
    <w:rsid w:val="00561C6A"/>
    <w:rsid w:val="005626FF"/>
    <w:rsid w:val="00562AD2"/>
    <w:rsid w:val="00563298"/>
    <w:rsid w:val="00563B67"/>
    <w:rsid w:val="0056505E"/>
    <w:rsid w:val="005657FB"/>
    <w:rsid w:val="00566DBE"/>
    <w:rsid w:val="00570D91"/>
    <w:rsid w:val="00571A7B"/>
    <w:rsid w:val="00572B96"/>
    <w:rsid w:val="005734E8"/>
    <w:rsid w:val="00576062"/>
    <w:rsid w:val="005769CF"/>
    <w:rsid w:val="00576E05"/>
    <w:rsid w:val="00581C10"/>
    <w:rsid w:val="00582A11"/>
    <w:rsid w:val="00582DDE"/>
    <w:rsid w:val="00586960"/>
    <w:rsid w:val="0058741F"/>
    <w:rsid w:val="00587BD8"/>
    <w:rsid w:val="005912B6"/>
    <w:rsid w:val="00592A61"/>
    <w:rsid w:val="00593460"/>
    <w:rsid w:val="00594CAC"/>
    <w:rsid w:val="00594E65"/>
    <w:rsid w:val="00596A2C"/>
    <w:rsid w:val="005978BB"/>
    <w:rsid w:val="005A0614"/>
    <w:rsid w:val="005A2D69"/>
    <w:rsid w:val="005A2FCB"/>
    <w:rsid w:val="005A5443"/>
    <w:rsid w:val="005A5D66"/>
    <w:rsid w:val="005A72E6"/>
    <w:rsid w:val="005A7C81"/>
    <w:rsid w:val="005B0830"/>
    <w:rsid w:val="005B3153"/>
    <w:rsid w:val="005B3E90"/>
    <w:rsid w:val="005B44F4"/>
    <w:rsid w:val="005B4728"/>
    <w:rsid w:val="005B4F66"/>
    <w:rsid w:val="005B51EC"/>
    <w:rsid w:val="005B5796"/>
    <w:rsid w:val="005B67F5"/>
    <w:rsid w:val="005C0288"/>
    <w:rsid w:val="005C107D"/>
    <w:rsid w:val="005C346B"/>
    <w:rsid w:val="005C540A"/>
    <w:rsid w:val="005C57D1"/>
    <w:rsid w:val="005C5B24"/>
    <w:rsid w:val="005C5C81"/>
    <w:rsid w:val="005D1004"/>
    <w:rsid w:val="005D2484"/>
    <w:rsid w:val="005D2E58"/>
    <w:rsid w:val="005D487B"/>
    <w:rsid w:val="005D4A5C"/>
    <w:rsid w:val="005E0163"/>
    <w:rsid w:val="005E03EE"/>
    <w:rsid w:val="005E0547"/>
    <w:rsid w:val="005E263C"/>
    <w:rsid w:val="005E2BDB"/>
    <w:rsid w:val="005E4D4F"/>
    <w:rsid w:val="005E6775"/>
    <w:rsid w:val="005E712D"/>
    <w:rsid w:val="005F2578"/>
    <w:rsid w:val="005F439C"/>
    <w:rsid w:val="005F526D"/>
    <w:rsid w:val="005F7F92"/>
    <w:rsid w:val="0060472E"/>
    <w:rsid w:val="00605EDA"/>
    <w:rsid w:val="00606547"/>
    <w:rsid w:val="00610C30"/>
    <w:rsid w:val="00612194"/>
    <w:rsid w:val="00612CAF"/>
    <w:rsid w:val="00613391"/>
    <w:rsid w:val="00614E06"/>
    <w:rsid w:val="0061755F"/>
    <w:rsid w:val="00620243"/>
    <w:rsid w:val="00620B33"/>
    <w:rsid w:val="0062126D"/>
    <w:rsid w:val="00623801"/>
    <w:rsid w:val="00626F27"/>
    <w:rsid w:val="00627221"/>
    <w:rsid w:val="00627408"/>
    <w:rsid w:val="006277CC"/>
    <w:rsid w:val="00630D56"/>
    <w:rsid w:val="00631CE1"/>
    <w:rsid w:val="00632EAE"/>
    <w:rsid w:val="00633DD1"/>
    <w:rsid w:val="00634DFF"/>
    <w:rsid w:val="00636A55"/>
    <w:rsid w:val="006372F8"/>
    <w:rsid w:val="00641FF4"/>
    <w:rsid w:val="00642362"/>
    <w:rsid w:val="00642462"/>
    <w:rsid w:val="00642E7C"/>
    <w:rsid w:val="006444DD"/>
    <w:rsid w:val="00645045"/>
    <w:rsid w:val="00646239"/>
    <w:rsid w:val="00651571"/>
    <w:rsid w:val="00653C6F"/>
    <w:rsid w:val="006544D2"/>
    <w:rsid w:val="0065466D"/>
    <w:rsid w:val="006559A6"/>
    <w:rsid w:val="00655D40"/>
    <w:rsid w:val="00655FBE"/>
    <w:rsid w:val="00656DEE"/>
    <w:rsid w:val="00661ACF"/>
    <w:rsid w:val="0066491E"/>
    <w:rsid w:val="006661D6"/>
    <w:rsid w:val="00666DF1"/>
    <w:rsid w:val="006673A4"/>
    <w:rsid w:val="00671BF3"/>
    <w:rsid w:val="00672419"/>
    <w:rsid w:val="0067287A"/>
    <w:rsid w:val="00673785"/>
    <w:rsid w:val="00673B1F"/>
    <w:rsid w:val="006745F4"/>
    <w:rsid w:val="006745FE"/>
    <w:rsid w:val="00674628"/>
    <w:rsid w:val="0067462B"/>
    <w:rsid w:val="006778BD"/>
    <w:rsid w:val="00677E77"/>
    <w:rsid w:val="00680955"/>
    <w:rsid w:val="0068272F"/>
    <w:rsid w:val="006831C1"/>
    <w:rsid w:val="00686EF9"/>
    <w:rsid w:val="0068713A"/>
    <w:rsid w:val="00687555"/>
    <w:rsid w:val="0069014B"/>
    <w:rsid w:val="00690D32"/>
    <w:rsid w:val="006938E9"/>
    <w:rsid w:val="00694194"/>
    <w:rsid w:val="006953C3"/>
    <w:rsid w:val="006A4B4B"/>
    <w:rsid w:val="006A6E96"/>
    <w:rsid w:val="006B0121"/>
    <w:rsid w:val="006B2F70"/>
    <w:rsid w:val="006B2F8E"/>
    <w:rsid w:val="006B6B3A"/>
    <w:rsid w:val="006B7002"/>
    <w:rsid w:val="006C1B6B"/>
    <w:rsid w:val="006C2D59"/>
    <w:rsid w:val="006C4AC1"/>
    <w:rsid w:val="006C5A95"/>
    <w:rsid w:val="006C68B0"/>
    <w:rsid w:val="006C6FEC"/>
    <w:rsid w:val="006D0504"/>
    <w:rsid w:val="006D1DF6"/>
    <w:rsid w:val="006D604A"/>
    <w:rsid w:val="006D6DF6"/>
    <w:rsid w:val="006D70C8"/>
    <w:rsid w:val="006D7BAA"/>
    <w:rsid w:val="006D7D33"/>
    <w:rsid w:val="006E0A48"/>
    <w:rsid w:val="006E186B"/>
    <w:rsid w:val="006E1A2A"/>
    <w:rsid w:val="006E1F67"/>
    <w:rsid w:val="006E3D63"/>
    <w:rsid w:val="006E4532"/>
    <w:rsid w:val="006E5054"/>
    <w:rsid w:val="006E51C4"/>
    <w:rsid w:val="006E57A2"/>
    <w:rsid w:val="006E6FA0"/>
    <w:rsid w:val="006F015B"/>
    <w:rsid w:val="006F2101"/>
    <w:rsid w:val="006F30D6"/>
    <w:rsid w:val="006F4894"/>
    <w:rsid w:val="006F5698"/>
    <w:rsid w:val="006F5845"/>
    <w:rsid w:val="006F6F6E"/>
    <w:rsid w:val="007002DC"/>
    <w:rsid w:val="00701166"/>
    <w:rsid w:val="007025B7"/>
    <w:rsid w:val="00702971"/>
    <w:rsid w:val="00702FB1"/>
    <w:rsid w:val="00703EAB"/>
    <w:rsid w:val="00705509"/>
    <w:rsid w:val="00706132"/>
    <w:rsid w:val="00712665"/>
    <w:rsid w:val="00714B0C"/>
    <w:rsid w:val="00714F57"/>
    <w:rsid w:val="007172AF"/>
    <w:rsid w:val="007200AE"/>
    <w:rsid w:val="00723A0E"/>
    <w:rsid w:val="00725150"/>
    <w:rsid w:val="00725E67"/>
    <w:rsid w:val="0072654F"/>
    <w:rsid w:val="00730E2B"/>
    <w:rsid w:val="00731180"/>
    <w:rsid w:val="00731984"/>
    <w:rsid w:val="0073233E"/>
    <w:rsid w:val="00733957"/>
    <w:rsid w:val="00733C25"/>
    <w:rsid w:val="00734BD3"/>
    <w:rsid w:val="0073599D"/>
    <w:rsid w:val="00737E6D"/>
    <w:rsid w:val="0074017D"/>
    <w:rsid w:val="007404E6"/>
    <w:rsid w:val="00741938"/>
    <w:rsid w:val="007422D4"/>
    <w:rsid w:val="00742D55"/>
    <w:rsid w:val="00744990"/>
    <w:rsid w:val="0075109B"/>
    <w:rsid w:val="00751E22"/>
    <w:rsid w:val="00753C99"/>
    <w:rsid w:val="0075437B"/>
    <w:rsid w:val="00755A48"/>
    <w:rsid w:val="00761EBF"/>
    <w:rsid w:val="00763250"/>
    <w:rsid w:val="00766626"/>
    <w:rsid w:val="00766BA9"/>
    <w:rsid w:val="00767D6E"/>
    <w:rsid w:val="0077126B"/>
    <w:rsid w:val="007713E7"/>
    <w:rsid w:val="007727EC"/>
    <w:rsid w:val="007729A3"/>
    <w:rsid w:val="00780F63"/>
    <w:rsid w:val="007834D0"/>
    <w:rsid w:val="00784966"/>
    <w:rsid w:val="00784D15"/>
    <w:rsid w:val="00785980"/>
    <w:rsid w:val="00785A57"/>
    <w:rsid w:val="0079001D"/>
    <w:rsid w:val="007903BC"/>
    <w:rsid w:val="00790852"/>
    <w:rsid w:val="0079165E"/>
    <w:rsid w:val="00791C1D"/>
    <w:rsid w:val="007924BC"/>
    <w:rsid w:val="0079452F"/>
    <w:rsid w:val="007A0F50"/>
    <w:rsid w:val="007A14AD"/>
    <w:rsid w:val="007A1D0A"/>
    <w:rsid w:val="007A2DE2"/>
    <w:rsid w:val="007A352A"/>
    <w:rsid w:val="007A3838"/>
    <w:rsid w:val="007A56AB"/>
    <w:rsid w:val="007A581E"/>
    <w:rsid w:val="007A69C9"/>
    <w:rsid w:val="007A6E32"/>
    <w:rsid w:val="007B019A"/>
    <w:rsid w:val="007B074B"/>
    <w:rsid w:val="007B388E"/>
    <w:rsid w:val="007B5A23"/>
    <w:rsid w:val="007C2509"/>
    <w:rsid w:val="007C28F6"/>
    <w:rsid w:val="007C2BAE"/>
    <w:rsid w:val="007C5402"/>
    <w:rsid w:val="007C6EF4"/>
    <w:rsid w:val="007D14E5"/>
    <w:rsid w:val="007D1973"/>
    <w:rsid w:val="007D537C"/>
    <w:rsid w:val="007D564B"/>
    <w:rsid w:val="007D5A63"/>
    <w:rsid w:val="007D622F"/>
    <w:rsid w:val="007E21F5"/>
    <w:rsid w:val="007F0341"/>
    <w:rsid w:val="007F0E33"/>
    <w:rsid w:val="007F1A66"/>
    <w:rsid w:val="007F1C39"/>
    <w:rsid w:val="007F1C3D"/>
    <w:rsid w:val="007F2272"/>
    <w:rsid w:val="007F683E"/>
    <w:rsid w:val="007F6BF9"/>
    <w:rsid w:val="007F6DD1"/>
    <w:rsid w:val="007F74F0"/>
    <w:rsid w:val="00800393"/>
    <w:rsid w:val="0080102F"/>
    <w:rsid w:val="00803358"/>
    <w:rsid w:val="00803CCC"/>
    <w:rsid w:val="008041F8"/>
    <w:rsid w:val="008048AF"/>
    <w:rsid w:val="0080690D"/>
    <w:rsid w:val="0080785A"/>
    <w:rsid w:val="00807FEE"/>
    <w:rsid w:val="008105D5"/>
    <w:rsid w:val="008121A3"/>
    <w:rsid w:val="008126F5"/>
    <w:rsid w:val="00814CB2"/>
    <w:rsid w:val="0081668D"/>
    <w:rsid w:val="00820C81"/>
    <w:rsid w:val="008218D5"/>
    <w:rsid w:val="0082317C"/>
    <w:rsid w:val="00824220"/>
    <w:rsid w:val="008272E3"/>
    <w:rsid w:val="00830997"/>
    <w:rsid w:val="00831284"/>
    <w:rsid w:val="0083341D"/>
    <w:rsid w:val="00833A21"/>
    <w:rsid w:val="00835FC5"/>
    <w:rsid w:val="00837557"/>
    <w:rsid w:val="0084153D"/>
    <w:rsid w:val="00842487"/>
    <w:rsid w:val="00842E9F"/>
    <w:rsid w:val="00843507"/>
    <w:rsid w:val="00843536"/>
    <w:rsid w:val="00843D83"/>
    <w:rsid w:val="00844C9A"/>
    <w:rsid w:val="00845F61"/>
    <w:rsid w:val="008512C8"/>
    <w:rsid w:val="00851AA9"/>
    <w:rsid w:val="00853DC7"/>
    <w:rsid w:val="008547CB"/>
    <w:rsid w:val="00854F30"/>
    <w:rsid w:val="00857ACF"/>
    <w:rsid w:val="0086225F"/>
    <w:rsid w:val="00862D71"/>
    <w:rsid w:val="00863160"/>
    <w:rsid w:val="00865398"/>
    <w:rsid w:val="0086582B"/>
    <w:rsid w:val="008760CC"/>
    <w:rsid w:val="00876582"/>
    <w:rsid w:val="00877C58"/>
    <w:rsid w:val="00880165"/>
    <w:rsid w:val="008805A3"/>
    <w:rsid w:val="00882788"/>
    <w:rsid w:val="00883FB9"/>
    <w:rsid w:val="0088533B"/>
    <w:rsid w:val="00885D9E"/>
    <w:rsid w:val="008869AD"/>
    <w:rsid w:val="008902BF"/>
    <w:rsid w:val="008928D4"/>
    <w:rsid w:val="0089295F"/>
    <w:rsid w:val="00894661"/>
    <w:rsid w:val="00894781"/>
    <w:rsid w:val="00894FBC"/>
    <w:rsid w:val="00897CF2"/>
    <w:rsid w:val="008A0230"/>
    <w:rsid w:val="008A154C"/>
    <w:rsid w:val="008A1D3C"/>
    <w:rsid w:val="008A21E4"/>
    <w:rsid w:val="008A2811"/>
    <w:rsid w:val="008A30C0"/>
    <w:rsid w:val="008A4050"/>
    <w:rsid w:val="008A6A1B"/>
    <w:rsid w:val="008A7BD3"/>
    <w:rsid w:val="008A7E4A"/>
    <w:rsid w:val="008B1651"/>
    <w:rsid w:val="008B1C44"/>
    <w:rsid w:val="008B24FD"/>
    <w:rsid w:val="008B2D83"/>
    <w:rsid w:val="008B3E7D"/>
    <w:rsid w:val="008B450D"/>
    <w:rsid w:val="008B60BB"/>
    <w:rsid w:val="008C1E59"/>
    <w:rsid w:val="008C24AE"/>
    <w:rsid w:val="008C572E"/>
    <w:rsid w:val="008D0F1A"/>
    <w:rsid w:val="008D1EFB"/>
    <w:rsid w:val="008D558C"/>
    <w:rsid w:val="008D561B"/>
    <w:rsid w:val="008D5A98"/>
    <w:rsid w:val="008D6C2F"/>
    <w:rsid w:val="008E0B69"/>
    <w:rsid w:val="008E0F74"/>
    <w:rsid w:val="008E2B6B"/>
    <w:rsid w:val="008E2D37"/>
    <w:rsid w:val="008E3F75"/>
    <w:rsid w:val="008E407A"/>
    <w:rsid w:val="008E4E89"/>
    <w:rsid w:val="008E5237"/>
    <w:rsid w:val="008E7ED2"/>
    <w:rsid w:val="008F06A9"/>
    <w:rsid w:val="008F1AFE"/>
    <w:rsid w:val="008F3C16"/>
    <w:rsid w:val="008F6EAA"/>
    <w:rsid w:val="009003F7"/>
    <w:rsid w:val="00900C1A"/>
    <w:rsid w:val="0090154C"/>
    <w:rsid w:val="00902215"/>
    <w:rsid w:val="00902293"/>
    <w:rsid w:val="00903338"/>
    <w:rsid w:val="009056EA"/>
    <w:rsid w:val="0090584A"/>
    <w:rsid w:val="00907136"/>
    <w:rsid w:val="009072EB"/>
    <w:rsid w:val="009075EF"/>
    <w:rsid w:val="00910440"/>
    <w:rsid w:val="0091165A"/>
    <w:rsid w:val="009131BB"/>
    <w:rsid w:val="00913EBF"/>
    <w:rsid w:val="00920519"/>
    <w:rsid w:val="009225B8"/>
    <w:rsid w:val="00922AEE"/>
    <w:rsid w:val="00922C0D"/>
    <w:rsid w:val="00923970"/>
    <w:rsid w:val="00925CEA"/>
    <w:rsid w:val="00927836"/>
    <w:rsid w:val="0093163E"/>
    <w:rsid w:val="00931BD4"/>
    <w:rsid w:val="00931FB0"/>
    <w:rsid w:val="00934991"/>
    <w:rsid w:val="00941C69"/>
    <w:rsid w:val="00942F50"/>
    <w:rsid w:val="00943A1F"/>
    <w:rsid w:val="00943DCC"/>
    <w:rsid w:val="00944C78"/>
    <w:rsid w:val="0094659E"/>
    <w:rsid w:val="009473E5"/>
    <w:rsid w:val="009476A7"/>
    <w:rsid w:val="0095134E"/>
    <w:rsid w:val="0095173D"/>
    <w:rsid w:val="00953283"/>
    <w:rsid w:val="0095342D"/>
    <w:rsid w:val="00953C86"/>
    <w:rsid w:val="00954529"/>
    <w:rsid w:val="00955F11"/>
    <w:rsid w:val="009575E9"/>
    <w:rsid w:val="00957E63"/>
    <w:rsid w:val="00960362"/>
    <w:rsid w:val="00961F72"/>
    <w:rsid w:val="00963F47"/>
    <w:rsid w:val="0096506B"/>
    <w:rsid w:val="009651F6"/>
    <w:rsid w:val="00965535"/>
    <w:rsid w:val="00970AC9"/>
    <w:rsid w:val="00970EFB"/>
    <w:rsid w:val="00972F8F"/>
    <w:rsid w:val="00974325"/>
    <w:rsid w:val="00974F11"/>
    <w:rsid w:val="009755A6"/>
    <w:rsid w:val="00975D4C"/>
    <w:rsid w:val="00976162"/>
    <w:rsid w:val="00976344"/>
    <w:rsid w:val="00976531"/>
    <w:rsid w:val="0097732E"/>
    <w:rsid w:val="009824CC"/>
    <w:rsid w:val="00983FB4"/>
    <w:rsid w:val="009840A3"/>
    <w:rsid w:val="00984121"/>
    <w:rsid w:val="009847E4"/>
    <w:rsid w:val="00984C3D"/>
    <w:rsid w:val="00986EF7"/>
    <w:rsid w:val="00990CF5"/>
    <w:rsid w:val="00993204"/>
    <w:rsid w:val="00995311"/>
    <w:rsid w:val="0099670E"/>
    <w:rsid w:val="00996E91"/>
    <w:rsid w:val="00997B0E"/>
    <w:rsid w:val="009A2AEF"/>
    <w:rsid w:val="009A2C73"/>
    <w:rsid w:val="009A4BBA"/>
    <w:rsid w:val="009A6052"/>
    <w:rsid w:val="009A63D3"/>
    <w:rsid w:val="009A743B"/>
    <w:rsid w:val="009B258B"/>
    <w:rsid w:val="009B2AFC"/>
    <w:rsid w:val="009B49F4"/>
    <w:rsid w:val="009B4DD0"/>
    <w:rsid w:val="009B53C2"/>
    <w:rsid w:val="009B5B6C"/>
    <w:rsid w:val="009B68DB"/>
    <w:rsid w:val="009B6A02"/>
    <w:rsid w:val="009B6FB2"/>
    <w:rsid w:val="009C0412"/>
    <w:rsid w:val="009C0E44"/>
    <w:rsid w:val="009C1094"/>
    <w:rsid w:val="009C18B0"/>
    <w:rsid w:val="009C206C"/>
    <w:rsid w:val="009C3BB3"/>
    <w:rsid w:val="009C3D43"/>
    <w:rsid w:val="009C4B5F"/>
    <w:rsid w:val="009C54B2"/>
    <w:rsid w:val="009C54F1"/>
    <w:rsid w:val="009D23A7"/>
    <w:rsid w:val="009D29F5"/>
    <w:rsid w:val="009D4666"/>
    <w:rsid w:val="009D669D"/>
    <w:rsid w:val="009D7DEE"/>
    <w:rsid w:val="009E0C17"/>
    <w:rsid w:val="009E0DE2"/>
    <w:rsid w:val="009E3958"/>
    <w:rsid w:val="009E53C7"/>
    <w:rsid w:val="009E7736"/>
    <w:rsid w:val="009F246A"/>
    <w:rsid w:val="009F3223"/>
    <w:rsid w:val="009F34DD"/>
    <w:rsid w:val="009F44BA"/>
    <w:rsid w:val="009F45D8"/>
    <w:rsid w:val="009F49BF"/>
    <w:rsid w:val="009F7514"/>
    <w:rsid w:val="00A00F27"/>
    <w:rsid w:val="00A01AEB"/>
    <w:rsid w:val="00A01F67"/>
    <w:rsid w:val="00A02149"/>
    <w:rsid w:val="00A03222"/>
    <w:rsid w:val="00A06B59"/>
    <w:rsid w:val="00A07708"/>
    <w:rsid w:val="00A10D67"/>
    <w:rsid w:val="00A11A4D"/>
    <w:rsid w:val="00A13464"/>
    <w:rsid w:val="00A13481"/>
    <w:rsid w:val="00A14EFC"/>
    <w:rsid w:val="00A16432"/>
    <w:rsid w:val="00A17DFF"/>
    <w:rsid w:val="00A23917"/>
    <w:rsid w:val="00A24BD9"/>
    <w:rsid w:val="00A25D6C"/>
    <w:rsid w:val="00A2636D"/>
    <w:rsid w:val="00A310AB"/>
    <w:rsid w:val="00A31699"/>
    <w:rsid w:val="00A31DD8"/>
    <w:rsid w:val="00A346DF"/>
    <w:rsid w:val="00A378DE"/>
    <w:rsid w:val="00A4260A"/>
    <w:rsid w:val="00A445CB"/>
    <w:rsid w:val="00A446E7"/>
    <w:rsid w:val="00A4596A"/>
    <w:rsid w:val="00A478BD"/>
    <w:rsid w:val="00A51A8B"/>
    <w:rsid w:val="00A5323C"/>
    <w:rsid w:val="00A53378"/>
    <w:rsid w:val="00A5367B"/>
    <w:rsid w:val="00A54253"/>
    <w:rsid w:val="00A56780"/>
    <w:rsid w:val="00A6347B"/>
    <w:rsid w:val="00A63F1F"/>
    <w:rsid w:val="00A646D0"/>
    <w:rsid w:val="00A65CB1"/>
    <w:rsid w:val="00A65F4E"/>
    <w:rsid w:val="00A714C1"/>
    <w:rsid w:val="00A72FE8"/>
    <w:rsid w:val="00A747DE"/>
    <w:rsid w:val="00A756C4"/>
    <w:rsid w:val="00A75B66"/>
    <w:rsid w:val="00A76827"/>
    <w:rsid w:val="00A80160"/>
    <w:rsid w:val="00A80B71"/>
    <w:rsid w:val="00A82349"/>
    <w:rsid w:val="00A834EA"/>
    <w:rsid w:val="00A83E89"/>
    <w:rsid w:val="00A845DF"/>
    <w:rsid w:val="00A846E7"/>
    <w:rsid w:val="00A870FD"/>
    <w:rsid w:val="00A8748E"/>
    <w:rsid w:val="00A87C9C"/>
    <w:rsid w:val="00A91AE1"/>
    <w:rsid w:val="00A91E32"/>
    <w:rsid w:val="00A920D2"/>
    <w:rsid w:val="00A96CAF"/>
    <w:rsid w:val="00AA0D8C"/>
    <w:rsid w:val="00AA15D6"/>
    <w:rsid w:val="00AA5960"/>
    <w:rsid w:val="00AA6FED"/>
    <w:rsid w:val="00AA746A"/>
    <w:rsid w:val="00AB05A0"/>
    <w:rsid w:val="00AB5375"/>
    <w:rsid w:val="00AB6DA7"/>
    <w:rsid w:val="00AC0D92"/>
    <w:rsid w:val="00AC1895"/>
    <w:rsid w:val="00AC1FA2"/>
    <w:rsid w:val="00AC2D8F"/>
    <w:rsid w:val="00AC70EE"/>
    <w:rsid w:val="00AC7B70"/>
    <w:rsid w:val="00AD16CF"/>
    <w:rsid w:val="00AD1DB4"/>
    <w:rsid w:val="00AD2EC4"/>
    <w:rsid w:val="00AE0C49"/>
    <w:rsid w:val="00AE29EE"/>
    <w:rsid w:val="00AE5C44"/>
    <w:rsid w:val="00AF0C15"/>
    <w:rsid w:val="00AF1A2C"/>
    <w:rsid w:val="00AF4113"/>
    <w:rsid w:val="00AF7BD5"/>
    <w:rsid w:val="00B00718"/>
    <w:rsid w:val="00B00789"/>
    <w:rsid w:val="00B0280B"/>
    <w:rsid w:val="00B02E5F"/>
    <w:rsid w:val="00B04C89"/>
    <w:rsid w:val="00B06639"/>
    <w:rsid w:val="00B07A15"/>
    <w:rsid w:val="00B07B2F"/>
    <w:rsid w:val="00B1008D"/>
    <w:rsid w:val="00B11380"/>
    <w:rsid w:val="00B11A6A"/>
    <w:rsid w:val="00B11B9E"/>
    <w:rsid w:val="00B124BD"/>
    <w:rsid w:val="00B14C90"/>
    <w:rsid w:val="00B15A6F"/>
    <w:rsid w:val="00B21B3F"/>
    <w:rsid w:val="00B244CC"/>
    <w:rsid w:val="00B24B2F"/>
    <w:rsid w:val="00B24CB2"/>
    <w:rsid w:val="00B250DF"/>
    <w:rsid w:val="00B27D3B"/>
    <w:rsid w:val="00B31F9D"/>
    <w:rsid w:val="00B32567"/>
    <w:rsid w:val="00B33B50"/>
    <w:rsid w:val="00B34A94"/>
    <w:rsid w:val="00B37E55"/>
    <w:rsid w:val="00B41990"/>
    <w:rsid w:val="00B41BF3"/>
    <w:rsid w:val="00B427BD"/>
    <w:rsid w:val="00B44740"/>
    <w:rsid w:val="00B4562F"/>
    <w:rsid w:val="00B4564D"/>
    <w:rsid w:val="00B46AD8"/>
    <w:rsid w:val="00B47E72"/>
    <w:rsid w:val="00B51799"/>
    <w:rsid w:val="00B51A6F"/>
    <w:rsid w:val="00B52DBA"/>
    <w:rsid w:val="00B52DF5"/>
    <w:rsid w:val="00B5387D"/>
    <w:rsid w:val="00B55CAC"/>
    <w:rsid w:val="00B56715"/>
    <w:rsid w:val="00B604FA"/>
    <w:rsid w:val="00B63605"/>
    <w:rsid w:val="00B653F1"/>
    <w:rsid w:val="00B6744F"/>
    <w:rsid w:val="00B74F43"/>
    <w:rsid w:val="00B80816"/>
    <w:rsid w:val="00B84122"/>
    <w:rsid w:val="00B8476D"/>
    <w:rsid w:val="00B86797"/>
    <w:rsid w:val="00B868B8"/>
    <w:rsid w:val="00B91C5B"/>
    <w:rsid w:val="00B930F0"/>
    <w:rsid w:val="00B933FF"/>
    <w:rsid w:val="00B93F3F"/>
    <w:rsid w:val="00B94D56"/>
    <w:rsid w:val="00B963BB"/>
    <w:rsid w:val="00B977B6"/>
    <w:rsid w:val="00BA0333"/>
    <w:rsid w:val="00BA1B94"/>
    <w:rsid w:val="00BA27A4"/>
    <w:rsid w:val="00BA430D"/>
    <w:rsid w:val="00BA5187"/>
    <w:rsid w:val="00BA6329"/>
    <w:rsid w:val="00BA6360"/>
    <w:rsid w:val="00BA6EC3"/>
    <w:rsid w:val="00BA70AB"/>
    <w:rsid w:val="00BA79BA"/>
    <w:rsid w:val="00BB0D15"/>
    <w:rsid w:val="00BB2527"/>
    <w:rsid w:val="00BB2ED4"/>
    <w:rsid w:val="00BB335F"/>
    <w:rsid w:val="00BB412F"/>
    <w:rsid w:val="00BB51F1"/>
    <w:rsid w:val="00BB5C24"/>
    <w:rsid w:val="00BC13E3"/>
    <w:rsid w:val="00BC1F8A"/>
    <w:rsid w:val="00BC217F"/>
    <w:rsid w:val="00BC21E1"/>
    <w:rsid w:val="00BC2267"/>
    <w:rsid w:val="00BC2BC0"/>
    <w:rsid w:val="00BC3D5D"/>
    <w:rsid w:val="00BC4841"/>
    <w:rsid w:val="00BC5D92"/>
    <w:rsid w:val="00BC6051"/>
    <w:rsid w:val="00BC6C16"/>
    <w:rsid w:val="00BC6CD9"/>
    <w:rsid w:val="00BC74C3"/>
    <w:rsid w:val="00BC7CC3"/>
    <w:rsid w:val="00BD08B5"/>
    <w:rsid w:val="00BD0D17"/>
    <w:rsid w:val="00BD1932"/>
    <w:rsid w:val="00BD3223"/>
    <w:rsid w:val="00BD3B7D"/>
    <w:rsid w:val="00BD6E92"/>
    <w:rsid w:val="00BD7F00"/>
    <w:rsid w:val="00BE0970"/>
    <w:rsid w:val="00BE4E64"/>
    <w:rsid w:val="00BE57EE"/>
    <w:rsid w:val="00BE5BF2"/>
    <w:rsid w:val="00BE67DA"/>
    <w:rsid w:val="00BE7D0C"/>
    <w:rsid w:val="00BF0912"/>
    <w:rsid w:val="00BF127E"/>
    <w:rsid w:val="00BF2581"/>
    <w:rsid w:val="00BF36F6"/>
    <w:rsid w:val="00BF3C05"/>
    <w:rsid w:val="00BF3EC4"/>
    <w:rsid w:val="00BF5C84"/>
    <w:rsid w:val="00BF6C26"/>
    <w:rsid w:val="00BF7F6C"/>
    <w:rsid w:val="00C0209D"/>
    <w:rsid w:val="00C02704"/>
    <w:rsid w:val="00C038E9"/>
    <w:rsid w:val="00C0498F"/>
    <w:rsid w:val="00C05372"/>
    <w:rsid w:val="00C061D7"/>
    <w:rsid w:val="00C109D7"/>
    <w:rsid w:val="00C10C0A"/>
    <w:rsid w:val="00C1216F"/>
    <w:rsid w:val="00C1221E"/>
    <w:rsid w:val="00C12EB7"/>
    <w:rsid w:val="00C131AC"/>
    <w:rsid w:val="00C13F95"/>
    <w:rsid w:val="00C145F8"/>
    <w:rsid w:val="00C17270"/>
    <w:rsid w:val="00C20AFB"/>
    <w:rsid w:val="00C217D3"/>
    <w:rsid w:val="00C218F4"/>
    <w:rsid w:val="00C31436"/>
    <w:rsid w:val="00C31BD0"/>
    <w:rsid w:val="00C32770"/>
    <w:rsid w:val="00C34148"/>
    <w:rsid w:val="00C34AE0"/>
    <w:rsid w:val="00C34D1C"/>
    <w:rsid w:val="00C356BD"/>
    <w:rsid w:val="00C35BBD"/>
    <w:rsid w:val="00C374DF"/>
    <w:rsid w:val="00C41120"/>
    <w:rsid w:val="00C41183"/>
    <w:rsid w:val="00C420BB"/>
    <w:rsid w:val="00C42CF1"/>
    <w:rsid w:val="00C44BBA"/>
    <w:rsid w:val="00C44D87"/>
    <w:rsid w:val="00C4629E"/>
    <w:rsid w:val="00C47BDD"/>
    <w:rsid w:val="00C50E8E"/>
    <w:rsid w:val="00C5559A"/>
    <w:rsid w:val="00C55DCE"/>
    <w:rsid w:val="00C5691C"/>
    <w:rsid w:val="00C56B93"/>
    <w:rsid w:val="00C608E7"/>
    <w:rsid w:val="00C63E22"/>
    <w:rsid w:val="00C641EF"/>
    <w:rsid w:val="00C64564"/>
    <w:rsid w:val="00C6478A"/>
    <w:rsid w:val="00C64F0F"/>
    <w:rsid w:val="00C7055F"/>
    <w:rsid w:val="00C70E7E"/>
    <w:rsid w:val="00C72A35"/>
    <w:rsid w:val="00C753CC"/>
    <w:rsid w:val="00C761BA"/>
    <w:rsid w:val="00C824F7"/>
    <w:rsid w:val="00C87089"/>
    <w:rsid w:val="00C87532"/>
    <w:rsid w:val="00C91827"/>
    <w:rsid w:val="00C92352"/>
    <w:rsid w:val="00C92C0D"/>
    <w:rsid w:val="00C94117"/>
    <w:rsid w:val="00C94D4A"/>
    <w:rsid w:val="00C951C0"/>
    <w:rsid w:val="00C9572C"/>
    <w:rsid w:val="00C96766"/>
    <w:rsid w:val="00CA0621"/>
    <w:rsid w:val="00CA0E3B"/>
    <w:rsid w:val="00CA3E9C"/>
    <w:rsid w:val="00CA4F34"/>
    <w:rsid w:val="00CB2CF2"/>
    <w:rsid w:val="00CB4BE7"/>
    <w:rsid w:val="00CB5213"/>
    <w:rsid w:val="00CB5B6A"/>
    <w:rsid w:val="00CB743D"/>
    <w:rsid w:val="00CB7C1F"/>
    <w:rsid w:val="00CC1BAD"/>
    <w:rsid w:val="00CC3287"/>
    <w:rsid w:val="00CC3427"/>
    <w:rsid w:val="00CC4A68"/>
    <w:rsid w:val="00CD2B32"/>
    <w:rsid w:val="00CD2D50"/>
    <w:rsid w:val="00CD5248"/>
    <w:rsid w:val="00CD550B"/>
    <w:rsid w:val="00CD583D"/>
    <w:rsid w:val="00CE0C5C"/>
    <w:rsid w:val="00CE1C3B"/>
    <w:rsid w:val="00CE3332"/>
    <w:rsid w:val="00CE3B68"/>
    <w:rsid w:val="00CE79CF"/>
    <w:rsid w:val="00CF0AEB"/>
    <w:rsid w:val="00CF2594"/>
    <w:rsid w:val="00CF2E5E"/>
    <w:rsid w:val="00CF3496"/>
    <w:rsid w:val="00CF4BB8"/>
    <w:rsid w:val="00CF53B0"/>
    <w:rsid w:val="00CF5DF0"/>
    <w:rsid w:val="00CF7F35"/>
    <w:rsid w:val="00D0052F"/>
    <w:rsid w:val="00D00704"/>
    <w:rsid w:val="00D050B7"/>
    <w:rsid w:val="00D0584F"/>
    <w:rsid w:val="00D05EDA"/>
    <w:rsid w:val="00D07B21"/>
    <w:rsid w:val="00D10D09"/>
    <w:rsid w:val="00D1191D"/>
    <w:rsid w:val="00D12427"/>
    <w:rsid w:val="00D1260E"/>
    <w:rsid w:val="00D12814"/>
    <w:rsid w:val="00D131A5"/>
    <w:rsid w:val="00D13741"/>
    <w:rsid w:val="00D21564"/>
    <w:rsid w:val="00D218B8"/>
    <w:rsid w:val="00D23D93"/>
    <w:rsid w:val="00D265B3"/>
    <w:rsid w:val="00D27AF9"/>
    <w:rsid w:val="00D3105D"/>
    <w:rsid w:val="00D33FC3"/>
    <w:rsid w:val="00D34171"/>
    <w:rsid w:val="00D36654"/>
    <w:rsid w:val="00D400D4"/>
    <w:rsid w:val="00D402DF"/>
    <w:rsid w:val="00D40E71"/>
    <w:rsid w:val="00D41EB1"/>
    <w:rsid w:val="00D41F6F"/>
    <w:rsid w:val="00D42AEF"/>
    <w:rsid w:val="00D436B0"/>
    <w:rsid w:val="00D4675F"/>
    <w:rsid w:val="00D46C86"/>
    <w:rsid w:val="00D505F4"/>
    <w:rsid w:val="00D50AE3"/>
    <w:rsid w:val="00D54A64"/>
    <w:rsid w:val="00D55023"/>
    <w:rsid w:val="00D55A04"/>
    <w:rsid w:val="00D619BC"/>
    <w:rsid w:val="00D62447"/>
    <w:rsid w:val="00D63999"/>
    <w:rsid w:val="00D676E4"/>
    <w:rsid w:val="00D71F7B"/>
    <w:rsid w:val="00D73F01"/>
    <w:rsid w:val="00D762F2"/>
    <w:rsid w:val="00D7754C"/>
    <w:rsid w:val="00D80464"/>
    <w:rsid w:val="00D808E9"/>
    <w:rsid w:val="00D81967"/>
    <w:rsid w:val="00D81BC1"/>
    <w:rsid w:val="00D825CE"/>
    <w:rsid w:val="00D826D9"/>
    <w:rsid w:val="00D82894"/>
    <w:rsid w:val="00D831F6"/>
    <w:rsid w:val="00D837E2"/>
    <w:rsid w:val="00D83A21"/>
    <w:rsid w:val="00D86037"/>
    <w:rsid w:val="00D87A1B"/>
    <w:rsid w:val="00D908BC"/>
    <w:rsid w:val="00D921B0"/>
    <w:rsid w:val="00D93900"/>
    <w:rsid w:val="00D93D1C"/>
    <w:rsid w:val="00D957CD"/>
    <w:rsid w:val="00D96C67"/>
    <w:rsid w:val="00D97678"/>
    <w:rsid w:val="00D97779"/>
    <w:rsid w:val="00DA25D8"/>
    <w:rsid w:val="00DA3F83"/>
    <w:rsid w:val="00DA4760"/>
    <w:rsid w:val="00DA4E0A"/>
    <w:rsid w:val="00DB0BCA"/>
    <w:rsid w:val="00DB126F"/>
    <w:rsid w:val="00DB21B8"/>
    <w:rsid w:val="00DB3216"/>
    <w:rsid w:val="00DB363B"/>
    <w:rsid w:val="00DB539A"/>
    <w:rsid w:val="00DB55FE"/>
    <w:rsid w:val="00DB567C"/>
    <w:rsid w:val="00DC15A8"/>
    <w:rsid w:val="00DC5828"/>
    <w:rsid w:val="00DC593C"/>
    <w:rsid w:val="00DD04C8"/>
    <w:rsid w:val="00DD06B0"/>
    <w:rsid w:val="00DD26D4"/>
    <w:rsid w:val="00DD462D"/>
    <w:rsid w:val="00DD51D9"/>
    <w:rsid w:val="00DD7F3E"/>
    <w:rsid w:val="00DE0EA3"/>
    <w:rsid w:val="00DE1A03"/>
    <w:rsid w:val="00DE2495"/>
    <w:rsid w:val="00DE2920"/>
    <w:rsid w:val="00DE57F3"/>
    <w:rsid w:val="00DE6365"/>
    <w:rsid w:val="00DF018A"/>
    <w:rsid w:val="00DF2703"/>
    <w:rsid w:val="00DF27A1"/>
    <w:rsid w:val="00DF3572"/>
    <w:rsid w:val="00DF47C8"/>
    <w:rsid w:val="00DF5EC0"/>
    <w:rsid w:val="00DF7237"/>
    <w:rsid w:val="00DF7AA1"/>
    <w:rsid w:val="00E0009C"/>
    <w:rsid w:val="00E01BE0"/>
    <w:rsid w:val="00E02A22"/>
    <w:rsid w:val="00E02BFD"/>
    <w:rsid w:val="00E03C7D"/>
    <w:rsid w:val="00E03C92"/>
    <w:rsid w:val="00E05EBC"/>
    <w:rsid w:val="00E070D7"/>
    <w:rsid w:val="00E106EE"/>
    <w:rsid w:val="00E10A35"/>
    <w:rsid w:val="00E10E5D"/>
    <w:rsid w:val="00E12F9B"/>
    <w:rsid w:val="00E1771D"/>
    <w:rsid w:val="00E1777B"/>
    <w:rsid w:val="00E2259B"/>
    <w:rsid w:val="00E22EF1"/>
    <w:rsid w:val="00E23E8C"/>
    <w:rsid w:val="00E24FA8"/>
    <w:rsid w:val="00E25851"/>
    <w:rsid w:val="00E267CD"/>
    <w:rsid w:val="00E26C8F"/>
    <w:rsid w:val="00E30730"/>
    <w:rsid w:val="00E31F0F"/>
    <w:rsid w:val="00E32096"/>
    <w:rsid w:val="00E32B6F"/>
    <w:rsid w:val="00E37CE4"/>
    <w:rsid w:val="00E42691"/>
    <w:rsid w:val="00E4448D"/>
    <w:rsid w:val="00E44AB1"/>
    <w:rsid w:val="00E44B53"/>
    <w:rsid w:val="00E469D5"/>
    <w:rsid w:val="00E47A8A"/>
    <w:rsid w:val="00E47A93"/>
    <w:rsid w:val="00E5100E"/>
    <w:rsid w:val="00E516E2"/>
    <w:rsid w:val="00E5250C"/>
    <w:rsid w:val="00E5680B"/>
    <w:rsid w:val="00E56B7B"/>
    <w:rsid w:val="00E577B0"/>
    <w:rsid w:val="00E60FFE"/>
    <w:rsid w:val="00E61C8C"/>
    <w:rsid w:val="00E630C6"/>
    <w:rsid w:val="00E63B3D"/>
    <w:rsid w:val="00E6643D"/>
    <w:rsid w:val="00E70FB0"/>
    <w:rsid w:val="00E70FD7"/>
    <w:rsid w:val="00E73A4D"/>
    <w:rsid w:val="00E74C2D"/>
    <w:rsid w:val="00E758AC"/>
    <w:rsid w:val="00E75FA8"/>
    <w:rsid w:val="00E76BC3"/>
    <w:rsid w:val="00E81767"/>
    <w:rsid w:val="00E83300"/>
    <w:rsid w:val="00E8480A"/>
    <w:rsid w:val="00E85B1F"/>
    <w:rsid w:val="00E86E9F"/>
    <w:rsid w:val="00E90206"/>
    <w:rsid w:val="00E90F0B"/>
    <w:rsid w:val="00E91AE6"/>
    <w:rsid w:val="00E91DBA"/>
    <w:rsid w:val="00E9227A"/>
    <w:rsid w:val="00E92633"/>
    <w:rsid w:val="00E93EFC"/>
    <w:rsid w:val="00E9655C"/>
    <w:rsid w:val="00E9663B"/>
    <w:rsid w:val="00EA15FA"/>
    <w:rsid w:val="00EA3071"/>
    <w:rsid w:val="00EA33CB"/>
    <w:rsid w:val="00EA605B"/>
    <w:rsid w:val="00EA7DA1"/>
    <w:rsid w:val="00EB028C"/>
    <w:rsid w:val="00EB0807"/>
    <w:rsid w:val="00EB22BC"/>
    <w:rsid w:val="00EB2704"/>
    <w:rsid w:val="00EB2D72"/>
    <w:rsid w:val="00EB31FA"/>
    <w:rsid w:val="00EB4B8B"/>
    <w:rsid w:val="00EB652C"/>
    <w:rsid w:val="00EC0577"/>
    <w:rsid w:val="00EC2694"/>
    <w:rsid w:val="00EC2F1C"/>
    <w:rsid w:val="00EC3B20"/>
    <w:rsid w:val="00EC3D2C"/>
    <w:rsid w:val="00EC44FB"/>
    <w:rsid w:val="00EC465C"/>
    <w:rsid w:val="00EC4C87"/>
    <w:rsid w:val="00EC523C"/>
    <w:rsid w:val="00EC6329"/>
    <w:rsid w:val="00ED09E4"/>
    <w:rsid w:val="00ED1281"/>
    <w:rsid w:val="00ED1AF0"/>
    <w:rsid w:val="00ED315B"/>
    <w:rsid w:val="00ED357C"/>
    <w:rsid w:val="00ED66E2"/>
    <w:rsid w:val="00EE0CBA"/>
    <w:rsid w:val="00EE3303"/>
    <w:rsid w:val="00EE5A94"/>
    <w:rsid w:val="00EE713B"/>
    <w:rsid w:val="00EE7541"/>
    <w:rsid w:val="00EE78D2"/>
    <w:rsid w:val="00EE78F3"/>
    <w:rsid w:val="00EF06C0"/>
    <w:rsid w:val="00EF0DFF"/>
    <w:rsid w:val="00EF29A2"/>
    <w:rsid w:val="00F00097"/>
    <w:rsid w:val="00F0012C"/>
    <w:rsid w:val="00F00C70"/>
    <w:rsid w:val="00F026AF"/>
    <w:rsid w:val="00F04B31"/>
    <w:rsid w:val="00F051B6"/>
    <w:rsid w:val="00F13CB8"/>
    <w:rsid w:val="00F15DE1"/>
    <w:rsid w:val="00F1616A"/>
    <w:rsid w:val="00F161A1"/>
    <w:rsid w:val="00F171F3"/>
    <w:rsid w:val="00F173AA"/>
    <w:rsid w:val="00F17C84"/>
    <w:rsid w:val="00F20690"/>
    <w:rsid w:val="00F22070"/>
    <w:rsid w:val="00F24564"/>
    <w:rsid w:val="00F24BB9"/>
    <w:rsid w:val="00F25741"/>
    <w:rsid w:val="00F25C2B"/>
    <w:rsid w:val="00F26526"/>
    <w:rsid w:val="00F27DE3"/>
    <w:rsid w:val="00F30E84"/>
    <w:rsid w:val="00F328EC"/>
    <w:rsid w:val="00F33219"/>
    <w:rsid w:val="00F339F5"/>
    <w:rsid w:val="00F356E9"/>
    <w:rsid w:val="00F36301"/>
    <w:rsid w:val="00F37DF4"/>
    <w:rsid w:val="00F4438F"/>
    <w:rsid w:val="00F44A3C"/>
    <w:rsid w:val="00F5033B"/>
    <w:rsid w:val="00F517CB"/>
    <w:rsid w:val="00F51F65"/>
    <w:rsid w:val="00F55E72"/>
    <w:rsid w:val="00F57032"/>
    <w:rsid w:val="00F573AA"/>
    <w:rsid w:val="00F60818"/>
    <w:rsid w:val="00F60C89"/>
    <w:rsid w:val="00F61EAD"/>
    <w:rsid w:val="00F63DE4"/>
    <w:rsid w:val="00F6558A"/>
    <w:rsid w:val="00F66BBA"/>
    <w:rsid w:val="00F66F96"/>
    <w:rsid w:val="00F672F8"/>
    <w:rsid w:val="00F70092"/>
    <w:rsid w:val="00F70480"/>
    <w:rsid w:val="00F71D47"/>
    <w:rsid w:val="00F72B32"/>
    <w:rsid w:val="00F737EC"/>
    <w:rsid w:val="00F73EC6"/>
    <w:rsid w:val="00F76F9A"/>
    <w:rsid w:val="00F83B40"/>
    <w:rsid w:val="00F9347F"/>
    <w:rsid w:val="00F936BE"/>
    <w:rsid w:val="00F94F39"/>
    <w:rsid w:val="00FA4CB6"/>
    <w:rsid w:val="00FA5135"/>
    <w:rsid w:val="00FA6232"/>
    <w:rsid w:val="00FA6FE3"/>
    <w:rsid w:val="00FA778E"/>
    <w:rsid w:val="00FB2267"/>
    <w:rsid w:val="00FB4756"/>
    <w:rsid w:val="00FB5622"/>
    <w:rsid w:val="00FB5726"/>
    <w:rsid w:val="00FB7280"/>
    <w:rsid w:val="00FB7AC2"/>
    <w:rsid w:val="00FB7D78"/>
    <w:rsid w:val="00FC0C5E"/>
    <w:rsid w:val="00FC128B"/>
    <w:rsid w:val="00FC17F5"/>
    <w:rsid w:val="00FC2202"/>
    <w:rsid w:val="00FC3605"/>
    <w:rsid w:val="00FC6B9E"/>
    <w:rsid w:val="00FD032E"/>
    <w:rsid w:val="00FD3177"/>
    <w:rsid w:val="00FD5884"/>
    <w:rsid w:val="00FD6BEC"/>
    <w:rsid w:val="00FD6D35"/>
    <w:rsid w:val="00FD7636"/>
    <w:rsid w:val="00FD7D5D"/>
    <w:rsid w:val="00FE1B3B"/>
    <w:rsid w:val="00FE1B68"/>
    <w:rsid w:val="00FE230A"/>
    <w:rsid w:val="00FE4622"/>
    <w:rsid w:val="00FE579E"/>
    <w:rsid w:val="00FE660E"/>
    <w:rsid w:val="00FE726E"/>
    <w:rsid w:val="00FE7C40"/>
    <w:rsid w:val="00FF003D"/>
    <w:rsid w:val="00FF1EAE"/>
    <w:rsid w:val="00FF4FEC"/>
    <w:rsid w:val="00FF761B"/>
    <w:rsid w:val="03D4598B"/>
    <w:rsid w:val="04FE4606"/>
    <w:rsid w:val="0FA66C02"/>
    <w:rsid w:val="137F720A"/>
    <w:rsid w:val="16260EE0"/>
    <w:rsid w:val="1BE74EB1"/>
    <w:rsid w:val="267B25B1"/>
    <w:rsid w:val="3C811A7F"/>
    <w:rsid w:val="404329A6"/>
    <w:rsid w:val="4DEA0236"/>
    <w:rsid w:val="4FF31BBA"/>
    <w:rsid w:val="509C705D"/>
    <w:rsid w:val="50B865C4"/>
    <w:rsid w:val="608F7035"/>
    <w:rsid w:val="62C31651"/>
    <w:rsid w:val="62FC3D66"/>
    <w:rsid w:val="64C61940"/>
    <w:rsid w:val="67FB5522"/>
    <w:rsid w:val="6EBC0B3A"/>
    <w:rsid w:val="7257353F"/>
    <w:rsid w:val="7B130B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96B765A8-8BCA-4EAE-8A07-0D84FCE5B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iPriority="0"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widowControl/>
      <w:spacing w:after="200"/>
      <w:jc w:val="center"/>
    </w:pPr>
    <w:rPr>
      <w:rFonts w:ascii="Times" w:hAnsi="Times" w:cs="Times New Roman"/>
      <w:b/>
      <w:kern w:val="0"/>
      <w:sz w:val="40"/>
      <w:szCs w:val="20"/>
      <w:lang w:eastAsia="en-US"/>
    </w:rPr>
  </w:style>
  <w:style w:type="paragraph" w:styleId="a5">
    <w:name w:val="Balloon Text"/>
    <w:basedOn w:val="a"/>
    <w:link w:val="a6"/>
    <w:semiHidden/>
    <w:qFormat/>
    <w:pPr>
      <w:widowControl/>
      <w:spacing w:after="200"/>
    </w:pPr>
    <w:rPr>
      <w:rFonts w:ascii="Tahoma" w:hAnsi="Tahoma" w:cs="Tahoma"/>
      <w:kern w:val="0"/>
      <w:sz w:val="16"/>
      <w:szCs w:val="16"/>
      <w:lang w:eastAsia="en-US"/>
    </w:rPr>
  </w:style>
  <w:style w:type="paragraph" w:styleId="a7">
    <w:name w:val="footer"/>
    <w:basedOn w:val="a"/>
    <w:link w:val="a8"/>
    <w:qFormat/>
    <w:pPr>
      <w:widowControl/>
      <w:tabs>
        <w:tab w:val="center" w:pos="4320"/>
        <w:tab w:val="right" w:pos="8640"/>
      </w:tabs>
      <w:spacing w:after="200"/>
    </w:pPr>
    <w:rPr>
      <w:rFonts w:ascii="Times" w:hAnsi="Times" w:cs="Times New Roman"/>
      <w:kern w:val="0"/>
      <w:sz w:val="24"/>
      <w:szCs w:val="20"/>
      <w:lang w:eastAsia="en-US"/>
    </w:rPr>
  </w:style>
  <w:style w:type="paragraph" w:styleId="a9">
    <w:name w:val="header"/>
    <w:basedOn w:val="a"/>
    <w:link w:val="aa"/>
    <w:qFormat/>
    <w:pPr>
      <w:widowControl/>
      <w:tabs>
        <w:tab w:val="center" w:pos="4153"/>
        <w:tab w:val="right" w:pos="8306"/>
      </w:tabs>
      <w:snapToGrid w:val="0"/>
      <w:spacing w:after="200"/>
      <w:jc w:val="center"/>
    </w:pPr>
    <w:rPr>
      <w:rFonts w:ascii="Times" w:hAnsi="Times" w:cs="Times New Roman"/>
      <w:kern w:val="0"/>
      <w:sz w:val="18"/>
      <w:szCs w:val="18"/>
      <w:lang w:eastAsia="en-US"/>
    </w:rPr>
  </w:style>
  <w:style w:type="paragraph" w:styleId="ab">
    <w:name w:val="footnote text"/>
    <w:basedOn w:val="a"/>
    <w:next w:val="TFReferencesSection"/>
    <w:link w:val="ac"/>
    <w:semiHidden/>
    <w:qFormat/>
    <w:pPr>
      <w:widowControl/>
      <w:spacing w:after="200"/>
    </w:pPr>
    <w:rPr>
      <w:rFonts w:ascii="Times" w:hAnsi="Times" w:cs="Times New Roman"/>
      <w:kern w:val="0"/>
      <w:sz w:val="24"/>
      <w:szCs w:val="20"/>
      <w:lang w:eastAsia="en-US"/>
    </w:rPr>
  </w:style>
  <w:style w:type="paragraph" w:customStyle="1" w:styleId="TFReferencesSection">
    <w:name w:val="TF_References_Section"/>
    <w:basedOn w:val="a"/>
    <w:qFormat/>
    <w:pPr>
      <w:widowControl/>
      <w:spacing w:after="200" w:line="480" w:lineRule="auto"/>
      <w:ind w:firstLine="187"/>
    </w:pPr>
    <w:rPr>
      <w:rFonts w:ascii="Times" w:hAnsi="Times" w:cs="Times New Roman"/>
      <w:kern w:val="0"/>
      <w:sz w:val="24"/>
      <w:szCs w:val="20"/>
      <w:lang w:eastAsia="en-US"/>
    </w:rPr>
  </w:style>
  <w:style w:type="character" w:styleId="ad">
    <w:name w:val="page number"/>
    <w:basedOn w:val="a0"/>
    <w:qFormat/>
  </w:style>
  <w:style w:type="character" w:styleId="ae">
    <w:name w:val="FollowedHyperlink"/>
    <w:qFormat/>
    <w:rPr>
      <w:color w:val="800080"/>
      <w:u w:val="single"/>
    </w:rPr>
  </w:style>
  <w:style w:type="character" w:styleId="af">
    <w:name w:val="Hyperlink"/>
    <w:qFormat/>
    <w:rPr>
      <w:color w:val="0000FF"/>
      <w:u w:val="single"/>
    </w:rPr>
  </w:style>
  <w:style w:type="paragraph" w:customStyle="1" w:styleId="AFTitleRunningHead">
    <w:name w:val="AF_Title_Running_Head"/>
    <w:basedOn w:val="a"/>
    <w:next w:val="a"/>
    <w:qFormat/>
    <w:pPr>
      <w:widowControl/>
      <w:spacing w:after="200" w:line="480" w:lineRule="auto"/>
    </w:pPr>
    <w:rPr>
      <w:rFonts w:ascii="Times" w:hAnsi="Times" w:cs="Times New Roman"/>
      <w:kern w:val="0"/>
      <w:sz w:val="24"/>
      <w:szCs w:val="20"/>
      <w:lang w:eastAsia="en-US"/>
    </w:rPr>
  </w:style>
  <w:style w:type="paragraph" w:customStyle="1" w:styleId="AIReceivedDate">
    <w:name w:val="AI_Received_Date"/>
    <w:basedOn w:val="a"/>
    <w:next w:val="a"/>
    <w:qFormat/>
    <w:pPr>
      <w:widowControl/>
      <w:spacing w:after="240" w:line="480" w:lineRule="auto"/>
    </w:pPr>
    <w:rPr>
      <w:rFonts w:ascii="Times" w:hAnsi="Times" w:cs="Times New Roman"/>
      <w:b/>
      <w:kern w:val="0"/>
      <w:sz w:val="24"/>
      <w:szCs w:val="20"/>
      <w:lang w:eastAsia="en-US"/>
    </w:rPr>
  </w:style>
  <w:style w:type="paragraph" w:customStyle="1" w:styleId="BATitle">
    <w:name w:val="BA_Title"/>
    <w:basedOn w:val="a"/>
    <w:next w:val="a"/>
    <w:qFormat/>
    <w:pPr>
      <w:widowControl/>
      <w:spacing w:before="720" w:after="360" w:line="480" w:lineRule="auto"/>
      <w:jc w:val="center"/>
    </w:pPr>
    <w:rPr>
      <w:rFonts w:ascii="Times New Roman" w:hAnsi="Times New Roman" w:cs="Times New Roman"/>
      <w:kern w:val="0"/>
      <w:sz w:val="44"/>
      <w:szCs w:val="20"/>
      <w:lang w:eastAsia="en-US"/>
    </w:rPr>
  </w:style>
  <w:style w:type="paragraph" w:customStyle="1" w:styleId="BBAuthorName">
    <w:name w:val="BB_Author_Name"/>
    <w:basedOn w:val="a"/>
    <w:next w:val="a"/>
    <w:qFormat/>
    <w:pPr>
      <w:widowControl/>
      <w:spacing w:after="240" w:line="480" w:lineRule="auto"/>
      <w:jc w:val="center"/>
    </w:pPr>
    <w:rPr>
      <w:rFonts w:ascii="Times" w:hAnsi="Times" w:cs="Times New Roman"/>
      <w:i/>
      <w:kern w:val="0"/>
      <w:sz w:val="24"/>
      <w:szCs w:val="20"/>
      <w:lang w:eastAsia="en-US"/>
    </w:rPr>
  </w:style>
  <w:style w:type="paragraph" w:customStyle="1" w:styleId="BCAuthorAddress">
    <w:name w:val="BC_Author_Address"/>
    <w:basedOn w:val="a"/>
    <w:next w:val="a"/>
    <w:qFormat/>
    <w:pPr>
      <w:widowControl/>
      <w:spacing w:after="240" w:line="480" w:lineRule="auto"/>
      <w:jc w:val="center"/>
    </w:pPr>
    <w:rPr>
      <w:rFonts w:ascii="Times" w:hAnsi="Times" w:cs="Times New Roman"/>
      <w:kern w:val="0"/>
      <w:sz w:val="24"/>
      <w:szCs w:val="20"/>
      <w:lang w:eastAsia="en-US"/>
    </w:rPr>
  </w:style>
  <w:style w:type="paragraph" w:customStyle="1" w:styleId="BDAbstract">
    <w:name w:val="BD_Abstract"/>
    <w:basedOn w:val="a"/>
    <w:next w:val="a"/>
    <w:qFormat/>
    <w:pPr>
      <w:widowControl/>
      <w:spacing w:before="360" w:after="360" w:line="480" w:lineRule="auto"/>
    </w:pPr>
    <w:rPr>
      <w:rFonts w:ascii="Times" w:hAnsi="Times" w:cs="Times New Roman"/>
      <w:kern w:val="0"/>
      <w:sz w:val="24"/>
      <w:szCs w:val="20"/>
      <w:lang w:eastAsia="en-US"/>
    </w:rPr>
  </w:style>
  <w:style w:type="paragraph" w:customStyle="1" w:styleId="BEAuthorBiography">
    <w:name w:val="BE_Author_Biography"/>
    <w:basedOn w:val="a"/>
    <w:qFormat/>
    <w:pPr>
      <w:widowControl/>
      <w:spacing w:after="200" w:line="480" w:lineRule="auto"/>
    </w:pPr>
    <w:rPr>
      <w:rFonts w:ascii="Times" w:hAnsi="Times" w:cs="Times New Roman"/>
      <w:kern w:val="0"/>
      <w:sz w:val="24"/>
      <w:szCs w:val="20"/>
      <w:lang w:eastAsia="en-US"/>
    </w:rPr>
  </w:style>
  <w:style w:type="paragraph" w:customStyle="1" w:styleId="BGKeywords">
    <w:name w:val="BG_Keywords"/>
    <w:basedOn w:val="a"/>
    <w:qFormat/>
    <w:pPr>
      <w:widowControl/>
      <w:spacing w:after="200" w:line="480" w:lineRule="auto"/>
    </w:pPr>
    <w:rPr>
      <w:rFonts w:ascii="Times" w:hAnsi="Times" w:cs="Times New Roman"/>
      <w:kern w:val="0"/>
      <w:sz w:val="24"/>
      <w:szCs w:val="20"/>
      <w:lang w:eastAsia="en-US"/>
    </w:rPr>
  </w:style>
  <w:style w:type="paragraph" w:customStyle="1" w:styleId="BHBriefs">
    <w:name w:val="BH_Briefs"/>
    <w:basedOn w:val="a"/>
    <w:qFormat/>
    <w:pPr>
      <w:widowControl/>
      <w:spacing w:after="200" w:line="480" w:lineRule="auto"/>
    </w:pPr>
    <w:rPr>
      <w:rFonts w:ascii="Times" w:hAnsi="Times" w:cs="Times New Roman"/>
      <w:kern w:val="0"/>
      <w:sz w:val="24"/>
      <w:szCs w:val="20"/>
      <w:lang w:eastAsia="en-US"/>
    </w:rPr>
  </w:style>
  <w:style w:type="paragraph" w:customStyle="1" w:styleId="BIEmailAddress">
    <w:name w:val="BI_Email_Address"/>
    <w:basedOn w:val="a"/>
    <w:next w:val="AIReceivedDate"/>
    <w:qFormat/>
    <w:pPr>
      <w:widowControl/>
      <w:spacing w:after="200" w:line="480" w:lineRule="auto"/>
    </w:pPr>
    <w:rPr>
      <w:rFonts w:ascii="Times" w:hAnsi="Times" w:cs="Times New Roman"/>
      <w:kern w:val="0"/>
      <w:sz w:val="24"/>
      <w:szCs w:val="20"/>
      <w:lang w:eastAsia="en-US"/>
    </w:rPr>
  </w:style>
  <w:style w:type="paragraph" w:customStyle="1" w:styleId="Default">
    <w:name w:val="Default"/>
    <w:qFormat/>
    <w:pPr>
      <w:autoSpaceDE w:val="0"/>
      <w:autoSpaceDN w:val="0"/>
      <w:adjustRightInd w:val="0"/>
    </w:pPr>
    <w:rPr>
      <w:rFonts w:ascii="Symbol" w:eastAsiaTheme="minorEastAsia" w:hAnsi="Symbol" w:cs="Symbol"/>
      <w:color w:val="000000"/>
      <w:sz w:val="24"/>
      <w:szCs w:val="24"/>
      <w:lang w:eastAsia="en-US"/>
    </w:rPr>
  </w:style>
  <w:style w:type="paragraph" w:customStyle="1" w:styleId="FAAuthorInfoSubtitle">
    <w:name w:val="FA_Author_Info_Subtitle"/>
    <w:basedOn w:val="a"/>
    <w:link w:val="FAAuthorInfoSubtitleChar"/>
    <w:autoRedefine/>
    <w:qFormat/>
    <w:pPr>
      <w:widowControl/>
      <w:spacing w:before="120" w:after="60" w:line="480" w:lineRule="auto"/>
      <w:jc w:val="left"/>
    </w:pPr>
    <w:rPr>
      <w:rFonts w:ascii="Times" w:hAnsi="Times" w:cs="Times New Roman"/>
      <w:b/>
      <w:kern w:val="0"/>
      <w:sz w:val="24"/>
      <w:szCs w:val="20"/>
      <w:lang w:eastAsia="en-US"/>
    </w:rPr>
  </w:style>
  <w:style w:type="character" w:customStyle="1" w:styleId="FAAuthorInfoSubtitleChar">
    <w:name w:val="FA_Author_Info_Subtitle Char"/>
    <w:link w:val="FAAuthorInfoSubtitle"/>
    <w:rPr>
      <w:rFonts w:ascii="Times" w:eastAsiaTheme="minorEastAsia" w:hAnsi="Times"/>
      <w:b/>
      <w:sz w:val="24"/>
      <w:lang w:eastAsia="en-US"/>
    </w:rPr>
  </w:style>
  <w:style w:type="paragraph" w:customStyle="1" w:styleId="FACorrespondingAuthorFootnote">
    <w:name w:val="FA_Corresponding_Author_Footnote"/>
    <w:basedOn w:val="a"/>
    <w:next w:val="a"/>
    <w:pPr>
      <w:widowControl/>
      <w:spacing w:after="200" w:line="480" w:lineRule="auto"/>
    </w:pPr>
    <w:rPr>
      <w:rFonts w:ascii="Times" w:hAnsi="Times" w:cs="Times New Roman"/>
      <w:kern w:val="0"/>
      <w:sz w:val="24"/>
      <w:szCs w:val="20"/>
      <w:lang w:eastAsia="en-US"/>
    </w:rPr>
  </w:style>
  <w:style w:type="paragraph" w:customStyle="1" w:styleId="FCChartFootnote">
    <w:name w:val="FC_Chart_Footnote"/>
    <w:basedOn w:val="a"/>
    <w:next w:val="a"/>
    <w:pPr>
      <w:widowControl/>
      <w:spacing w:after="200"/>
      <w:ind w:firstLine="187"/>
    </w:pPr>
    <w:rPr>
      <w:rFonts w:ascii="Times" w:hAnsi="Times" w:cs="Times New Roman"/>
      <w:kern w:val="0"/>
      <w:sz w:val="24"/>
      <w:szCs w:val="20"/>
      <w:lang w:eastAsia="en-US"/>
    </w:rPr>
  </w:style>
  <w:style w:type="paragraph" w:customStyle="1" w:styleId="FDSchemeFootnote">
    <w:name w:val="FD_Scheme_Footnote"/>
    <w:basedOn w:val="a"/>
    <w:next w:val="a"/>
    <w:pPr>
      <w:widowControl/>
      <w:spacing w:after="200"/>
      <w:ind w:firstLine="187"/>
    </w:pPr>
    <w:rPr>
      <w:rFonts w:ascii="Times" w:hAnsi="Times" w:cs="Times New Roman"/>
      <w:kern w:val="0"/>
      <w:sz w:val="24"/>
      <w:szCs w:val="20"/>
      <w:lang w:eastAsia="en-US"/>
    </w:rPr>
  </w:style>
  <w:style w:type="paragraph" w:customStyle="1" w:styleId="FETableFootnote">
    <w:name w:val="FE_Table_Footnote"/>
    <w:basedOn w:val="a"/>
    <w:next w:val="a"/>
    <w:pPr>
      <w:widowControl/>
      <w:spacing w:after="200"/>
      <w:ind w:firstLine="187"/>
    </w:pPr>
    <w:rPr>
      <w:rFonts w:ascii="Times" w:hAnsi="Times" w:cs="Times New Roman"/>
      <w:kern w:val="0"/>
      <w:sz w:val="24"/>
      <w:szCs w:val="20"/>
      <w:lang w:eastAsia="en-US"/>
    </w:rPr>
  </w:style>
  <w:style w:type="paragraph" w:customStyle="1" w:styleId="SNSynopsisTOC">
    <w:name w:val="SN_Synopsis_TOC"/>
    <w:basedOn w:val="a"/>
    <w:pPr>
      <w:widowControl/>
      <w:spacing w:after="200" w:line="480" w:lineRule="auto"/>
    </w:pPr>
    <w:rPr>
      <w:rFonts w:ascii="Times" w:hAnsi="Times" w:cs="Times New Roman"/>
      <w:kern w:val="0"/>
      <w:sz w:val="24"/>
      <w:szCs w:val="20"/>
      <w:lang w:eastAsia="en-US"/>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paragraph" w:customStyle="1" w:styleId="StyleFACorrespondingAuthorFootnote7pt">
    <w:name w:val="Style FA_Corresponding_Author_Footnote + 7 pt"/>
    <w:basedOn w:val="a"/>
    <w:next w:val="BGKeywords"/>
    <w:link w:val="StyleFACorrespondingAuthorFootnote7ptChar"/>
    <w:autoRedefine/>
    <w:pPr>
      <w:widowControl/>
      <w:jc w:val="left"/>
    </w:pPr>
    <w:rPr>
      <w:rFonts w:ascii="Arno Pro" w:hAnsi="Arno Pro" w:cs="Times New Roman"/>
      <w:kern w:val="20"/>
      <w:sz w:val="18"/>
      <w:szCs w:val="20"/>
      <w:lang w:eastAsia="en-US"/>
    </w:rPr>
  </w:style>
  <w:style w:type="character" w:customStyle="1" w:styleId="StyleFACorrespondingAuthorFootnote7ptChar">
    <w:name w:val="Style FA_Corresponding_Author_Footnote + 7 pt Char"/>
    <w:link w:val="StyleFACorrespondingAuthorFootnote7pt"/>
    <w:rPr>
      <w:rFonts w:ascii="Arno Pro" w:eastAsiaTheme="minorEastAsia" w:hAnsi="Arno Pro"/>
      <w:kern w:val="20"/>
      <w:sz w:val="18"/>
      <w:lang w:eastAsia="en-US"/>
    </w:rPr>
  </w:style>
  <w:style w:type="paragraph" w:customStyle="1" w:styleId="TAMainText">
    <w:name w:val="TA_Main_Text"/>
    <w:basedOn w:val="a"/>
    <w:pPr>
      <w:widowControl/>
      <w:spacing w:line="480" w:lineRule="auto"/>
      <w:ind w:firstLine="202"/>
    </w:pPr>
    <w:rPr>
      <w:rFonts w:ascii="Times" w:hAnsi="Times" w:cs="Times New Roman"/>
      <w:kern w:val="0"/>
      <w:sz w:val="24"/>
      <w:szCs w:val="20"/>
      <w:lang w:eastAsia="en-US"/>
    </w:rPr>
  </w:style>
  <w:style w:type="paragraph" w:customStyle="1" w:styleId="TCTableBody">
    <w:name w:val="TC_Table_Body"/>
    <w:basedOn w:val="a"/>
    <w:pPr>
      <w:widowControl/>
      <w:spacing w:after="200"/>
    </w:pPr>
    <w:rPr>
      <w:rFonts w:ascii="Times" w:hAnsi="Times" w:cs="Times New Roman"/>
      <w:kern w:val="0"/>
      <w:sz w:val="24"/>
      <w:szCs w:val="20"/>
      <w:lang w:eastAsia="en-US"/>
    </w:rPr>
  </w:style>
  <w:style w:type="paragraph" w:customStyle="1" w:styleId="TDAcknowledgments">
    <w:name w:val="TD_Acknowledgments"/>
    <w:basedOn w:val="a"/>
    <w:next w:val="a"/>
    <w:pPr>
      <w:widowControl/>
      <w:spacing w:before="200" w:after="200" w:line="480" w:lineRule="auto"/>
      <w:ind w:firstLine="202"/>
    </w:pPr>
    <w:rPr>
      <w:rFonts w:ascii="Times" w:hAnsi="Times" w:cs="Times New Roman"/>
      <w:kern w:val="0"/>
      <w:sz w:val="24"/>
      <w:szCs w:val="20"/>
      <w:lang w:eastAsia="en-US"/>
    </w:rPr>
  </w:style>
  <w:style w:type="paragraph" w:customStyle="1" w:styleId="TESupportingInformation">
    <w:name w:val="TE_Supporting_Information"/>
    <w:basedOn w:val="a"/>
    <w:next w:val="a"/>
    <w:pPr>
      <w:widowControl/>
      <w:spacing w:after="200" w:line="480" w:lineRule="auto"/>
      <w:ind w:firstLine="187"/>
    </w:pPr>
    <w:rPr>
      <w:rFonts w:ascii="Times" w:hAnsi="Times" w:cs="Times New Roman"/>
      <w:kern w:val="0"/>
      <w:sz w:val="24"/>
      <w:szCs w:val="20"/>
      <w:lang w:eastAsia="en-US"/>
    </w:rPr>
  </w:style>
  <w:style w:type="paragraph" w:customStyle="1" w:styleId="VAFigureCaption">
    <w:name w:val="VA_Figure_Caption"/>
    <w:basedOn w:val="a"/>
    <w:next w:val="a"/>
    <w:pPr>
      <w:widowControl/>
      <w:spacing w:after="200" w:line="480" w:lineRule="auto"/>
    </w:pPr>
    <w:rPr>
      <w:rFonts w:ascii="Times" w:hAnsi="Times" w:cs="Times New Roman"/>
      <w:kern w:val="0"/>
      <w:sz w:val="24"/>
      <w:szCs w:val="20"/>
      <w:lang w:eastAsia="en-US"/>
    </w:rPr>
  </w:style>
  <w:style w:type="paragraph" w:customStyle="1" w:styleId="VBChartTitle">
    <w:name w:val="VB_Chart_Title"/>
    <w:basedOn w:val="a"/>
    <w:next w:val="a"/>
    <w:qFormat/>
    <w:pPr>
      <w:widowControl/>
      <w:spacing w:after="200" w:line="480" w:lineRule="auto"/>
    </w:pPr>
    <w:rPr>
      <w:rFonts w:ascii="Times" w:hAnsi="Times" w:cs="Times New Roman"/>
      <w:kern w:val="0"/>
      <w:sz w:val="24"/>
      <w:szCs w:val="20"/>
      <w:lang w:eastAsia="en-US"/>
    </w:rPr>
  </w:style>
  <w:style w:type="character" w:customStyle="1" w:styleId="30">
    <w:name w:val="标题 3 字符"/>
    <w:basedOn w:val="a0"/>
    <w:link w:val="3"/>
    <w:uiPriority w:val="9"/>
    <w:rPr>
      <w:b/>
      <w:bCs/>
      <w:sz w:val="32"/>
      <w:szCs w:val="32"/>
    </w:rPr>
  </w:style>
  <w:style w:type="paragraph" w:customStyle="1" w:styleId="11">
    <w:name w:val="修订1"/>
    <w:hidden/>
    <w:uiPriority w:val="99"/>
    <w:semiHidden/>
    <w:rPr>
      <w:rFonts w:asciiTheme="minorHAnsi" w:eastAsiaTheme="minorEastAsia" w:hAnsiTheme="minorHAnsi" w:cstheme="minorBidi"/>
      <w:kern w:val="2"/>
      <w:sz w:val="21"/>
      <w:szCs w:val="22"/>
    </w:rPr>
  </w:style>
  <w:style w:type="paragraph" w:customStyle="1" w:styleId="VCSchemeTitle">
    <w:name w:val="VC_Scheme_Title"/>
    <w:basedOn w:val="a"/>
    <w:next w:val="a"/>
    <w:pPr>
      <w:widowControl/>
      <w:spacing w:after="200" w:line="480" w:lineRule="auto"/>
    </w:pPr>
    <w:rPr>
      <w:rFonts w:ascii="Times" w:hAnsi="Times" w:cs="Times New Roman"/>
      <w:kern w:val="0"/>
      <w:sz w:val="24"/>
      <w:szCs w:val="20"/>
      <w:lang w:eastAsia="en-US"/>
    </w:rPr>
  </w:style>
  <w:style w:type="paragraph" w:customStyle="1" w:styleId="VDTableTitle">
    <w:name w:val="VD_Table_Title"/>
    <w:basedOn w:val="a"/>
    <w:next w:val="a"/>
    <w:pPr>
      <w:widowControl/>
      <w:spacing w:after="200" w:line="480" w:lineRule="auto"/>
    </w:pPr>
    <w:rPr>
      <w:rFonts w:ascii="Times" w:hAnsi="Times" w:cs="Times New Roman"/>
      <w:kern w:val="0"/>
      <w:sz w:val="24"/>
      <w:szCs w:val="20"/>
      <w:lang w:eastAsia="en-US"/>
    </w:rPr>
  </w:style>
  <w:style w:type="character" w:customStyle="1" w:styleId="ac">
    <w:name w:val="脚注文本 字符"/>
    <w:basedOn w:val="a0"/>
    <w:link w:val="ab"/>
    <w:semiHidden/>
    <w:rPr>
      <w:rFonts w:ascii="Times" w:eastAsiaTheme="minorEastAsia" w:hAnsi="Times"/>
      <w:sz w:val="24"/>
      <w:lang w:eastAsia="en-US"/>
    </w:rPr>
  </w:style>
  <w:style w:type="character" w:customStyle="1" w:styleId="a6">
    <w:name w:val="批注框文本 字符"/>
    <w:basedOn w:val="a0"/>
    <w:link w:val="a5"/>
    <w:semiHidden/>
    <w:rPr>
      <w:rFonts w:ascii="Tahoma" w:eastAsiaTheme="minorEastAsia" w:hAnsi="Tahoma" w:cs="Tahoma"/>
      <w:sz w:val="16"/>
      <w:szCs w:val="16"/>
      <w:lang w:eastAsia="en-US"/>
    </w:rPr>
  </w:style>
  <w:style w:type="character" w:customStyle="1" w:styleId="a8">
    <w:name w:val="页脚 字符"/>
    <w:basedOn w:val="a0"/>
    <w:link w:val="a7"/>
    <w:rPr>
      <w:rFonts w:ascii="Times" w:eastAsiaTheme="minorEastAsia" w:hAnsi="Times"/>
      <w:sz w:val="24"/>
      <w:lang w:eastAsia="en-US"/>
    </w:rPr>
  </w:style>
  <w:style w:type="character" w:customStyle="1" w:styleId="aa">
    <w:name w:val="页眉 字符"/>
    <w:basedOn w:val="a0"/>
    <w:link w:val="a9"/>
    <w:rPr>
      <w:rFonts w:ascii="Times" w:eastAsiaTheme="minorEastAsia" w:hAnsi="Times"/>
      <w:sz w:val="18"/>
      <w:szCs w:val="18"/>
      <w:lang w:eastAsia="en-US"/>
    </w:rPr>
  </w:style>
  <w:style w:type="character" w:customStyle="1" w:styleId="a4">
    <w:name w:val="正文文本 字符"/>
    <w:basedOn w:val="a0"/>
    <w:link w:val="a3"/>
    <w:rPr>
      <w:rFonts w:ascii="Times" w:eastAsiaTheme="minorEastAsia" w:hAnsi="Times"/>
      <w:b/>
      <w:sz w:val="4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10.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14.bin"/><Relationship Id="rId42" Type="http://schemas.openxmlformats.org/officeDocument/2006/relationships/image" Target="media/image18.tiff"/><Relationship Id="rId47" Type="http://schemas.openxmlformats.org/officeDocument/2006/relationships/image" Target="media/image23.tiff"/><Relationship Id="rId50" Type="http://schemas.openxmlformats.org/officeDocument/2006/relationships/footer" Target="footer1.xml"/><Relationship Id="rId7" Type="http://schemas.openxmlformats.org/officeDocument/2006/relationships/hyperlink" Target="mailto:yf_yu@njust.edu.cn" TargetMode="External"/><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image" Target="media/image11.wmf"/><Relationship Id="rId11" Type="http://schemas.openxmlformats.org/officeDocument/2006/relationships/oleObject" Target="embeddings/oleObject2.bin"/><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image" Target="media/image21.tiff"/><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8.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5.tiff"/><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2.wmf"/><Relationship Id="rId44" Type="http://schemas.openxmlformats.org/officeDocument/2006/relationships/image" Target="media/image20.tif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8.bin"/><Relationship Id="rId27" Type="http://schemas.openxmlformats.org/officeDocument/2006/relationships/image" Target="media/image10.wmf"/><Relationship Id="rId30" Type="http://schemas.openxmlformats.org/officeDocument/2006/relationships/oleObject" Target="embeddings/oleObject12.bin"/><Relationship Id="rId35" Type="http://schemas.openxmlformats.org/officeDocument/2006/relationships/image" Target="media/image14.wmf"/><Relationship Id="rId43" Type="http://schemas.openxmlformats.org/officeDocument/2006/relationships/image" Target="media/image19.tiff"/><Relationship Id="rId48" Type="http://schemas.openxmlformats.org/officeDocument/2006/relationships/image" Target="media/image24.tiff"/><Relationship Id="rId8" Type="http://schemas.openxmlformats.org/officeDocument/2006/relationships/image" Target="media/image1.wmf"/><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image" Target="media/image22.tiff"/><Relationship Id="rId20" Type="http://schemas.openxmlformats.org/officeDocument/2006/relationships/oleObject" Target="embeddings/oleObject7.bin"/><Relationship Id="rId41" Type="http://schemas.openxmlformats.org/officeDocument/2006/relationships/image" Target="media/image17.tiff"/><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2C062-EFFD-4752-B4B7-0AF97C38A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3142</Words>
  <Characters>17789</Characters>
  <Application>Microsoft Office Word</Application>
  <DocSecurity>0</DocSecurity>
  <Lines>342</Lines>
  <Paragraphs>135</Paragraphs>
  <ScaleCrop>false</ScaleCrop>
  <Company/>
  <LinksUpToDate>false</LinksUpToDate>
  <CharactersWithSpaces>20796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肖 大力</dc:creator>
  <cp:lastModifiedBy>Thorin Albus</cp:lastModifiedBy>
  <cp:revision>2</cp:revision>
  <cp:lastPrinted>2026-01-26T02:44:00Z</cp:lastPrinted>
  <dcterms:created xsi:type="dcterms:W3CDTF">2026-07-09T06:48:00Z</dcterms:created>
  <dcterms:modified xsi:type="dcterms:W3CDTF">2026-07-09T06:48:00Z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79ac4d75f8e4a763d5acdcb939719ae7e32a48ef86a1c7253077c51b9326eb74</vt:lpwstr>
  </property>
  <property fmtid="{D5CDD505-2E9C-101B-9397-08002B2CF9AE}" pid="3" name="KSOTemplateDocerSaveRecord">
    <vt:lpwstr>eyJoZGlkIjoiMTQ0NzJjZmZmZWU5YTk1ZDcwMGExYmVjNDcwODY4MzYiLCJ1c2VySWQiOiI0NTQ1NTA0NzkifQ==</vt:lpwstr>
  </property>
  <property fmtid="{D5CDD505-2E9C-101B-9397-08002B2CF9AE}" pid="4" name="KSOProductBuildVer">
    <vt:lpwstr>2052-12.1.0.23542</vt:lpwstr>
  </property>
  <property fmtid="{D5CDD505-2E9C-101B-9397-08002B2CF9AE}" pid="5" name="ICV">
    <vt:lpwstr>B5081C1367AC4FC88586F24783062294_13</vt:lpwstr>
  </property>
  <property fmtid="{D5CDD505-2E9C-101B-9397-08002B2CF9AE}" pid="6" name="MTWinEqns">
    <vt:bool>true</vt:bool>
  </property>
</Properties>
</file>