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 w:line="240" w:lineRule="auto"/>
      </w:pPr>
      <w:r>
        <w:rPr>
          <w:rFonts w:ascii="Times New Roman" w:hAnsi="Times New Roman"/>
          <w:b/>
          <w:i w:val="0"/>
          <w:sz w:val="21"/>
        </w:rPr>
        <w:t>Supplementary Table 5. MIMIC maternal-record fetal and delivery outcome proxies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8" w:space="0" w:color="000000"/>
          <w:bottom w:val="single" w:sz="8" w:space="0" w:color="000000"/>
          <w:insideH w:val="nil" w:sz="0" w:space="0" w:color="FFFFFF"/>
          <w:insideV w:val="nil" w:sz="0" w:space="0" w:color="FFFFFF"/>
          <w:left w:val="nil" w:sz="0" w:space="0" w:color="FFFFFF"/>
          <w:right w:val="nil" w:sz="0" w:space="0" w:color="FFFFFF"/>
        </w:tblBorders>
      </w:tblPr>
      <w:tblGrid>
        <w:gridCol w:w="2078"/>
        <w:gridCol w:w="2078"/>
        <w:gridCol w:w="2078"/>
        <w:gridCol w:w="2078"/>
        <w:gridCol w:w="2078"/>
        <w:gridCol w:w="2078"/>
        <w:gridCol w:w="2078"/>
      </w:tblGrid>
      <w:tr>
        <w:trPr>
          <w:cantSplit/>
          <w:tblHeader w:val="true"/>
        </w:trPr>
        <w:tc>
          <w:tcPr>
            <w:tcW w:type="dxa" w:w="48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Proxy outcome</w:t>
            </w:r>
          </w:p>
        </w:tc>
        <w:tc>
          <w:tcPr>
            <w:tcW w:type="dxa" w:w="72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N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No Scr-AKI, n (%)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Scr-AKI, n (%)</w:t>
            </w:r>
          </w:p>
        </w:tc>
        <w:tc>
          <w:tcPr>
            <w:tcW w:type="dxa" w:w="151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Risk difference</w:t>
            </w:r>
          </w:p>
        </w:tc>
        <w:tc>
          <w:tcPr>
            <w:tcW w:type="dxa" w:w="194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Fisher OR (95% CI)</w:t>
            </w:r>
          </w:p>
        </w:tc>
        <w:tc>
          <w:tcPr>
            <w:tcW w:type="dxa" w:w="86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P value</w:t>
            </w:r>
          </w:p>
        </w:tc>
      </w:tr>
      <w:tr>
        <w:trPr>
          <w:cantSplit/>
        </w:trPr>
        <w:tc>
          <w:tcPr>
            <w:tcW w:type="dxa" w:w="48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Any delivery outcome code (V27/Z37)</w:t>
            </w:r>
          </w:p>
        </w:tc>
        <w:tc>
          <w:tcPr>
            <w:tcW w:type="dxa" w:w="72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387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148 (45.8%)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39 (60.9%)</w:t>
            </w:r>
          </w:p>
        </w:tc>
        <w:tc>
          <w:tcPr>
            <w:tcW w:type="dxa" w:w="151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15.1 pp</w:t>
            </w:r>
          </w:p>
        </w:tc>
        <w:tc>
          <w:tcPr>
            <w:tcW w:type="dxa" w:w="194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1.84 (1.03-3.33)</w:t>
            </w:r>
          </w:p>
        </w:tc>
        <w:tc>
          <w:tcPr>
            <w:tcW w:type="dxa" w:w="86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0.029</w:t>
            </w:r>
          </w:p>
        </w:tc>
      </w:tr>
      <w:tr>
        <w:trPr>
          <w:cantSplit/>
        </w:trPr>
        <w:tc>
          <w:tcPr>
            <w:tcW w:type="dxa" w:w="48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Any livebirth delivery outcome code</w:t>
            </w:r>
          </w:p>
        </w:tc>
        <w:tc>
          <w:tcPr>
            <w:tcW w:type="dxa" w:w="72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387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142 (44.0%)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39 (60.9%)</w:t>
            </w:r>
          </w:p>
        </w:tc>
        <w:tc>
          <w:tcPr>
            <w:tcW w:type="dxa" w:w="151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17.0 pp</w:t>
            </w:r>
          </w:p>
        </w:tc>
        <w:tc>
          <w:tcPr>
            <w:tcW w:type="dxa" w:w="194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1.98 (1.11-3.60)</w:t>
            </w:r>
          </w:p>
        </w:tc>
        <w:tc>
          <w:tcPr>
            <w:tcW w:type="dxa" w:w="86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0.014</w:t>
            </w:r>
          </w:p>
        </w:tc>
      </w:tr>
      <w:tr>
        <w:trPr>
          <w:cantSplit/>
        </w:trPr>
        <w:tc>
          <w:tcPr>
            <w:tcW w:type="dxa" w:w="48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Any stillbirth delivery outcome code</w:t>
            </w:r>
          </w:p>
        </w:tc>
        <w:tc>
          <w:tcPr>
            <w:tcW w:type="dxa" w:w="72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387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6 (1.9%)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 (0.0%)</w:t>
            </w:r>
          </w:p>
        </w:tc>
        <w:tc>
          <w:tcPr>
            <w:tcW w:type="dxa" w:w="151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-1.9 pp</w:t>
            </w:r>
          </w:p>
        </w:tc>
        <w:tc>
          <w:tcPr>
            <w:tcW w:type="dxa" w:w="194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NE</w:t>
            </w:r>
          </w:p>
        </w:tc>
        <w:tc>
          <w:tcPr>
            <w:tcW w:type="dxa" w:w="86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0.595</w:t>
            </w:r>
          </w:p>
        </w:tc>
      </w:tr>
      <w:tr>
        <w:trPr>
          <w:cantSplit/>
        </w:trPr>
        <w:tc>
          <w:tcPr>
            <w:tcW w:type="dxa" w:w="48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Maternal IUFD/fetal death code</w:t>
            </w:r>
          </w:p>
        </w:tc>
        <w:tc>
          <w:tcPr>
            <w:tcW w:type="dxa" w:w="72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387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 (1.5%)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 (1.6%)</w:t>
            </w:r>
          </w:p>
        </w:tc>
        <w:tc>
          <w:tcPr>
            <w:tcW w:type="dxa" w:w="151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0.0 pp</w:t>
            </w:r>
          </w:p>
        </w:tc>
        <w:tc>
          <w:tcPr>
            <w:tcW w:type="dxa" w:w="194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NE</w:t>
            </w:r>
          </w:p>
        </w:tc>
        <w:tc>
          <w:tcPr>
            <w:tcW w:type="dxa" w:w="86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1.000</w:t>
            </w:r>
          </w:p>
        </w:tc>
      </w:tr>
      <w:tr>
        <w:trPr>
          <w:cantSplit/>
        </w:trPr>
        <w:tc>
          <w:tcPr>
            <w:tcW w:type="dxa" w:w="48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Any stillbirth or IUFD proxy</w:t>
            </w:r>
          </w:p>
        </w:tc>
        <w:tc>
          <w:tcPr>
            <w:tcW w:type="dxa" w:w="72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387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6 (1.9%)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 (1.6%)</w:t>
            </w:r>
          </w:p>
        </w:tc>
        <w:tc>
          <w:tcPr>
            <w:tcW w:type="dxa" w:w="151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-0.3 pp</w:t>
            </w:r>
          </w:p>
        </w:tc>
        <w:tc>
          <w:tcPr>
            <w:tcW w:type="dxa" w:w="194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NE</w:t>
            </w:r>
          </w:p>
        </w:tc>
        <w:tc>
          <w:tcPr>
            <w:tcW w:type="dxa" w:w="86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1.000</w:t>
            </w:r>
          </w:p>
        </w:tc>
      </w:tr>
      <w:tr>
        <w:trPr>
          <w:cantSplit/>
        </w:trPr>
        <w:tc>
          <w:tcPr>
            <w:tcW w:type="dxa" w:w="48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Preterm labor/delivery proxy</w:t>
            </w:r>
          </w:p>
        </w:tc>
        <w:tc>
          <w:tcPr>
            <w:tcW w:type="dxa" w:w="72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387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28 (8.7%)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 (7.8%)</w:t>
            </w:r>
          </w:p>
        </w:tc>
        <w:tc>
          <w:tcPr>
            <w:tcW w:type="dxa" w:w="151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-0.9 pp</w:t>
            </w:r>
          </w:p>
        </w:tc>
        <w:tc>
          <w:tcPr>
            <w:tcW w:type="dxa" w:w="194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0.89 (0.26-2.48)</w:t>
            </w:r>
          </w:p>
        </w:tc>
        <w:tc>
          <w:tcPr>
            <w:tcW w:type="dxa" w:w="86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1.000</w:t>
            </w:r>
          </w:p>
        </w:tc>
      </w:tr>
      <w:tr>
        <w:trPr>
          <w:cantSplit/>
        </w:trPr>
        <w:tc>
          <w:tcPr>
            <w:tcW w:type="dxa" w:w="48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Fetal distress proxy</w:t>
            </w:r>
          </w:p>
        </w:tc>
        <w:tc>
          <w:tcPr>
            <w:tcW w:type="dxa" w:w="72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387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 (0.3%)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 (1.6%)</w:t>
            </w:r>
          </w:p>
        </w:tc>
        <w:tc>
          <w:tcPr>
            <w:tcW w:type="dxa" w:w="151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1.3 pp</w:t>
            </w:r>
          </w:p>
        </w:tc>
        <w:tc>
          <w:tcPr>
            <w:tcW w:type="dxa" w:w="194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NE</w:t>
            </w:r>
          </w:p>
        </w:tc>
        <w:tc>
          <w:tcPr>
            <w:tcW w:type="dxa" w:w="86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0.304</w:t>
            </w:r>
          </w:p>
        </w:tc>
      </w:tr>
      <w:tr>
        <w:trPr>
          <w:cantSplit/>
        </w:trPr>
        <w:tc>
          <w:tcPr>
            <w:tcW w:type="dxa" w:w="48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Fetal growth restriction proxy</w:t>
            </w:r>
          </w:p>
        </w:tc>
        <w:tc>
          <w:tcPr>
            <w:tcW w:type="dxa" w:w="72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387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7 (2.2%)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 (0.0%)</w:t>
            </w:r>
          </w:p>
        </w:tc>
        <w:tc>
          <w:tcPr>
            <w:tcW w:type="dxa" w:w="151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-2.2 pp</w:t>
            </w:r>
          </w:p>
        </w:tc>
        <w:tc>
          <w:tcPr>
            <w:tcW w:type="dxa" w:w="194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NE</w:t>
            </w:r>
          </w:p>
        </w:tc>
        <w:tc>
          <w:tcPr>
            <w:tcW w:type="dxa" w:w="86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0.606</w:t>
            </w:r>
          </w:p>
        </w:tc>
      </w:tr>
      <w:tr>
        <w:trPr>
          <w:cantSplit/>
        </w:trPr>
        <w:tc>
          <w:tcPr>
            <w:tcW w:type="dxa" w:w="48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Multiple-birth delivery code</w:t>
            </w:r>
          </w:p>
        </w:tc>
        <w:tc>
          <w:tcPr>
            <w:tcW w:type="dxa" w:w="72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387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12 (3.7%)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7 (10.9%)</w:t>
            </w:r>
          </w:p>
        </w:tc>
        <w:tc>
          <w:tcPr>
            <w:tcW w:type="dxa" w:w="151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7.2 pp</w:t>
            </w:r>
          </w:p>
        </w:tc>
        <w:tc>
          <w:tcPr>
            <w:tcW w:type="dxa" w:w="194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3.17 (1.01-9.18)</w:t>
            </w:r>
          </w:p>
        </w:tc>
        <w:tc>
          <w:tcPr>
            <w:tcW w:type="dxa" w:w="86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0.024</w:t>
            </w:r>
          </w:p>
        </w:tc>
      </w:tr>
    </w:tbl>
    <w:p>
      <w:pPr>
        <w:spacing w:before="80" w:after="0" w:line="240" w:lineRule="auto"/>
      </w:pPr>
      <w:r>
        <w:t>Note. Analyses are exploratory and limited to MIMIC maternal-record delivery/fetal diagnostic proxies. These variables reflect record availability and code presence rather than adjudicated infant outcomes; they are not true infant-level linked outcomes and should not be interpreted as neonatal outcome analyses or causal effects. No multiplicity adjustment was applied. eICU did not provide a reliable mother-infant linkage or comparable infant outcome source. NE indicates that the Fisher OR was not emphasized because one or more event cells contained fewer than 5 events.</w:t>
      </w:r>
    </w:p>
    <w:sectPr w:rsidR="00FC693F" w:rsidRPr="0006063C" w:rsidSect="00034616">
      <w:pgSz w:w="15840" w:h="12240" w:orient="landscape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