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240" w:lineRule="auto"/>
      </w:pPr>
      <w:r>
        <w:rPr>
          <w:rFonts w:ascii="Times New Roman" w:hAnsi="Times New Roman"/>
          <w:b/>
          <w:sz w:val="18"/>
        </w:rPr>
        <w:t>Supplementary Table 1. Model specification, database consistency, and sensitivity analyses</w:t>
      </w:r>
    </w:p>
    <w:tbl>
      <w:tblPr>
        <w:tblW w:type="auto" w:w="0"/>
        <w:tblLayout w:type="fixed"/>
        <w:tblLook w:firstColumn="1" w:firstRow="1" w:lastColumn="0" w:lastRow="0" w:noHBand="0" w:noVBand="1" w:val="04A0"/>
        <w:tblBorders>
          <w:top w:val="single" w:sz="8" w:space="0" w:color="000000"/>
          <w:bottom w:val="single" w:sz="8" w:space="0" w:color="000000"/>
          <w:insideH w:val="dotted" w:sz="4" w:space="0" w:color="9CA3AF"/>
          <w:insideV w:val="nil" w:sz="0" w:space="0" w:color="FFFFFF"/>
          <w:left w:val="nil" w:sz="0" w:space="0" w:color="FFFFFF"/>
          <w:right w:val="nil" w:sz="0" w:space="0" w:color="FFFFFF"/>
        </w:tblBorders>
      </w:tblPr>
      <w:tblGrid>
        <w:gridCol w:w="1454"/>
        <w:gridCol w:w="1454"/>
        <w:gridCol w:w="1454"/>
        <w:gridCol w:w="1454"/>
        <w:gridCol w:w="1454"/>
        <w:gridCol w:w="1454"/>
        <w:gridCol w:w="1454"/>
        <w:gridCol w:w="1454"/>
        <w:gridCol w:w="1454"/>
        <w:gridCol w:w="1454"/>
      </w:tblGrid>
      <w:tr>
        <w:trPr>
          <w:cantSplit/>
          <w:tblHeader w:val="true"/>
        </w:trPr>
        <w:tc>
          <w:tcPr>
            <w:tcW w:type="dxa" w:w="2620"/>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Analysis</w:t>
            </w:r>
          </w:p>
        </w:tc>
        <w:tc>
          <w:tcPr>
            <w:tcW w:type="dxa" w:w="979"/>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Stratum</w:t>
            </w:r>
          </w:p>
        </w:tc>
        <w:tc>
          <w:tcPr>
            <w:tcW w:type="dxa" w:w="2088"/>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Estimand/outcome</w:t>
            </w:r>
          </w:p>
        </w:tc>
        <w:tc>
          <w:tcPr>
            <w:tcW w:type="dxa" w:w="633"/>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N</w:t>
            </w:r>
          </w:p>
        </w:tc>
        <w:tc>
          <w:tcPr>
            <w:tcW w:type="dxa" w:w="792"/>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Events</w:t>
            </w:r>
          </w:p>
        </w:tc>
        <w:tc>
          <w:tcPr>
            <w:tcW w:type="dxa" w:w="1094"/>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Exposed n (%)</w:t>
            </w:r>
          </w:p>
        </w:tc>
        <w:tc>
          <w:tcPr>
            <w:tcW w:type="dxa" w:w="1094"/>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Events among exposed</w:t>
            </w:r>
          </w:p>
        </w:tc>
        <w:tc>
          <w:tcPr>
            <w:tcW w:type="dxa" w:w="1411"/>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OR (95% CI)</w:t>
            </w:r>
          </w:p>
        </w:tc>
        <w:tc>
          <w:tcPr>
            <w:tcW w:type="dxa" w:w="748"/>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P value</w:t>
            </w:r>
          </w:p>
        </w:tc>
        <w:tc>
          <w:tcPr>
            <w:tcW w:type="dxa" w:w="2664"/>
            <w:tcMar>
              <w:top w:w="35" w:type="dxa"/>
              <w:start w:w="55" w:type="dxa"/>
              <w:bottom w:w="35" w:type="dxa"/>
              <w:end w:w="55" w:type="dxa"/>
            </w:tcMar>
            <w:vAlign w:val="center"/>
            <w:shd w:fill="F2F4F7"/>
          </w:tcPr>
          <w:p>
            <w:pPr>
              <w:spacing w:after="0" w:line="240" w:lineRule="auto"/>
              <w:jc w:val="center"/>
            </w:pPr>
            <w:r/>
            <w:r>
              <w:rPr>
                <w:rFonts w:ascii="Times New Roman" w:hAnsi="Times New Roman"/>
                <w:b/>
                <w:i w:val="0"/>
                <w:sz w:val="15"/>
              </w:rPr>
              <w:t>Notes</w:t>
            </w:r>
          </w:p>
        </w:tc>
      </w:tr>
      <w:tr>
        <w:trPr>
          <w:cantSplit/>
        </w:trPr>
        <w:tc>
          <w:tcPr>
            <w:tcW w:type="dxa" w:w="14123"/>
            <w:gridSpan w:val="10"/>
            <w:tcMar>
              <w:top w:w="35" w:type="dxa"/>
              <w:start w:w="55" w:type="dxa"/>
              <w:bottom w:w="35" w:type="dxa"/>
              <w:end w:w="55" w:type="dxa"/>
            </w:tcMar>
            <w:vAlign w:val="center"/>
            <w:shd w:fill="EDF2F7"/>
          </w:tcPr>
          <w:p>
            <w:pPr>
              <w:spacing w:after="0" w:line="240" w:lineRule="auto"/>
              <w:jc w:val="left"/>
            </w:pPr>
            <w:r/>
            <w:r>
              <w:rPr>
                <w:rFonts w:ascii="Times New Roman" w:hAnsi="Times New Roman"/>
                <w:b/>
                <w:i w:val="0"/>
                <w:sz w:val="14"/>
              </w:rPr>
              <w:t>A. Model specification</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Crude</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3.15 (2.02-4.91)</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no database fixed effect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Age + race</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3.13 (2.01-4.89)</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no database fixed effect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Age + race + baseline creatinine</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3.14 (2.01-4.90)</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no database fixed effect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Age + race + baseline creatinine + chronic hypertension + diabetes</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3.37 (2.14-5.30)</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no database fixed effect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Database-adjusted</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3.15 (2.02-4.91)</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Observed complete data; database fixed effect only</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Primary model with database fixed effect</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3.36 (2.14-5.29)</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prespecified primary model</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Complete-case primary model</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3.36 (2.14-5.29)</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Observed complete data; no model-variable missingness</w:t>
            </w:r>
          </w:p>
        </w:tc>
      </w:tr>
      <w:tr>
        <w:trPr>
          <w:cantSplit/>
        </w:trPr>
        <w:tc>
          <w:tcPr>
            <w:tcW w:type="dxa" w:w="14123"/>
            <w:gridSpan w:val="10"/>
            <w:tcMar>
              <w:top w:w="35" w:type="dxa"/>
              <w:start w:w="55" w:type="dxa"/>
              <w:bottom w:w="35" w:type="dxa"/>
              <w:end w:w="55" w:type="dxa"/>
            </w:tcMar>
            <w:vAlign w:val="center"/>
            <w:shd w:fill="EDF2F7"/>
          </w:tcPr>
          <w:p>
            <w:pPr>
              <w:spacing w:after="0" w:line="240" w:lineRule="auto"/>
              <w:jc w:val="left"/>
            </w:pPr>
            <w:r/>
            <w:r>
              <w:rPr>
                <w:rFonts w:ascii="Times New Roman" w:hAnsi="Times New Roman"/>
                <w:b/>
                <w:i w:val="0"/>
                <w:sz w:val="14"/>
              </w:rPr>
              <w:t>B. Database consistency</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Database-stratified primary model</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64 (16.5%)</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4.45 (2.28-8.68)</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database fixed effect omitted</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Database-stratified primary model</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57 (17.5%)</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40</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2.72 (1.43-5.15)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0.002</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database fixed effect omitted</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AKI-by-database interaction</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Interaction OR</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1.71 (0.69-4.22)</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0.244</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 vs eICU multiplicative interaction</w:t>
            </w:r>
          </w:p>
        </w:tc>
      </w:tr>
      <w:tr>
        <w:trPr>
          <w:cantSplit/>
        </w:trPr>
        <w:tc>
          <w:tcPr>
            <w:tcW w:type="dxa" w:w="14123"/>
            <w:gridSpan w:val="10"/>
            <w:tcMar>
              <w:top w:w="35" w:type="dxa"/>
              <w:start w:w="55" w:type="dxa"/>
              <w:bottom w:w="35" w:type="dxa"/>
              <w:end w:w="55" w:type="dxa"/>
            </w:tcMar>
            <w:vAlign w:val="center"/>
            <w:shd w:fill="EDF2F7"/>
          </w:tcPr>
          <w:p>
            <w:pPr>
              <w:spacing w:after="0" w:line="240" w:lineRule="auto"/>
              <w:jc w:val="left"/>
            </w:pPr>
            <w:r/>
            <w:r>
              <w:rPr>
                <w:rFonts w:ascii="Times New Roman" w:hAnsi="Times New Roman"/>
                <w:b/>
                <w:i w:val="0"/>
                <w:sz w:val="14"/>
              </w:rPr>
              <w:t>C. Key robustness analyses</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48 h landmark non-LOS composite</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Post-48 h death/ventilation/vasopressor</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101</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22 (21.8%)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1.63 (0.08-34.87)</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0.750</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Exploratory; sparse events</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Excluding timed RRT &lt;=6 h</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OR for 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707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379</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3.27 (2.07-5.16)</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Early-treatment robustness check</w:t>
            </w:r>
          </w:p>
        </w:tc>
      </w:tr>
      <w:tr>
        <w:trPr>
          <w:cantSplit/>
        </w:trPr>
        <w:tc>
          <w:tcPr>
            <w:tcW w:type="dxa" w:w="14123"/>
            <w:gridSpan w:val="10"/>
            <w:tcMar>
              <w:top w:w="35" w:type="dxa"/>
              <w:start w:w="55" w:type="dxa"/>
              <w:bottom w:w="35" w:type="dxa"/>
              <w:end w:w="55" w:type="dxa"/>
            </w:tcMar>
            <w:vAlign w:val="center"/>
            <w:shd w:fill="EDF2F7"/>
          </w:tcPr>
          <w:p>
            <w:pPr>
              <w:spacing w:after="0" w:line="240" w:lineRule="auto"/>
              <w:jc w:val="left"/>
            </w:pPr>
            <w:r/>
            <w:r>
              <w:rPr>
                <w:rFonts w:ascii="Times New Roman" w:hAnsi="Times New Roman"/>
                <w:b/>
                <w:i w:val="0"/>
                <w:sz w:val="14"/>
              </w:rPr>
              <w:t>D. AKI definition sensitivity</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Serum creatinine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121 (17.0%)</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3.36 (2.14-5.29)</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Serum creatinine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64 (16.5%)</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4.45 (2.28-8.68)</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Serum creatinine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Serum creatinine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57 (17.5%)</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40</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2.72 (1.43-5.15)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0.002</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Creatinine-or-RRT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Creatinine-or-RRT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130 (18.3%)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97</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3.43 (2.19-5.38)</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Creatinine-or-RRT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Creatinine-or-RRT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 (18.3%)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56</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4.68 (2.43-9.05)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Creatinine-or-RRT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Creatinine-or-RRT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59 (18.2%)</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2.64 (1.40-4.99)</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0.003</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304 (42.7%)</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195</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2.22 (1.63-3.04)</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170 (43.9%)</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111</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2.35 (1.54-3.60)</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134 (41.2%)</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84</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2.06 (1.28-3.29)</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0.003</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Urine-output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Urine-output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230 (32.3%)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145</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1.84 (1.33-2.56)</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Urine-output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Urine-output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140 (36.2%)</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92</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2.16 (1.39-3.35)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Urine-output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Urine-output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90 (27.7%)</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53</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1.41 (0.84-2.35)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0.193</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&gt;=2</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&gt;=2</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195 (27.4%)</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129</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2.20 (1.54-3.14)</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&lt;0.001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&gt;=2</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&gt;=2</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99 (25.6%)</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67</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2.28 (1.39-3.75)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&gt;=2</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&gt;=2</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96 (29.5%)</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62</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2.12 (1.26-3.57)</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0.005</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same outcome and core adjustment</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3</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3</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77 (10.8%)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49</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1.80 (1.07-3.02)</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0.026</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exploratory stage-specific definition</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3</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3</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30 (7.8%)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25</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6.01 (2.06-17.53)</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0.001</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exploratory stage-specific definition</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3</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Full KDIGO stage 3</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47 (14.5%)</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24</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0.96 (0.50-1.84)</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0.890</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exploratory stage-specific definition</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Timed RRT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Pooled</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Timed RRT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712</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381</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12 (1.7%)</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3.20 (0.73-14.06)</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0.123</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exploratory sparse-exposure definition</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Timed RRT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MIMIC-IV</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Timed RRT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387</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208</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9 (2.3%)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7</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3.20 (0.56-18.22)</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0.190</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exploratory sparse-exposure definition</w:t>
            </w:r>
          </w:p>
        </w:tc>
      </w:tr>
      <w:tr>
        <w:trPr>
          <w:cantSplit/>
        </w:trPr>
        <w:tc>
          <w:tcPr>
            <w:tcW w:type="dxa" w:w="2620"/>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Timed RRT AKI</w:t>
            </w:r>
          </w:p>
        </w:tc>
        <w:tc>
          <w:tcPr>
            <w:tcW w:type="dxa" w:w="979"/>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eICU</w:t>
            </w:r>
          </w:p>
        </w:tc>
        <w:tc>
          <w:tcPr>
            <w:tcW w:type="dxa" w:w="2088"/>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Timed RRT AKI</w:t>
            </w:r>
          </w:p>
        </w:tc>
        <w:tc>
          <w:tcPr>
            <w:tcW w:type="dxa" w:w="633"/>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325</w:t>
            </w:r>
          </w:p>
        </w:tc>
        <w:tc>
          <w:tcPr>
            <w:tcW w:type="dxa" w:w="792"/>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173</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3 (0.9%)</w:t>
            </w:r>
          </w:p>
        </w:tc>
        <w:tc>
          <w:tcPr>
            <w:tcW w:type="dxa" w:w="1094"/>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w:t>
            </w:r>
          </w:p>
        </w:tc>
        <w:tc>
          <w:tcPr>
            <w:tcW w:type="dxa" w:w="1411"/>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2.12 (0.10-47.15)</w:t>
            </w:r>
          </w:p>
        </w:tc>
        <w:tc>
          <w:tcPr>
            <w:tcW w:type="dxa" w:w="748"/>
            <w:tcMar>
              <w:top w:w="35" w:type="dxa"/>
              <w:start w:w="55" w:type="dxa"/>
              <w:bottom w:w="35" w:type="dxa"/>
              <w:end w:w="55" w:type="dxa"/>
            </w:tcMar>
            <w:vAlign w:val="center"/>
          </w:tcPr>
          <w:p>
            <w:pPr>
              <w:spacing w:after="0" w:line="240" w:lineRule="auto"/>
              <w:jc w:val="center"/>
            </w:pPr>
            <w:r/>
            <w:r>
              <w:rPr>
                <w:rFonts w:ascii="Times New Roman" w:hAnsi="Times New Roman"/>
                <w:b w:val="0"/>
                <w:i w:val="0"/>
                <w:sz w:val="13"/>
              </w:rPr>
              <w:t>0.634</w:t>
            </w:r>
          </w:p>
        </w:tc>
        <w:tc>
          <w:tcPr>
            <w:tcW w:type="dxa" w:w="2664"/>
            <w:tcMar>
              <w:top w:w="35" w:type="dxa"/>
              <w:start w:w="55" w:type="dxa"/>
              <w:bottom w:w="35" w:type="dxa"/>
              <w:end w:w="55" w:type="dxa"/>
            </w:tcMar>
            <w:vAlign w:val="center"/>
          </w:tcPr>
          <w:p>
            <w:pPr>
              <w:spacing w:after="0" w:line="240" w:lineRule="auto"/>
              <w:jc w:val="left"/>
            </w:pPr>
            <w:r/>
            <w:r>
              <w:rPr>
                <w:rFonts w:ascii="Times New Roman" w:hAnsi="Times New Roman"/>
                <w:b w:val="0"/>
                <w:i w:val="0"/>
                <w:sz w:val="13"/>
              </w:rPr>
              <w:t>MICE framework; exploratory sparse-exposure definition</w:t>
            </w:r>
          </w:p>
        </w:tc>
      </w:tr>
    </w:tbl>
    <w:p>
      <w:pPr>
        <w:spacing w:before="80" w:after="0" w:line="240" w:lineRule="auto"/>
      </w:pPr>
      <w:r>
        <w:rPr>
          <w:rFonts w:ascii="Times New Roman" w:hAnsi="Times New Roman"/>
          <w:sz w:val="14"/>
        </w:rPr>
        <w:t>Note. This supplementary table reports the complete model and sensitivity-analysis results supporting Table 2 and the forest plot. Unless stated otherwise, models estimate the association between AKI and the composite adverse maternal outcome excluding RRT, with adjustment for age, race, baseline creatinine, chronic hypertension, diabetes, and database fixed effect for pooled analyses. Database-stratified models omit the database fixed effect. Exposure and outcome were not imputed. MICE denotes the prespecified analysis framework; after restriction to the final 712-patient primary analysis cohort, all prespecified model variables were complete after cleaning. The complete-case primary model therefore retained the same 712 patients. For interaction rows, N and Events refer to the fitted interaction model and exposed counts are not applicable. The 48 h landmark analysis is exploratory because post-landmark events were sparse. The serum creatinine AKI row is the primary definition and is repeated in the definition-sensitivity section for direct comparison.</w:t>
      </w:r>
    </w:p>
    <w:sectPr w:rsidR="00FC693F" w:rsidRPr="0006063C" w:rsidSect="00034616">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