
<file path=[Content_Types].xml><?xml version="1.0" encoding="utf-8"?>
<ns0:Types xmlns:ns0="http://schemas.openxmlformats.org/package/2006/content-types">
  <ns0:Default Extension="jpeg" ContentType="image/jpeg"/>
  <ns0:Default Extension="rels" ContentType="application/vnd.openxmlformats-package.relationships+xml"/>
  <ns0:Default Extension="xml" ContentType="application/xml"/>
  <ns0:Override PartName="/customXml/itemProps1.xml" ContentType="application/vnd.openxmlformats-officedocument.customXmlProperties+xml"/>
  <ns0:Override PartName="/docProps/app.xml" ContentType="application/vnd.openxmlformats-officedocument.extended-properties+xml"/>
  <ns0:Override PartName="/docProps/core.xml" ContentType="application/vnd.openxmlformats-package.core-properties+xml"/>
  <ns0:Override PartName="/word/document.xml" ContentType="application/vnd.openxmlformats-officedocument.wordprocessingml.document.main+xml"/>
  <ns0:Override PartName="/word/fontTable.xml" ContentType="application/vnd.openxmlformats-officedocument.wordprocessingml.fontTable+xml"/>
  <ns0:Override PartName="/word/numbering.xml" ContentType="application/vnd.openxmlformats-officedocument.wordprocessingml.numbering+xml"/>
  <ns0:Override PartName="/word/settings.xml" ContentType="application/vnd.openxmlformats-officedocument.wordprocessingml.settings+xml"/>
  <ns0:Override PartName="/word/styles.xml" ContentType="application/vnd.openxmlformats-officedocument.wordprocessingml.styles+xml"/>
  <ns0:Override PartName="/word/stylesWithEffects.xml" ContentType="application/vnd.ms-word.stylesWithEffects+xml"/>
  <ns0:Override PartName="/word/theme/theme1.xml" ContentType="application/vnd.openxmlformats-officedocument.theme+xml"/>
  <ns0:Override PartName="/word/webSettings.xml" ContentType="application/vnd.openxmlformats-officedocument.wordprocessingml.webSettings+xml"/>
</ns0: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line="240" w:lineRule="auto"/>
      </w:pPr>
      <w:r>
        <w:rPr>
          <w:rFonts w:ascii="Times New Roman" w:hAnsi="Times New Roman"/>
          <w:b/>
          <w:i w:val="0"/>
          <w:sz w:val="21"/>
        </w:rPr>
        <w:t>Supplementary Table 4. Effect-scale sensitivity analyses</w:t>
      </w:r>
    </w:p>
    <w:tbl>
      <w:tblPr>
        <w:tblW w:type="auto" w:w="0"/>
        <w:tblLayout w:type="fixed"/>
        <w:tblLook w:firstColumn="1" w:firstRow="1" w:lastColumn="0" w:lastRow="0" w:noHBand="0" w:noVBand="1" w:val="04A0"/>
        <w:tblBorders>
          <w:top w:val="single" w:sz="8" w:space="0" w:color="000000"/>
          <w:bottom w:val="single" w:sz="8" w:space="0" w:color="000000"/>
          <w:insideH w:val="nil" w:sz="0" w:space="0" w:color="FFFFFF"/>
          <w:insideV w:val="nil" w:sz="0" w:space="0" w:color="FFFFFF"/>
          <w:left w:val="nil" w:sz="0" w:space="0" w:color="FFFFFF"/>
          <w:right w:val="nil" w:sz="0" w:space="0" w:color="FFFFFF"/>
        </w:tblBorders>
      </w:tblPr>
      <w:tblGrid>
        <w:gridCol w:w="1454"/>
        <w:gridCol w:w="1454"/>
        <w:gridCol w:w="1454"/>
        <w:gridCol w:w="1454"/>
        <w:gridCol w:w="1454"/>
        <w:gridCol w:w="1454"/>
        <w:gridCol w:w="1454"/>
        <w:gridCol w:w="1454"/>
        <w:gridCol w:w="1454"/>
        <w:gridCol w:w="1454"/>
      </w:tblGrid>
      <w:tr>
        <w:trPr>
          <w:cantSplit/>
          <w:tblHeader w:val="true"/>
        </w:trPr>
        <w:tc>
          <w:tcPr>
            <w:tcW w:type="dxa" w:w="2015"/>
            <w:tcMar>
              <w:top w:w="70" w:type="dxa"/>
              <w:start w:w="75" w:type="dxa"/>
              <w:bottom w:w="70" w:type="dxa"/>
              <w:end w:w="75" w:type="dxa"/>
            </w:tcMar>
            <w:vAlign w:val="center"/>
            <w:tcBorders>
              <w:bottom w:val="single" w:sz="6" w:space="0" w:color="000000"/>
            </w:tcBorders>
          </w:tcPr>
          <w:p>
            <w:pPr>
              <w:spacing w:before="0" w:after="0" w:line="240" w:lineRule="auto"/>
              <w:jc w:val="center"/>
            </w:pPr>
            <w:r/>
            <w:r>
              <w:rPr>
                <w:rFonts w:ascii="Times New Roman" w:hAnsi="Times New Roman"/>
                <w:b/>
                <w:i w:val="0"/>
                <w:sz w:val="21"/>
              </w:rPr>
              <w:t>Measure</w:t>
            </w:r>
          </w:p>
        </w:tc>
        <w:tc>
          <w:tcPr>
            <w:tcW w:type="dxa" w:w="1180"/>
            <w:tcMar>
              <w:top w:w="70" w:type="dxa"/>
              <w:start w:w="75" w:type="dxa"/>
              <w:bottom w:w="70" w:type="dxa"/>
              <w:end w:w="75" w:type="dxa"/>
            </w:tcMar>
            <w:vAlign w:val="center"/>
            <w:tcBorders>
              <w:bottom w:val="single" w:sz="6" w:space="0" w:color="000000"/>
            </w:tcBorders>
          </w:tcPr>
          <w:p>
            <w:pPr>
              <w:spacing w:before="0" w:after="0" w:line="240" w:lineRule="auto"/>
              <w:jc w:val="center"/>
            </w:pPr>
            <w:r/>
            <w:r>
              <w:rPr>
                <w:rFonts w:ascii="Times New Roman" w:hAnsi="Times New Roman"/>
                <w:b/>
                <w:i w:val="0"/>
                <w:sz w:val="21"/>
              </w:rPr>
              <w:t>Stratum</w:t>
            </w:r>
          </w:p>
        </w:tc>
        <w:tc>
          <w:tcPr>
            <w:tcW w:type="dxa" w:w="691"/>
            <w:tcMar>
              <w:top w:w="70" w:type="dxa"/>
              <w:start w:w="75" w:type="dxa"/>
              <w:bottom w:w="70" w:type="dxa"/>
              <w:end w:w="75" w:type="dxa"/>
            </w:tcMar>
            <w:vAlign w:val="center"/>
            <w:tcBorders>
              <w:bottom w:val="single" w:sz="6" w:space="0" w:color="000000"/>
            </w:tcBorders>
          </w:tcPr>
          <w:p>
            <w:pPr>
              <w:spacing w:before="0" w:after="0" w:line="240" w:lineRule="auto"/>
              <w:jc w:val="center"/>
            </w:pPr>
            <w:r/>
            <w:r>
              <w:rPr>
                <w:rFonts w:ascii="Times New Roman" w:hAnsi="Times New Roman"/>
                <w:b/>
                <w:i w:val="0"/>
                <w:sz w:val="21"/>
              </w:rPr>
              <w:t>N</w:t>
            </w:r>
          </w:p>
        </w:tc>
        <w:tc>
          <w:tcPr>
            <w:tcW w:type="dxa" w:w="806"/>
            <w:tcMar>
              <w:top w:w="70" w:type="dxa"/>
              <w:start w:w="75" w:type="dxa"/>
              <w:bottom w:w="70" w:type="dxa"/>
              <w:end w:w="75" w:type="dxa"/>
            </w:tcMar>
            <w:vAlign w:val="center"/>
            <w:tcBorders>
              <w:bottom w:val="single" w:sz="6" w:space="0" w:color="000000"/>
            </w:tcBorders>
          </w:tcPr>
          <w:p>
            <w:pPr>
              <w:spacing w:before="0" w:after="0" w:line="240" w:lineRule="auto"/>
              <w:jc w:val="center"/>
            </w:pPr>
            <w:r/>
            <w:r>
              <w:rPr>
                <w:rFonts w:ascii="Times New Roman" w:hAnsi="Times New Roman"/>
                <w:b/>
                <w:i w:val="0"/>
                <w:sz w:val="21"/>
              </w:rPr>
              <w:t>Events</w:t>
            </w:r>
          </w:p>
        </w:tc>
        <w:tc>
          <w:tcPr>
            <w:tcW w:type="dxa" w:w="1368"/>
            <w:tcMar>
              <w:top w:w="70" w:type="dxa"/>
              <w:start w:w="75" w:type="dxa"/>
              <w:bottom w:w="70" w:type="dxa"/>
              <w:end w:w="75" w:type="dxa"/>
            </w:tcMar>
            <w:vAlign w:val="center"/>
            <w:tcBorders>
              <w:bottom w:val="single" w:sz="6" w:space="0" w:color="000000"/>
            </w:tcBorders>
          </w:tcPr>
          <w:p>
            <w:pPr>
              <w:spacing w:before="0" w:after="0" w:line="240" w:lineRule="auto"/>
              <w:jc w:val="center"/>
            </w:pPr>
            <w:r/>
            <w:r>
              <w:rPr>
                <w:rFonts w:ascii="Times New Roman" w:hAnsi="Times New Roman"/>
                <w:b/>
                <w:i w:val="0"/>
                <w:sz w:val="21"/>
              </w:rPr>
              <w:t>Scr-AKI events/N</w:t>
            </w:r>
          </w:p>
        </w:tc>
        <w:tc>
          <w:tcPr>
            <w:tcW w:type="dxa" w:w="1368"/>
            <w:tcMar>
              <w:top w:w="70" w:type="dxa"/>
              <w:start w:w="75" w:type="dxa"/>
              <w:bottom w:w="70" w:type="dxa"/>
              <w:end w:w="75" w:type="dxa"/>
            </w:tcMar>
            <w:vAlign w:val="center"/>
            <w:tcBorders>
              <w:bottom w:val="single" w:sz="6" w:space="0" w:color="000000"/>
            </w:tcBorders>
          </w:tcPr>
          <w:p>
            <w:pPr>
              <w:spacing w:before="0" w:after="0" w:line="240" w:lineRule="auto"/>
              <w:jc w:val="center"/>
            </w:pPr>
            <w:r/>
            <w:r>
              <w:rPr>
                <w:rFonts w:ascii="Times New Roman" w:hAnsi="Times New Roman"/>
                <w:b/>
                <w:i w:val="0"/>
                <w:sz w:val="21"/>
              </w:rPr>
              <w:t>No Scr-AKI events/N</w:t>
            </w:r>
          </w:p>
        </w:tc>
        <w:tc>
          <w:tcPr>
            <w:tcW w:type="dxa" w:w="2376"/>
            <w:tcMar>
              <w:top w:w="70" w:type="dxa"/>
              <w:start w:w="75" w:type="dxa"/>
              <w:bottom w:w="70" w:type="dxa"/>
              <w:end w:w="75" w:type="dxa"/>
            </w:tcMar>
            <w:vAlign w:val="center"/>
            <w:tcBorders>
              <w:bottom w:val="single" w:sz="6" w:space="0" w:color="000000"/>
            </w:tcBorders>
          </w:tcPr>
          <w:p>
            <w:pPr>
              <w:spacing w:before="0" w:after="0" w:line="240" w:lineRule="auto"/>
              <w:jc w:val="center"/>
            </w:pPr>
            <w:r/>
            <w:r>
              <w:rPr>
                <w:rFonts w:ascii="Times New Roman" w:hAnsi="Times New Roman"/>
                <w:b/>
                <w:i w:val="0"/>
                <w:sz w:val="21"/>
              </w:rPr>
              <w:t>Estimate (95% CI)</w:t>
            </w:r>
          </w:p>
        </w:tc>
        <w:tc>
          <w:tcPr>
            <w:tcW w:type="dxa" w:w="792"/>
            <w:tcMar>
              <w:top w:w="70" w:type="dxa"/>
              <w:start w:w="75" w:type="dxa"/>
              <w:bottom w:w="70" w:type="dxa"/>
              <w:end w:w="75" w:type="dxa"/>
            </w:tcMar>
            <w:vAlign w:val="center"/>
            <w:tcBorders>
              <w:bottom w:val="single" w:sz="6" w:space="0" w:color="000000"/>
            </w:tcBorders>
          </w:tcPr>
          <w:p>
            <w:pPr>
              <w:spacing w:before="0" w:after="0" w:line="240" w:lineRule="auto"/>
              <w:jc w:val="center"/>
            </w:pPr>
            <w:r/>
            <w:r>
              <w:rPr>
                <w:rFonts w:ascii="Times New Roman" w:hAnsi="Times New Roman"/>
                <w:b/>
                <w:i w:val="0"/>
                <w:sz w:val="21"/>
              </w:rPr>
              <w:t>P value</w:t>
            </w:r>
          </w:p>
        </w:tc>
        <w:tc>
          <w:tcPr>
            <w:tcW w:type="dxa" w:w="1612"/>
            <w:tcMar>
              <w:top w:w="70" w:type="dxa"/>
              <w:start w:w="75" w:type="dxa"/>
              <w:bottom w:w="70" w:type="dxa"/>
              <w:end w:w="75" w:type="dxa"/>
            </w:tcMar>
            <w:vAlign w:val="center"/>
            <w:tcBorders>
              <w:bottom w:val="single" w:sz="6" w:space="0" w:color="000000"/>
            </w:tcBorders>
          </w:tcPr>
          <w:p>
            <w:pPr>
              <w:spacing w:before="0" w:after="0" w:line="240" w:lineRule="auto"/>
              <w:jc w:val="center"/>
            </w:pPr>
            <w:r/>
            <w:r>
              <w:rPr>
                <w:rFonts w:ascii="Times New Roman" w:hAnsi="Times New Roman"/>
                <w:b/>
                <w:i w:val="0"/>
                <w:sz w:val="21"/>
              </w:rPr>
              <w:t>Adjusted risk, No Scr-AKI</w:t>
            </w:r>
          </w:p>
        </w:tc>
        <w:tc>
          <w:tcPr>
            <w:tcW w:type="dxa" w:w="1612"/>
            <w:tcMar>
              <w:top w:w="70" w:type="dxa"/>
              <w:start w:w="75" w:type="dxa"/>
              <w:bottom w:w="70" w:type="dxa"/>
              <w:end w:w="75" w:type="dxa"/>
            </w:tcMar>
            <w:vAlign w:val="center"/>
            <w:tcBorders>
              <w:bottom w:val="single" w:sz="6" w:space="0" w:color="000000"/>
            </w:tcBorders>
          </w:tcPr>
          <w:p>
            <w:pPr>
              <w:spacing w:before="0" w:after="0" w:line="240" w:lineRule="auto"/>
              <w:jc w:val="center"/>
            </w:pPr>
            <w:r/>
            <w:r>
              <w:rPr>
                <w:rFonts w:ascii="Times New Roman" w:hAnsi="Times New Roman"/>
                <w:b/>
                <w:i w:val="0"/>
                <w:sz w:val="21"/>
              </w:rPr>
              <w:t>Adjusted risk, Scr-AKI</w:t>
            </w:r>
          </w:p>
        </w:tc>
      </w:tr>
      <w:tr>
        <w:trPr>
          <w:cantSplit/>
        </w:trPr>
        <w:tc>
          <w:tcPr>
            <w:tcW w:type="dxa" w:w="2015"/>
            <w:tcMar>
              <w:top w:w="70" w:type="dxa"/>
              <w:start w:w="75" w:type="dxa"/>
              <w:bottom w:w="70" w:type="dxa"/>
              <w:end w:w="75" w:type="dxa"/>
            </w:tcMar>
            <w:vAlign w:val="center"/>
          </w:tcPr>
          <w:p>
            <w:pPr>
              <w:spacing w:before="0" w:after="0" w:line="240" w:lineRule="auto"/>
              <w:jc w:val="left"/>
            </w:pPr>
            <w:r/>
            <w:r>
              <w:rPr>
                <w:rFonts w:ascii="Times New Roman" w:hAnsi="Times New Roman"/>
                <w:b w:val="0"/>
                <w:i w:val="0"/>
                <w:sz w:val="21"/>
              </w:rPr>
              <w:t>Adjusted RR</w:t>
            </w:r>
          </w:p>
        </w:tc>
        <w:tc>
          <w:tcPr>
            <w:tcW w:type="dxa" w:w="1180"/>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Pooled</w:t>
            </w:r>
          </w:p>
        </w:tc>
        <w:tc>
          <w:tcPr>
            <w:tcW w:type="dxa" w:w="691"/>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712</w:t>
            </w:r>
          </w:p>
        </w:tc>
        <w:tc>
          <w:tcPr>
            <w:tcW w:type="dxa" w:w="806"/>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381</w:t>
            </w:r>
          </w:p>
        </w:tc>
        <w:tc>
          <w:tcPr>
            <w:tcW w:type="dxa" w:w="1368"/>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91/121</w:t>
            </w:r>
          </w:p>
        </w:tc>
        <w:tc>
          <w:tcPr>
            <w:tcW w:type="dxa" w:w="1368"/>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290/591</w:t>
            </w:r>
          </w:p>
        </w:tc>
        <w:tc>
          <w:tcPr>
            <w:tcW w:type="dxa" w:w="2376"/>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1.56 (1.37-1.79)</w:t>
            </w:r>
          </w:p>
        </w:tc>
        <w:tc>
          <w:tcPr>
            <w:tcW w:type="dxa" w:w="792"/>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&lt;0.001</w:t>
            </w:r>
          </w:p>
        </w:tc>
        <w:tc>
          <w:tcPr>
            <w:tcW w:type="dxa" w:w="1612"/>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r>
          </w:p>
        </w:tc>
        <w:tc>
          <w:tcPr>
            <w:tcW w:type="dxa" w:w="1612"/>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r>
          </w:p>
        </w:tc>
      </w:tr>
      <w:tr>
        <w:trPr>
          <w:cantSplit/>
        </w:trPr>
        <w:tc>
          <w:tcPr>
            <w:tcW w:type="dxa" w:w="2015"/>
            <w:tcMar>
              <w:top w:w="70" w:type="dxa"/>
              <w:start w:w="75" w:type="dxa"/>
              <w:bottom w:w="70" w:type="dxa"/>
              <w:end w:w="75" w:type="dxa"/>
            </w:tcMar>
            <w:vAlign w:val="center"/>
          </w:tcPr>
          <w:p>
            <w:pPr>
              <w:spacing w:before="0" w:after="0" w:line="240" w:lineRule="auto"/>
              <w:jc w:val="left"/>
            </w:pPr>
            <w:r/>
            <w:r>
              <w:rPr>
                <w:rFonts w:ascii="Times New Roman" w:hAnsi="Times New Roman"/>
                <w:b w:val="0"/>
                <w:i w:val="0"/>
                <w:sz w:val="21"/>
              </w:rPr>
              <w:t>Adjusted RR</w:t>
            </w:r>
          </w:p>
        </w:tc>
        <w:tc>
          <w:tcPr>
            <w:tcW w:type="dxa" w:w="1180"/>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MIMIC-IV</w:t>
            </w:r>
          </w:p>
        </w:tc>
        <w:tc>
          <w:tcPr>
            <w:tcW w:type="dxa" w:w="691"/>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387</w:t>
            </w:r>
          </w:p>
        </w:tc>
        <w:tc>
          <w:tcPr>
            <w:tcW w:type="dxa" w:w="806"/>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208</w:t>
            </w:r>
          </w:p>
        </w:tc>
        <w:tc>
          <w:tcPr>
            <w:tcW w:type="dxa" w:w="1368"/>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51/64</w:t>
            </w:r>
          </w:p>
        </w:tc>
        <w:tc>
          <w:tcPr>
            <w:tcW w:type="dxa" w:w="1368"/>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157/323</w:t>
            </w:r>
          </w:p>
        </w:tc>
        <w:tc>
          <w:tcPr>
            <w:tcW w:type="dxa" w:w="2376"/>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1.66 (1.39-1.97)</w:t>
            </w:r>
          </w:p>
        </w:tc>
        <w:tc>
          <w:tcPr>
            <w:tcW w:type="dxa" w:w="792"/>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&lt;0.001</w:t>
            </w:r>
          </w:p>
        </w:tc>
        <w:tc>
          <w:tcPr>
            <w:tcW w:type="dxa" w:w="1612"/>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r>
          </w:p>
        </w:tc>
        <w:tc>
          <w:tcPr>
            <w:tcW w:type="dxa" w:w="1612"/>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r>
          </w:p>
        </w:tc>
      </w:tr>
      <w:tr>
        <w:trPr>
          <w:cantSplit/>
        </w:trPr>
        <w:tc>
          <w:tcPr>
            <w:tcW w:type="dxa" w:w="2015"/>
            <w:tcMar>
              <w:top w:w="70" w:type="dxa"/>
              <w:start w:w="75" w:type="dxa"/>
              <w:bottom w:w="70" w:type="dxa"/>
              <w:end w:w="75" w:type="dxa"/>
            </w:tcMar>
            <w:vAlign w:val="center"/>
          </w:tcPr>
          <w:p>
            <w:pPr>
              <w:spacing w:before="0" w:after="0" w:line="240" w:lineRule="auto"/>
              <w:jc w:val="left"/>
            </w:pPr>
            <w:r/>
            <w:r>
              <w:rPr>
                <w:rFonts w:ascii="Times New Roman" w:hAnsi="Times New Roman"/>
                <w:b w:val="0"/>
                <w:i w:val="0"/>
                <w:sz w:val="21"/>
              </w:rPr>
              <w:t>Adjusted RR</w:t>
            </w:r>
          </w:p>
        </w:tc>
        <w:tc>
          <w:tcPr>
            <w:tcW w:type="dxa" w:w="1180"/>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eICU</w:t>
            </w:r>
          </w:p>
        </w:tc>
        <w:tc>
          <w:tcPr>
            <w:tcW w:type="dxa" w:w="691"/>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325</w:t>
            </w:r>
          </w:p>
        </w:tc>
        <w:tc>
          <w:tcPr>
            <w:tcW w:type="dxa" w:w="806"/>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173</w:t>
            </w:r>
          </w:p>
        </w:tc>
        <w:tc>
          <w:tcPr>
            <w:tcW w:type="dxa" w:w="1368"/>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40/57</w:t>
            </w:r>
          </w:p>
        </w:tc>
        <w:tc>
          <w:tcPr>
            <w:tcW w:type="dxa" w:w="1368"/>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133/268</w:t>
            </w:r>
          </w:p>
        </w:tc>
        <w:tc>
          <w:tcPr>
            <w:tcW w:type="dxa" w:w="2376"/>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1.48 (1.20-1.82)</w:t>
            </w:r>
          </w:p>
        </w:tc>
        <w:tc>
          <w:tcPr>
            <w:tcW w:type="dxa" w:w="792"/>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&lt;0.001</w:t>
            </w:r>
          </w:p>
        </w:tc>
        <w:tc>
          <w:tcPr>
            <w:tcW w:type="dxa" w:w="1612"/>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r>
          </w:p>
        </w:tc>
        <w:tc>
          <w:tcPr>
            <w:tcW w:type="dxa" w:w="1612"/>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r>
          </w:p>
        </w:tc>
      </w:tr>
      <w:tr>
        <w:trPr>
          <w:cantSplit/>
        </w:trPr>
        <w:tc>
          <w:tcPr>
            <w:tcW w:type="dxa" w:w="2015"/>
            <w:tcMar>
              <w:top w:w="70" w:type="dxa"/>
              <w:start w:w="75" w:type="dxa"/>
              <w:bottom w:w="70" w:type="dxa"/>
              <w:end w:w="75" w:type="dxa"/>
            </w:tcMar>
            <w:vAlign w:val="center"/>
          </w:tcPr>
          <w:p>
            <w:pPr>
              <w:spacing w:before="0" w:after="0" w:line="240" w:lineRule="auto"/>
              <w:jc w:val="left"/>
            </w:pPr>
            <w:r/>
            <w:r>
              <w:rPr>
                <w:rFonts w:ascii="Times New Roman" w:hAnsi="Times New Roman"/>
                <w:b w:val="0"/>
                <w:i w:val="0"/>
                <w:sz w:val="21"/>
              </w:rPr>
              <w:t>Adjusted RD, percentage points</w:t>
            </w:r>
          </w:p>
        </w:tc>
        <w:tc>
          <w:tcPr>
            <w:tcW w:type="dxa" w:w="1180"/>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Pooled</w:t>
            </w:r>
          </w:p>
        </w:tc>
        <w:tc>
          <w:tcPr>
            <w:tcW w:type="dxa" w:w="691"/>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712</w:t>
            </w:r>
          </w:p>
        </w:tc>
        <w:tc>
          <w:tcPr>
            <w:tcW w:type="dxa" w:w="806"/>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381</w:t>
            </w:r>
          </w:p>
        </w:tc>
        <w:tc>
          <w:tcPr>
            <w:tcW w:type="dxa" w:w="1368"/>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91/121</w:t>
            </w:r>
          </w:p>
        </w:tc>
        <w:tc>
          <w:tcPr>
            <w:tcW w:type="dxa" w:w="1368"/>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290/591</w:t>
            </w:r>
          </w:p>
        </w:tc>
        <w:tc>
          <w:tcPr>
            <w:tcW w:type="dxa" w:w="2376"/>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27.1 (18.5-35.5)</w:t>
            </w:r>
          </w:p>
        </w:tc>
        <w:tc>
          <w:tcPr>
            <w:tcW w:type="dxa" w:w="792"/>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&lt;0.001</w:t>
            </w:r>
          </w:p>
        </w:tc>
        <w:tc>
          <w:tcPr>
            <w:tcW w:type="dxa" w:w="1612"/>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48.9%</w:t>
            </w:r>
          </w:p>
        </w:tc>
        <w:tc>
          <w:tcPr>
            <w:tcW w:type="dxa" w:w="1612"/>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76.0%</w:t>
            </w:r>
          </w:p>
        </w:tc>
      </w:tr>
      <w:tr>
        <w:trPr>
          <w:cantSplit/>
        </w:trPr>
        <w:tc>
          <w:tcPr>
            <w:tcW w:type="dxa" w:w="2015"/>
            <w:tcMar>
              <w:top w:w="70" w:type="dxa"/>
              <w:start w:w="75" w:type="dxa"/>
              <w:bottom w:w="70" w:type="dxa"/>
              <w:end w:w="75" w:type="dxa"/>
            </w:tcMar>
            <w:vAlign w:val="center"/>
          </w:tcPr>
          <w:p>
            <w:pPr>
              <w:spacing w:before="0" w:after="0" w:line="240" w:lineRule="auto"/>
              <w:jc w:val="left"/>
            </w:pPr>
            <w:r/>
            <w:r>
              <w:rPr>
                <w:rFonts w:ascii="Times New Roman" w:hAnsi="Times New Roman"/>
                <w:b w:val="0"/>
                <w:i w:val="0"/>
                <w:sz w:val="21"/>
              </w:rPr>
              <w:t>Adjusted RD, percentage points</w:t>
            </w:r>
          </w:p>
        </w:tc>
        <w:tc>
          <w:tcPr>
            <w:tcW w:type="dxa" w:w="1180"/>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MIMIC-IV</w:t>
            </w:r>
          </w:p>
        </w:tc>
        <w:tc>
          <w:tcPr>
            <w:tcW w:type="dxa" w:w="691"/>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387</w:t>
            </w:r>
          </w:p>
        </w:tc>
        <w:tc>
          <w:tcPr>
            <w:tcW w:type="dxa" w:w="806"/>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208</w:t>
            </w:r>
          </w:p>
        </w:tc>
        <w:tc>
          <w:tcPr>
            <w:tcW w:type="dxa" w:w="1368"/>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51/64</w:t>
            </w:r>
          </w:p>
        </w:tc>
        <w:tc>
          <w:tcPr>
            <w:tcW w:type="dxa" w:w="1368"/>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157/323</w:t>
            </w:r>
          </w:p>
        </w:tc>
        <w:tc>
          <w:tcPr>
            <w:tcW w:type="dxa" w:w="2376"/>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31.6 (20.9-43.7)</w:t>
            </w:r>
          </w:p>
        </w:tc>
        <w:tc>
          <w:tcPr>
            <w:tcW w:type="dxa" w:w="792"/>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&lt;0.001</w:t>
            </w:r>
          </w:p>
        </w:tc>
        <w:tc>
          <w:tcPr>
            <w:tcW w:type="dxa" w:w="1612"/>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48.5%</w:t>
            </w:r>
          </w:p>
        </w:tc>
        <w:tc>
          <w:tcPr>
            <w:tcW w:type="dxa" w:w="1612"/>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80.1%</w:t>
            </w:r>
          </w:p>
        </w:tc>
      </w:tr>
      <w:tr>
        <w:trPr>
          <w:cantSplit/>
        </w:trPr>
        <w:tc>
          <w:tcPr>
            <w:tcW w:type="dxa" w:w="2015"/>
            <w:tcMar>
              <w:top w:w="70" w:type="dxa"/>
              <w:start w:w="75" w:type="dxa"/>
              <w:bottom w:w="70" w:type="dxa"/>
              <w:end w:w="75" w:type="dxa"/>
            </w:tcMar>
            <w:vAlign w:val="center"/>
          </w:tcPr>
          <w:p>
            <w:pPr>
              <w:spacing w:before="0" w:after="0" w:line="240" w:lineRule="auto"/>
              <w:jc w:val="left"/>
            </w:pPr>
            <w:r/>
            <w:r>
              <w:rPr>
                <w:rFonts w:ascii="Times New Roman" w:hAnsi="Times New Roman"/>
                <w:b w:val="0"/>
                <w:i w:val="0"/>
                <w:sz w:val="21"/>
              </w:rPr>
              <w:t>Adjusted RD, percentage points</w:t>
            </w:r>
          </w:p>
        </w:tc>
        <w:tc>
          <w:tcPr>
            <w:tcW w:type="dxa" w:w="1180"/>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eICU</w:t>
            </w:r>
          </w:p>
        </w:tc>
        <w:tc>
          <w:tcPr>
            <w:tcW w:type="dxa" w:w="691"/>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325</w:t>
            </w:r>
          </w:p>
        </w:tc>
        <w:tc>
          <w:tcPr>
            <w:tcW w:type="dxa" w:w="806"/>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173</w:t>
            </w:r>
          </w:p>
        </w:tc>
        <w:tc>
          <w:tcPr>
            <w:tcW w:type="dxa" w:w="1368"/>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40/57</w:t>
            </w:r>
          </w:p>
        </w:tc>
        <w:tc>
          <w:tcPr>
            <w:tcW w:type="dxa" w:w="1368"/>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133/268</w:t>
            </w:r>
          </w:p>
        </w:tc>
        <w:tc>
          <w:tcPr>
            <w:tcW w:type="dxa" w:w="2376"/>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22.6 (7.7-35.2)</w:t>
            </w:r>
          </w:p>
        </w:tc>
        <w:tc>
          <w:tcPr>
            <w:tcW w:type="dxa" w:w="792"/>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0.006</w:t>
            </w:r>
          </w:p>
        </w:tc>
        <w:tc>
          <w:tcPr>
            <w:tcW w:type="dxa" w:w="1612"/>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49.2%</w:t>
            </w:r>
          </w:p>
        </w:tc>
        <w:tc>
          <w:tcPr>
            <w:tcW w:type="dxa" w:w="1612"/>
            <w:tcMar>
              <w:top w:w="70" w:type="dxa"/>
              <w:start w:w="75" w:type="dxa"/>
              <w:bottom w:w="70" w:type="dxa"/>
              <w:end w:w="75" w:type="dxa"/>
            </w:tcMar>
            <w:vAlign w:val="center"/>
          </w:tcPr>
          <w:p>
            <w:pPr>
              <w:spacing w:before="0" w:after="0" w:line="240" w:lineRule="auto"/>
              <w:jc w:val="center"/>
            </w:pPr>
            <w:r/>
            <w:r>
              <w:rPr>
                <w:rFonts w:ascii="Times New Roman" w:hAnsi="Times New Roman"/>
                <w:b w:val="0"/>
                <w:i w:val="0"/>
                <w:sz w:val="21"/>
              </w:rPr>
              <w:t>71.8%</w:t>
            </w:r>
          </w:p>
        </w:tc>
      </w:tr>
    </w:tbl>
    <w:p>
      <w:pPr>
        <w:spacing w:before="80" w:after="0" w:line="240" w:lineRule="auto"/>
      </w:pPr>
      <w:r>
        <w:rPr>
          <w:rFonts w:ascii="Times New Roman" w:hAnsi="Times New Roman"/>
          <w:b w:val="0"/>
          <w:i w:val="0"/>
          <w:sz w:val="18"/>
        </w:rPr>
        <w:t>Note. Adjusted RRs were estimated using modified Poisson regression with robust standard errors. Adjusted RDs were estimated using logistic marginal standardization with bootstrap confidence intervals. Pooled models included the primary covariates plus database fixed effect; database-stratified models used the primary covariates without database fixed effect.</w:t>
      </w:r>
    </w:p>
    <w:sectPr w:rsidR="00FC693F" w:rsidRPr="0006063C" w:rsidSect="00034616">
      <w:pgSz w:w="15840" w:h="12240" w:orient="landscape"/>
      <w:pgMar w:top="648" w:right="648" w:bottom="648" w:left="64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