
<file path=[Content_Types].xml><?xml version="1.0" encoding="utf-8"?>
<ns0:Types xmlns:ns0="http://schemas.openxmlformats.org/package/2006/content-types">
  <ns0:Default Extension="jpeg" ContentType="image/jpeg"/>
  <ns0:Default Extension="rels" ContentType="application/vnd.openxmlformats-package.relationships+xml"/>
  <ns0:Default Extension="xml" ContentType="application/xml"/>
  <ns0:Override PartName="/customXml/itemProps1.xml" ContentType="application/vnd.openxmlformats-officedocument.customXmlProperties+xml"/>
  <ns0:Override PartName="/docProps/app.xml" ContentType="application/vnd.openxmlformats-officedocument.extended-properties+xml"/>
  <ns0:Override PartName="/docProps/core.xml" ContentType="application/vnd.openxmlformats-package.core-properties+xml"/>
  <ns0:Override PartName="/word/document.xml" ContentType="application/vnd.openxmlformats-officedocument.wordprocessingml.document.main+xml"/>
  <ns0:Override PartName="/word/fontTable.xml" ContentType="application/vnd.openxmlformats-officedocument.wordprocessingml.fontTable+xml"/>
  <ns0:Override PartName="/word/numbering.xml" ContentType="application/vnd.openxmlformats-officedocument.wordprocessingml.numbering+xml"/>
  <ns0:Override PartName="/word/settings.xml" ContentType="application/vnd.openxmlformats-officedocument.wordprocessingml.settings+xml"/>
  <ns0:Override PartName="/word/styles.xml" ContentType="application/vnd.openxmlformats-officedocument.wordprocessingml.styles+xml"/>
  <ns0:Override PartName="/word/stylesWithEffects.xml" ContentType="application/vnd.ms-word.stylesWithEffects+xml"/>
  <ns0:Override PartName="/word/theme/theme1.xml" ContentType="application/vnd.openxmlformats-officedocument.theme+xml"/>
  <ns0:Override PartName="/word/webSettings.xml" ContentType="application/vnd.openxmlformats-officedocument.wordprocessingml.webSettings+xml"/>
</ns0: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 w:line="240" w:lineRule="auto"/>
      </w:pPr>
      <w:r>
        <w:rPr>
          <w:rFonts w:ascii="Times New Roman" w:hAnsi="Times New Roman"/>
          <w:b/>
          <w:i w:val="0"/>
          <w:sz w:val="21"/>
        </w:rPr>
        <w:t>Supplementary Table 2. Urine-output data quality and AKI-definition concordance</w:t>
      </w:r>
    </w:p>
    <w:p>
      <w:pPr>
        <w:spacing w:before="100" w:after="40" w:line="240" w:lineRule="auto"/>
      </w:pPr>
      <w:r>
        <w:rPr>
          <w:rFonts w:ascii="Times New Roman" w:hAnsi="Times New Roman"/>
          <w:b/>
          <w:i w:val="0"/>
          <w:sz w:val="21"/>
        </w:rPr>
        <w:t>A. Urine-output observability and sparse-record audit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8" w:space="0" w:color="000000"/>
          <w:bottom w:val="single" w:sz="8" w:space="0" w:color="000000"/>
          <w:insideH w:val="nil" w:sz="0" w:space="0" w:color="FFFFFF"/>
          <w:insideV w:val="nil" w:sz="0" w:space="0" w:color="FFFFFF"/>
          <w:left w:val="nil" w:sz="0" w:space="0" w:color="FFFFFF"/>
          <w:right w:val="nil" w:sz="0" w:space="0" w:color="FFFFFF"/>
        </w:tblBorders>
      </w:tblPr>
      <w:tblGrid>
        <w:gridCol w:w="1818"/>
        <w:gridCol w:w="1818"/>
        <w:gridCol w:w="1818"/>
        <w:gridCol w:w="1818"/>
        <w:gridCol w:w="1818"/>
        <w:gridCol w:w="1818"/>
        <w:gridCol w:w="1818"/>
        <w:gridCol w:w="1818"/>
      </w:tblGrid>
      <w:tr>
        <w:trPr>
          <w:cantSplit/>
          <w:tblHeader w:val="true"/>
        </w:trPr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Database</w:t>
            </w:r>
          </w:p>
        </w:tc>
        <w:tc>
          <w:tcPr>
            <w:tcW w:type="dxa" w:w="151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First eligible stays, n</w:t>
            </w:r>
          </w:p>
        </w:tc>
        <w:tc>
          <w:tcPr>
            <w:tcW w:type="dxa" w:w="1655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Full KDIGO analyzable, n</w:t>
            </w:r>
          </w:p>
        </w:tc>
        <w:tc>
          <w:tcPr>
            <w:tcW w:type="dxa" w:w="1655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Primary Scr-AKI cohort, n</w:t>
            </w:r>
          </w:p>
        </w:tc>
        <w:tc>
          <w:tcPr>
            <w:tcW w:type="dxa" w:w="194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Urine output observable, n (%)</w:t>
            </w:r>
          </w:p>
        </w:tc>
        <w:tc>
          <w:tcPr>
            <w:tcW w:type="dxa" w:w="144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Urine-output AKI, n</w:t>
            </w:r>
          </w:p>
        </w:tc>
        <w:tc>
          <w:tcPr>
            <w:tcW w:type="dxa" w:w="151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Urine-output-only AKI, n</w:t>
            </w:r>
          </w:p>
        </w:tc>
        <w:tc>
          <w:tcPr>
            <w:tcW w:type="dxa" w:w="36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Sparse-record QC</w:t>
            </w:r>
          </w:p>
        </w:tc>
      </w:tr>
      <w:tr>
        <w:trPr>
          <w:cantSplit/>
        </w:trPr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MIMIC-IV</w:t>
            </w:r>
          </w:p>
        </w:tc>
        <w:tc>
          <w:tcPr>
            <w:tcW w:type="dxa" w:w="151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472</w:t>
            </w:r>
          </w:p>
        </w:tc>
        <w:tc>
          <w:tcPr>
            <w:tcW w:type="dxa" w:w="1655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455</w:t>
            </w:r>
          </w:p>
        </w:tc>
        <w:tc>
          <w:tcPr>
            <w:tcW w:type="dxa" w:w="1655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94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360 (93.0%)</w:t>
            </w:r>
          </w:p>
        </w:tc>
        <w:tc>
          <w:tcPr>
            <w:tcW w:type="dxa" w:w="144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140</w:t>
            </w:r>
          </w:p>
        </w:tc>
        <w:tc>
          <w:tcPr>
            <w:tcW w:type="dxa" w:w="151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104</w:t>
            </w:r>
          </w:p>
        </w:tc>
        <w:tc>
          <w:tcPr>
            <w:tcW w:type="dxa" w:w="36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</w:r>
          </w:p>
        </w:tc>
      </w:tr>
      <w:tr>
        <w:trPr>
          <w:cantSplit/>
        </w:trPr>
        <w:tc>
          <w:tcPr>
            <w:tcW w:type="dxa" w:w="12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eICU</w:t>
            </w:r>
          </w:p>
        </w:tc>
        <w:tc>
          <w:tcPr>
            <w:tcW w:type="dxa" w:w="151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606</w:t>
            </w:r>
          </w:p>
        </w:tc>
        <w:tc>
          <w:tcPr>
            <w:tcW w:type="dxa" w:w="1655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530</w:t>
            </w:r>
          </w:p>
        </w:tc>
        <w:tc>
          <w:tcPr>
            <w:tcW w:type="dxa" w:w="1655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325</w:t>
            </w:r>
          </w:p>
        </w:tc>
        <w:tc>
          <w:tcPr>
            <w:tcW w:type="dxa" w:w="194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213 (65.5%)</w:t>
            </w:r>
          </w:p>
        </w:tc>
        <w:tc>
          <w:tcPr>
            <w:tcW w:type="dxa" w:w="144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90</w:t>
            </w:r>
          </w:p>
        </w:tc>
        <w:tc>
          <w:tcPr>
            <w:tcW w:type="dxa" w:w="1512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75</w:t>
            </w:r>
          </w:p>
        </w:tc>
        <w:tc>
          <w:tcPr>
            <w:tcW w:type="dxa" w:w="36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14 sparse-only 6-h windows; 87 with max gap &gt;6 h; median max gap 360 min</w:t>
            </w:r>
          </w:p>
        </w:tc>
      </w:tr>
    </w:tbl>
    <w:p>
      <w:pPr>
        <w:spacing w:before="80" w:after="0" w:line="240" w:lineRule="auto"/>
      </w:pPr>
      <w:r>
        <w:rPr>
          <w:rFonts w:ascii="Times New Roman" w:hAnsi="Times New Roman"/>
          <w:b w:val="0"/>
          <w:i w:val="0"/>
          <w:sz w:val="18"/>
        </w:rPr>
        <w:t>Note. Panel A audits why serum creatinine AKI was used as the primary exposure. The raw urine-output flag is broad; sparse-record fields identify eICU urine-output AKI events potentially driven by isolated 6-hour windows or long measurement gaps.</w:t>
      </w:r>
    </w:p>
    <w:p>
      <w:pPr>
        <w:spacing w:before="100" w:after="40" w:line="240" w:lineRule="auto"/>
      </w:pPr>
      <w:r>
        <w:rPr>
          <w:rFonts w:ascii="Times New Roman" w:hAnsi="Times New Roman"/>
          <w:b/>
          <w:i w:val="0"/>
          <w:sz w:val="21"/>
        </w:rPr>
        <w:t>B. Concordance between serum creatinine AKI and full KDIGO AKI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8" w:space="0" w:color="000000"/>
          <w:bottom w:val="single" w:sz="8" w:space="0" w:color="000000"/>
          <w:insideH w:val="nil" w:sz="0" w:space="0" w:color="FFFFFF"/>
          <w:insideV w:val="nil" w:sz="0" w:space="0" w:color="FFFFFF"/>
          <w:left w:val="nil" w:sz="0" w:space="0" w:color="FFFFFF"/>
          <w:right w:val="nil" w:sz="0" w:space="0" w:color="FFFFFF"/>
        </w:tblBorders>
      </w:tblPr>
      <w:tblGrid>
        <w:gridCol w:w="1454"/>
        <w:gridCol w:w="1454"/>
        <w:gridCol w:w="1454"/>
        <w:gridCol w:w="1454"/>
        <w:gridCol w:w="1454"/>
        <w:gridCol w:w="1454"/>
        <w:gridCol w:w="1454"/>
        <w:gridCol w:w="1454"/>
        <w:gridCol w:w="1454"/>
        <w:gridCol w:w="1454"/>
      </w:tblGrid>
      <w:tr>
        <w:trPr>
          <w:cantSplit/>
          <w:tblHeader w:val="true"/>
        </w:trPr>
        <w:tc>
          <w:tcPr>
            <w:tcW w:type="dxa" w:w="1123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Stratum</w:t>
            </w:r>
          </w:p>
        </w:tc>
        <w:tc>
          <w:tcPr>
            <w:tcW w:type="dxa" w:w="1929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Subset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N</w:t>
            </w:r>
          </w:p>
        </w:tc>
        <w:tc>
          <w:tcPr>
            <w:tcW w:type="dxa" w:w="1036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Scr-AKI, n</w:t>
            </w:r>
          </w:p>
        </w:tc>
        <w:tc>
          <w:tcPr>
            <w:tcW w:type="dxa" w:w="13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Full KDIGO AKI, n</w:t>
            </w:r>
          </w:p>
        </w:tc>
        <w:tc>
          <w:tcPr>
            <w:tcW w:type="dxa" w:w="1007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Scr-only, n</w:t>
            </w:r>
          </w:p>
        </w:tc>
        <w:tc>
          <w:tcPr>
            <w:tcW w:type="dxa" w:w="1065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Full-only, n</w:t>
            </w:r>
          </w:p>
        </w:tc>
        <w:tc>
          <w:tcPr>
            <w:tcW w:type="dxa" w:w="1756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Scr-AKI among full KDIGO AKI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Full-only among full KDIGO AKI</w:t>
            </w:r>
          </w:p>
        </w:tc>
        <w:tc>
          <w:tcPr>
            <w:tcW w:type="dxa" w:w="1411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  <w:tcBorders>
              <w:bottom w:val="single" w:sz="6" w:space="0" w:color="000000"/>
            </w:tcBorders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/>
                <w:i w:val="0"/>
                <w:sz w:val="21"/>
              </w:rPr>
              <w:t>Both negative, n</w:t>
            </w:r>
          </w:p>
        </w:tc>
      </w:tr>
      <w:tr>
        <w:trPr>
          <w:cantSplit/>
        </w:trPr>
        <w:tc>
          <w:tcPr>
            <w:tcW w:type="dxa" w:w="1123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Pooled</w:t>
            </w:r>
          </w:p>
        </w:tc>
        <w:tc>
          <w:tcPr>
            <w:tcW w:type="dxa" w:w="1929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All main analyzable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712</w:t>
            </w:r>
          </w:p>
        </w:tc>
        <w:tc>
          <w:tcPr>
            <w:tcW w:type="dxa" w:w="1036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121</w:t>
            </w:r>
          </w:p>
        </w:tc>
        <w:tc>
          <w:tcPr>
            <w:tcW w:type="dxa" w:w="13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304</w:t>
            </w:r>
          </w:p>
        </w:tc>
        <w:tc>
          <w:tcPr>
            <w:tcW w:type="dxa" w:w="1007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</w:t>
            </w:r>
          </w:p>
        </w:tc>
        <w:tc>
          <w:tcPr>
            <w:tcW w:type="dxa" w:w="1065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183</w:t>
            </w:r>
          </w:p>
        </w:tc>
        <w:tc>
          <w:tcPr>
            <w:tcW w:type="dxa" w:w="1756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121/304 (39.8%)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183/304 (60.2%)</w:t>
            </w:r>
          </w:p>
        </w:tc>
        <w:tc>
          <w:tcPr>
            <w:tcW w:type="dxa" w:w="1411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408</w:t>
            </w:r>
          </w:p>
        </w:tc>
      </w:tr>
      <w:tr>
        <w:trPr>
          <w:cantSplit/>
        </w:trPr>
        <w:tc>
          <w:tcPr>
            <w:tcW w:type="dxa" w:w="1123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Pooled</w:t>
            </w:r>
          </w:p>
        </w:tc>
        <w:tc>
          <w:tcPr>
            <w:tcW w:type="dxa" w:w="1929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Urine output observable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573</w:t>
            </w:r>
          </w:p>
        </w:tc>
        <w:tc>
          <w:tcPr>
            <w:tcW w:type="dxa" w:w="1036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94</w:t>
            </w:r>
          </w:p>
        </w:tc>
        <w:tc>
          <w:tcPr>
            <w:tcW w:type="dxa" w:w="13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274</w:t>
            </w:r>
          </w:p>
        </w:tc>
        <w:tc>
          <w:tcPr>
            <w:tcW w:type="dxa" w:w="1007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</w:t>
            </w:r>
          </w:p>
        </w:tc>
        <w:tc>
          <w:tcPr>
            <w:tcW w:type="dxa" w:w="1065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180</w:t>
            </w:r>
          </w:p>
        </w:tc>
        <w:tc>
          <w:tcPr>
            <w:tcW w:type="dxa" w:w="1756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94/274 (34.3%)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180/274 (65.7%)</w:t>
            </w:r>
          </w:p>
        </w:tc>
        <w:tc>
          <w:tcPr>
            <w:tcW w:type="dxa" w:w="1411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299</w:t>
            </w:r>
          </w:p>
        </w:tc>
      </w:tr>
      <w:tr>
        <w:trPr>
          <w:cantSplit/>
        </w:trPr>
        <w:tc>
          <w:tcPr>
            <w:tcW w:type="dxa" w:w="1123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MIMIC-IV</w:t>
            </w:r>
          </w:p>
        </w:tc>
        <w:tc>
          <w:tcPr>
            <w:tcW w:type="dxa" w:w="1929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All main analyzable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387</w:t>
            </w:r>
          </w:p>
        </w:tc>
        <w:tc>
          <w:tcPr>
            <w:tcW w:type="dxa" w:w="1036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64</w:t>
            </w:r>
          </w:p>
        </w:tc>
        <w:tc>
          <w:tcPr>
            <w:tcW w:type="dxa" w:w="13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170</w:t>
            </w:r>
          </w:p>
        </w:tc>
        <w:tc>
          <w:tcPr>
            <w:tcW w:type="dxa" w:w="1007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</w:t>
            </w:r>
          </w:p>
        </w:tc>
        <w:tc>
          <w:tcPr>
            <w:tcW w:type="dxa" w:w="1065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106</w:t>
            </w:r>
          </w:p>
        </w:tc>
        <w:tc>
          <w:tcPr>
            <w:tcW w:type="dxa" w:w="1756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64/170 (37.6%)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106/170 (62.4%)</w:t>
            </w:r>
          </w:p>
        </w:tc>
        <w:tc>
          <w:tcPr>
            <w:tcW w:type="dxa" w:w="1411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217</w:t>
            </w:r>
          </w:p>
        </w:tc>
      </w:tr>
      <w:tr>
        <w:trPr>
          <w:cantSplit/>
        </w:trPr>
        <w:tc>
          <w:tcPr>
            <w:tcW w:type="dxa" w:w="1123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MIMIC-IV</w:t>
            </w:r>
          </w:p>
        </w:tc>
        <w:tc>
          <w:tcPr>
            <w:tcW w:type="dxa" w:w="1929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Urine output observable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360</w:t>
            </w:r>
          </w:p>
        </w:tc>
        <w:tc>
          <w:tcPr>
            <w:tcW w:type="dxa" w:w="1036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59</w:t>
            </w:r>
          </w:p>
        </w:tc>
        <w:tc>
          <w:tcPr>
            <w:tcW w:type="dxa" w:w="13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164</w:t>
            </w:r>
          </w:p>
        </w:tc>
        <w:tc>
          <w:tcPr>
            <w:tcW w:type="dxa" w:w="1007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</w:t>
            </w:r>
          </w:p>
        </w:tc>
        <w:tc>
          <w:tcPr>
            <w:tcW w:type="dxa" w:w="1065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105</w:t>
            </w:r>
          </w:p>
        </w:tc>
        <w:tc>
          <w:tcPr>
            <w:tcW w:type="dxa" w:w="1756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59/164 (36.0%)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105/164 (64.0%)</w:t>
            </w:r>
          </w:p>
        </w:tc>
        <w:tc>
          <w:tcPr>
            <w:tcW w:type="dxa" w:w="1411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196</w:t>
            </w:r>
          </w:p>
        </w:tc>
      </w:tr>
      <w:tr>
        <w:trPr>
          <w:cantSplit/>
        </w:trPr>
        <w:tc>
          <w:tcPr>
            <w:tcW w:type="dxa" w:w="1123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eICU</w:t>
            </w:r>
          </w:p>
        </w:tc>
        <w:tc>
          <w:tcPr>
            <w:tcW w:type="dxa" w:w="1929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All main analyzable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325</w:t>
            </w:r>
          </w:p>
        </w:tc>
        <w:tc>
          <w:tcPr>
            <w:tcW w:type="dxa" w:w="1036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57</w:t>
            </w:r>
          </w:p>
        </w:tc>
        <w:tc>
          <w:tcPr>
            <w:tcW w:type="dxa" w:w="13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134</w:t>
            </w:r>
          </w:p>
        </w:tc>
        <w:tc>
          <w:tcPr>
            <w:tcW w:type="dxa" w:w="1007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</w:t>
            </w:r>
          </w:p>
        </w:tc>
        <w:tc>
          <w:tcPr>
            <w:tcW w:type="dxa" w:w="1065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77</w:t>
            </w:r>
          </w:p>
        </w:tc>
        <w:tc>
          <w:tcPr>
            <w:tcW w:type="dxa" w:w="1756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57/134 (42.5%)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77/134 (57.5%)</w:t>
            </w:r>
          </w:p>
        </w:tc>
        <w:tc>
          <w:tcPr>
            <w:tcW w:type="dxa" w:w="1411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191</w:t>
            </w:r>
          </w:p>
        </w:tc>
      </w:tr>
      <w:tr>
        <w:trPr>
          <w:cantSplit/>
        </w:trPr>
        <w:tc>
          <w:tcPr>
            <w:tcW w:type="dxa" w:w="1123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eICU</w:t>
            </w:r>
          </w:p>
        </w:tc>
        <w:tc>
          <w:tcPr>
            <w:tcW w:type="dxa" w:w="1929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Urine output observable</w:t>
            </w:r>
          </w:p>
        </w:tc>
        <w:tc>
          <w:tcPr>
            <w:tcW w:type="dxa" w:w="648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213</w:t>
            </w:r>
          </w:p>
        </w:tc>
        <w:tc>
          <w:tcPr>
            <w:tcW w:type="dxa" w:w="1036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35</w:t>
            </w:r>
          </w:p>
        </w:tc>
        <w:tc>
          <w:tcPr>
            <w:tcW w:type="dxa" w:w="1324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110</w:t>
            </w:r>
          </w:p>
        </w:tc>
        <w:tc>
          <w:tcPr>
            <w:tcW w:type="dxa" w:w="1007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0</w:t>
            </w:r>
          </w:p>
        </w:tc>
        <w:tc>
          <w:tcPr>
            <w:tcW w:type="dxa" w:w="1065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75</w:t>
            </w:r>
          </w:p>
        </w:tc>
        <w:tc>
          <w:tcPr>
            <w:tcW w:type="dxa" w:w="1756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35/110 (31.8%)</w:t>
            </w:r>
          </w:p>
        </w:tc>
        <w:tc>
          <w:tcPr>
            <w:tcW w:type="dxa" w:w="1800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75/110 (68.2%)</w:t>
            </w:r>
          </w:p>
        </w:tc>
        <w:tc>
          <w:tcPr>
            <w:tcW w:type="dxa" w:w="1411"/>
            <w:tcMar>
              <w:top w:w="70" w:type="dxa"/>
              <w:start w:w="75" w:type="dxa"/>
              <w:bottom w:w="70" w:type="dxa"/>
              <w:end w:w="75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Times New Roman" w:hAnsi="Times New Roman"/>
                <w:b w:val="0"/>
                <w:i w:val="0"/>
                <w:sz w:val="21"/>
              </w:rPr>
              <w:t>103</w:t>
            </w:r>
          </w:p>
        </w:tc>
      </w:tr>
    </w:tbl>
    <w:p>
      <w:pPr>
        <w:spacing w:before="80" w:after="0" w:line="240" w:lineRule="auto"/>
      </w:pPr>
      <w:r>
        <w:rPr>
          <w:rFonts w:ascii="Times New Roman" w:hAnsi="Times New Roman"/>
          <w:b w:val="0"/>
          <w:i w:val="0"/>
          <w:sz w:val="18"/>
        </w:rPr>
        <w:t>Note. Full KDIGO AKI includes serum creatinine, urine-output, or timed RRT criteria. Serum creatinine AKI was nested within full KDIGO AKI in these extracts; therefore Scr-only counts were zero. Because this is a subset relationship rather than two independent parallel classifications, Cohen kappa was not reported.</w:t>
      </w:r>
    </w:p>
    <w:sectPr w:rsidR="00FC693F" w:rsidRPr="0006063C" w:rsidSect="00034616">
      <w:pgSz w:w="15840" w:h="12240" w:orient="landscape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