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60D4F" w14:textId="77777777" w:rsidR="00DB0492" w:rsidRDefault="00DB0492" w:rsidP="00DB0492">
      <w:pPr>
        <w:pStyle w:val="BodyText"/>
        <w:jc w:val="center"/>
        <w:rPr>
          <w:rFonts w:eastAsiaTheme="majorEastAsia"/>
          <w:b/>
          <w:color w:val="000000" w:themeColor="text1"/>
          <w:sz w:val="36"/>
          <w:szCs w:val="36"/>
        </w:rPr>
      </w:pPr>
      <w:r w:rsidRPr="000D5172">
        <w:rPr>
          <w:rFonts w:eastAsiaTheme="majorEastAsia"/>
          <w:b/>
          <w:color w:val="000000" w:themeColor="text1"/>
          <w:sz w:val="36"/>
          <w:szCs w:val="36"/>
        </w:rPr>
        <w:t>Decoupling must accelerate t</w:t>
      </w:r>
      <w:r>
        <w:rPr>
          <w:rFonts w:eastAsiaTheme="majorEastAsia"/>
          <w:b/>
          <w:color w:val="000000" w:themeColor="text1"/>
          <w:sz w:val="36"/>
          <w:szCs w:val="36"/>
        </w:rPr>
        <w:t>hree</w:t>
      </w:r>
      <w:r w:rsidRPr="000D5172">
        <w:rPr>
          <w:rFonts w:eastAsiaTheme="majorEastAsia"/>
          <w:b/>
          <w:color w:val="000000" w:themeColor="text1"/>
          <w:sz w:val="36"/>
          <w:szCs w:val="36"/>
        </w:rPr>
        <w:t xml:space="preserve">fold to align national </w:t>
      </w:r>
      <w:r>
        <w:rPr>
          <w:rFonts w:eastAsiaTheme="majorEastAsia"/>
          <w:b/>
          <w:color w:val="000000" w:themeColor="text1"/>
          <w:sz w:val="36"/>
          <w:szCs w:val="36"/>
        </w:rPr>
        <w:t xml:space="preserve">environmental </w:t>
      </w:r>
      <w:r w:rsidRPr="000D5172">
        <w:rPr>
          <w:rFonts w:eastAsiaTheme="majorEastAsia"/>
          <w:b/>
          <w:color w:val="000000" w:themeColor="text1"/>
          <w:sz w:val="36"/>
          <w:szCs w:val="36"/>
        </w:rPr>
        <w:t>footprints with planetary boundaries</w:t>
      </w:r>
    </w:p>
    <w:p w14:paraId="3C031DEB" w14:textId="3E3CD573" w:rsidR="005000BE" w:rsidRDefault="004C5331" w:rsidP="0041436F">
      <w:pPr>
        <w:pStyle w:val="Heading1"/>
        <w:rPr>
          <w:rFonts w:ascii="Calibri" w:eastAsia="Calibri" w:hAnsi="Calibri" w:cs="Calibri"/>
          <w:sz w:val="21"/>
          <w:szCs w:val="21"/>
        </w:rPr>
      </w:pPr>
      <w:r>
        <w:t>Supporting Information</w:t>
      </w:r>
    </w:p>
    <w:p w14:paraId="658CC4E1" w14:textId="6A23635C" w:rsidR="00CB57A3" w:rsidRDefault="00AF53F0" w:rsidP="0041436F">
      <w:pPr>
        <w:pStyle w:val="Heading2"/>
        <w:rPr>
          <w:lang w:val="en-US"/>
        </w:rPr>
      </w:pPr>
      <w:bookmarkStart w:id="0" w:name="X1e907cde37ac2f76391da75b4cae3768ba43a0b"/>
      <w:r>
        <w:t>SI</w:t>
      </w:r>
      <w:r w:rsidR="0066734B">
        <w:t xml:space="preserve"> </w:t>
      </w:r>
      <w:r>
        <w:t xml:space="preserve">1: </w:t>
      </w:r>
      <w:r w:rsidR="00CB57A3" w:rsidRPr="0041436F">
        <w:t>Allocation</w:t>
      </w:r>
      <w:r w:rsidR="00CB57A3">
        <w:rPr>
          <w:lang w:val="en-US"/>
        </w:rPr>
        <w:t xml:space="preserve"> of agricultural land use footprints on potential forest </w:t>
      </w:r>
    </w:p>
    <w:p w14:paraId="49D324AB" w14:textId="5FE5629C" w:rsidR="00CB57A3" w:rsidRPr="00BB66BA" w:rsidRDefault="00EA7C42" w:rsidP="00AF53F0">
      <w:pPr>
        <w:pStyle w:val="Heading3"/>
      </w:pPr>
      <w:r>
        <w:t>Input d</w:t>
      </w:r>
      <w:r w:rsidR="00CB57A3" w:rsidRPr="00BB66BA">
        <w:t xml:space="preserve">atasets </w:t>
      </w:r>
    </w:p>
    <w:p w14:paraId="44329621" w14:textId="77777777" w:rsidR="00CB57A3" w:rsidRPr="00AF53F0" w:rsidRDefault="00CB57A3" w:rsidP="00AF53F0">
      <w:pPr>
        <w:pStyle w:val="Heading4"/>
      </w:pPr>
      <w:r w:rsidRPr="00AF53F0">
        <w:t>Potential forest</w:t>
      </w:r>
    </w:p>
    <w:p w14:paraId="63B639F1" w14:textId="32DA3FFA" w:rsidR="00CB57A3" w:rsidRDefault="00CB57A3" w:rsidP="00CB57A3">
      <w:pPr>
        <w:rPr>
          <w:lang w:val="en-US"/>
        </w:rPr>
      </w:pPr>
      <w:r>
        <w:rPr>
          <w:lang w:val="en-US"/>
        </w:rPr>
        <w:t xml:space="preserve">Potential natural vegetation (PNV) represents the vegetation cover expected under equilibrium conditions in the absence of human influence </w:t>
      </w:r>
      <w:r>
        <w:rPr>
          <w:lang w:val="en-US"/>
        </w:rPr>
        <w:fldChar w:fldCharType="begin" w:fldLock="1"/>
      </w:r>
      <w:r w:rsidR="00C75B8B">
        <w:rPr>
          <w:lang w:val="en-US"/>
        </w:rPr>
        <w:instrText xml:space="preserve"> ADDIN ZOTERO_ITEM CSL_CITATION {"citationID":"1fChXA1T","properties":{"formattedCitation":"\\super 1\\nosupersub{}","plainCitation":"1","noteIndex":0},"citationItems":[{"id":"T1bcmtmL/qRk0DL8z","uris":["http://www.mendeley.com/documents/?uuid=ef55f879-ecd7-4055-a63c-94561f40dff5"],"itemData":{"DOI":"10.7717/peerj.5457","ISSN":"21678359","abstract":"Potential natural vegetation (PNV) is the vegetation cover in equilibrium with climate, that would exist at a given location if not impacted by human activities. PNV is useful for raising public awareness about land degradation and for estimating land potential. This paper presents results of assessing machine learning algorithms-neural networks (nnet package), random forest (ranger), gradient boosting (gbm), K-nearest neighborhood (class) and Cubist-for operational mapping of PNV. Three case studies were considered: (1) global distribution of biomes based on the BIOME 6000 data set (8,057 modern pollen-based site reconstructions), (2) distribution of forest tree taxa in Europe based on detailed occurrence records (1,546,435 ground observations), and (3) global monthly fraction of absorbed photosynthetically active radiation (FAPAR) values (30,301 randomly-sampled points). A stack of 160 global maps representing biophysical conditions over land, including atmospheric, climatic, relief, and lithologic variables, were used as explanatory variables. The overall results indicate that random forest gives the overall best performance. The highest accuracy for predicting BIOME 6000 classes (20) was estimated to be between 33% (with spatial cross-validation) and 68% (simple random sub-setting), with the most important predictors being total annual precipitation, monthly temperatures, and bioclimatic layers. Predicting forest tree species (73) resulted in mapping accuracy of 25%, with the most important predictors being monthly cloud fraction, mean annual and monthly temperatures, and elevation. Regression models for FAPAR (monthly images) gave an R-square of 90% with the most important predictors being total annual precipitation, monthly cloud fraction, CHELSA bioclimatic layers, and month of the year, respectively. Further developments of PNV mapping could include using all GBIF records to map the global distribution of plant species at different taxonomic levels. This methodology could also be extended to dynamic modeling of PNV, so that future climate scenarios can be incorporated. Global maps of biomes, FAPAR and tree species at one km spatial resolution are available for download via http://dx.doi.org/10.7910/DVN/QQHCIK.","author":[{"dropping-particle":"","family":"Hengl","given":"Tomislav","non-dropping-particle":"","parse-names":false,"suffix":""},{"dropping-particle":"","family":"Walsh","given":"Markus G.","non-dropping-particle":"","parse-names":false,"suffix":""},{"dropping-particle":"","family":"Sanderman","given":"Jonathan","non-dropping-particle":"","parse-names":false,"suffix":""},{"dropping-particle":"","family":"Wheeler","given":"Ichsani","non-dropping-particle":"","parse-names":false,"suffix":""},{"dropping-particle":"","family":"Harrison","given":"Sandy P.","non-dropping-particle":"","parse-names":false,"suffix":""},{"dropping-particle":"","family":"Prentice","given":"Iain C.","non-dropping-particle":"","parse-names":false,"suffix":""}],"container-title":"PeerJ","id":"ITEM-1","issue":"8","issued":{"date-parts":[["2018"]]},"page":"1-36","title":"Global mapping of potential natural vegetation: An assessment of machine learning algorithms for estimating land potential","type":"article-journal","volume":"2018"}}],"schema":"https://github.com/citation-style-language/schema/raw/master/csl-citation.json"} </w:instrText>
      </w:r>
      <w:r>
        <w:rPr>
          <w:lang w:val="en-US"/>
        </w:rPr>
        <w:fldChar w:fldCharType="separate"/>
      </w:r>
      <w:r w:rsidR="00C75B8B" w:rsidRPr="00C75B8B">
        <w:rPr>
          <w:vertAlign w:val="superscript"/>
        </w:rPr>
        <w:t>1</w:t>
      </w:r>
      <w:r>
        <w:rPr>
          <w:lang w:val="en-US"/>
        </w:rPr>
        <w:fldChar w:fldCharType="end"/>
      </w:r>
      <w:r>
        <w:rPr>
          <w:lang w:val="en-US"/>
        </w:rPr>
        <w:t xml:space="preserve">. Taking this as a baseline, agricultural land uses (including cropland and grazing pasture), can be interpreted as occupying areas where forest ecosystems could otherwise have existed. Therefore, assessing the footprints of agricultural land use appropriate to potential forest is relevant to land system and biosphere integrity changes. It quantifies how food production systems occupy land that should support ecological maintenance. Potential forest layers are derived from the PNV dataset by extracting areas corresponding to </w:t>
      </w:r>
      <w:r w:rsidRPr="00692E9A">
        <w:rPr>
          <w:i/>
          <w:iCs/>
          <w:lang w:val="en-US"/>
        </w:rPr>
        <w:t>boreal, temperate, and tropical forest</w:t>
      </w:r>
      <w:r>
        <w:rPr>
          <w:lang w:val="en-US"/>
        </w:rPr>
        <w:t xml:space="preserve"> biomes at ~1 km resolution. It indicates probability that a given area (pixel) would be occupied by a certain forest type. </w:t>
      </w:r>
    </w:p>
    <w:p w14:paraId="60D9B71A" w14:textId="1261688D" w:rsidR="00CB57A3" w:rsidRDefault="00CB57A3" w:rsidP="00AF53F0">
      <w:pPr>
        <w:pStyle w:val="Heading4"/>
      </w:pPr>
      <w:r w:rsidRPr="00F768ED">
        <w:t>HILDA</w:t>
      </w:r>
      <w:r>
        <w:t xml:space="preserve">+ Land use </w:t>
      </w:r>
    </w:p>
    <w:p w14:paraId="1B525782" w14:textId="00BEAD39" w:rsidR="00CB57A3" w:rsidRDefault="00CB57A3" w:rsidP="00CB57A3">
      <w:r w:rsidRPr="00E446A5">
        <w:t>Historic Land Dynamics Assessment (HILDA+, ~0.01°)</w:t>
      </w:r>
      <w:r>
        <w:t xml:space="preserve"> is a long-term dataset on land global land use (1960</w:t>
      </w:r>
      <w:r w:rsidR="001970BD">
        <w:t>-</w:t>
      </w:r>
      <w:r>
        <w:t xml:space="preserve">2019) constructed based upon the harmonization of remote sensing, historical land use reconstruction, and statistics to generate authentic land use maps aligned with the definitions of FAO categories. It also separates natural and grazing pastures, which is appropriate for impact assessment of livestock sectors. </w:t>
      </w:r>
    </w:p>
    <w:p w14:paraId="40F3E1C1" w14:textId="77777777" w:rsidR="00CB57A3" w:rsidRDefault="00CB57A3" w:rsidP="00AF53F0">
      <w:pPr>
        <w:pStyle w:val="Heading4"/>
      </w:pPr>
      <w:r>
        <w:t xml:space="preserve">Time series of Crops and Livestock distribution  </w:t>
      </w:r>
    </w:p>
    <w:p w14:paraId="6728868C" w14:textId="09204439" w:rsidR="00CB57A3" w:rsidRDefault="00CB57A3" w:rsidP="00CB57A3">
      <w:pPr>
        <w:rPr>
          <w:lang w:val="en-US"/>
        </w:rPr>
      </w:pPr>
      <w:r>
        <w:t>Spatial distribution datasets for crops and livestock provide information for attributing land use impacts of cropland and grazing pasture to specific crop and livestock categories. Spatial Production Allocation Model (SPAM) and Gridded Livestock of the World (GLW) datasets present spatial patterns of more than 40 crops and 5 grazing-relied animals, respectively. Yet, their temporal coverage is limited, with data available for only three years (2010, 2015, and 2020) at an approximate spatial resolution of 10 km. A seamless annual time series of both SPAM and GLW dataset for the period 2000</w:t>
      </w:r>
      <w:r w:rsidR="001970BD">
        <w:t>-</w:t>
      </w:r>
      <w:r>
        <w:t>2020 was generated by combining original spatial patterns with FAOSTAT statistics, as presented by Nguyen et al.</w:t>
      </w:r>
      <w:r w:rsidR="00312AA5">
        <w:fldChar w:fldCharType="begin"/>
      </w:r>
      <w:r w:rsidR="00312AA5">
        <w:instrText xml:space="preserve"> ADDIN ZOTERO_ITEM CSL_CITATION {"citationID":"13Jk5Nhv","properties":{"unsorted":false,"formattedCitation":"\\super 2\\nosupersub{}","plainCitation":"2","noteIndex":0},"citationItems":[{"id":17306,"uris":["http://zotero.org/users/1337054/items/5KRUC2B8"],"itemData":{"id":17306,"type":"article-journal","abstract":"Global biodiversity is rapidly declining, primarily due to agricultural production driven by both domestic and transboundary consumption. This study addresses the challenges posed by inconsistent spatiotemporal biodiversity data by developing a time series of biodiversity loss footprints based on Biodiversity Intactness Index (BII). Numerous land use, land cover, and auxiliary datasets were integrated to produce a consistent time series of high-resolution harmonized land use (HHLU) maps. These maps were utilized to quantify spatial BII using linear-mixed effect models. Biodiversity intactness loss (BII footprint) was subsequently attributed to specific crops and livestock commodities. This study provides comprehensive global datasets, including HHLU and BII maps, and synthesized BII footprints across 14 biomes, 193 countries and territories, 154 crop items, and 9 livestock categories from 2000 to 2020. These datasets facilitate spatiotemporal analyses to identify trends and patterns in global biodiversity integrity and biodiversity footprints, thereby elucidating the ecological trade-offs embedded in international trade. These insights can encourage appropriate interventions to transform consumption patterns and supply chains toward the effective conservation of global biodiversity.","container-title":"Scientific Data","DOI":"10.1038/s41597-025-05901-0","ISSN":"2052-4463","issue":"1","journalAbbreviation":"Sci Data","language":"en","license":"2025 The Author(s)","page":"1613","publisher":"Nature Publishing Group","source":"www.nature.com","title":"Consistent global dataset on biodiversity intactness footprint of agricultural production from 2000 to 2020","volume":"12","author":[{"family":"Nguyen","given":"Can Trong"},{"family":"Vačkářová","given":"Davina"},{"family":"Weinzettel","given":"Jan"}],"issued":{"date-parts":[["2025",10,2]]}}}],"schema":"https://github.com/citation-style-language/schema/raw/master/csl-citation.json"} </w:instrText>
      </w:r>
      <w:r w:rsidR="00312AA5">
        <w:fldChar w:fldCharType="separate"/>
      </w:r>
      <w:r w:rsidR="00312AA5" w:rsidRPr="00312AA5">
        <w:rPr>
          <w:vertAlign w:val="superscript"/>
        </w:rPr>
        <w:t>2</w:t>
      </w:r>
      <w:r w:rsidR="00312AA5">
        <w:fldChar w:fldCharType="end"/>
      </w:r>
      <w:r>
        <w:rPr>
          <w:lang w:val="en-US"/>
        </w:rPr>
        <w:t xml:space="preserve"> </w:t>
      </w:r>
    </w:p>
    <w:p w14:paraId="18BE961C" w14:textId="77777777" w:rsidR="00CB57A3" w:rsidRPr="00043F1B" w:rsidRDefault="00CB57A3" w:rsidP="00AF53F0">
      <w:pPr>
        <w:pStyle w:val="Heading3"/>
      </w:pPr>
      <w:r>
        <w:t xml:space="preserve">Allocating agricultural land use impacts on potential forests </w:t>
      </w:r>
    </w:p>
    <w:p w14:paraId="2CAEE269" w14:textId="77777777" w:rsidR="0010694F" w:rsidRDefault="00CB57A3" w:rsidP="0010694F">
      <w:pPr>
        <w:widowControl w:val="0"/>
        <w:autoSpaceDE w:val="0"/>
        <w:autoSpaceDN w:val="0"/>
        <w:adjustRightInd w:val="0"/>
      </w:pPr>
      <w:r>
        <w:t>We first estimate overall impacts of cropland and grazing pasture on potential forests. It is quantified as the total area of potential forest appropriated by cropland/pasture layer extracted from HILDA+ land use dataset (Eq. 1).</w:t>
      </w:r>
    </w:p>
    <w:p w14:paraId="7DB17418" w14:textId="7B169714" w:rsidR="00CB57A3" w:rsidRPr="0010694F" w:rsidRDefault="00483A3B" w:rsidP="0010694F">
      <w:pPr>
        <w:widowControl w:val="0"/>
        <w:autoSpaceDE w:val="0"/>
        <w:autoSpaceDN w:val="0"/>
        <w:adjustRightInd w:val="0"/>
        <w:jc w:val="center"/>
      </w:pPr>
      <m:oMath>
        <m:sSub>
          <m:sSubPr>
            <m:ctrlPr>
              <w:rPr>
                <w:rFonts w:ascii="Cambria Math" w:hAnsi="Cambria Math"/>
                <w:i/>
              </w:rPr>
            </m:ctrlPr>
          </m:sSubPr>
          <m:e>
            <m:r>
              <w:rPr>
                <w:rFonts w:ascii="Cambria Math" w:hAnsi="Cambria Math"/>
              </w:rPr>
              <m:t>A</m:t>
            </m:r>
          </m:e>
          <m:sub>
            <m:r>
              <w:rPr>
                <w:rFonts w:ascii="Cambria Math" w:hAnsi="Cambria Math"/>
              </w:rPr>
              <m:t>lu(i,j)</m:t>
            </m:r>
          </m:sub>
        </m:sSub>
        <m:r>
          <w:rPr>
            <w:rFonts w:ascii="Cambria Math" w:hAnsi="Cambria Math"/>
          </w:rPr>
          <m:t>=</m:t>
        </m:r>
        <m:sSub>
          <m:sSubPr>
            <m:ctrlPr>
              <w:rPr>
                <w:rFonts w:ascii="Cambria Math" w:hAnsi="Cambria Math"/>
                <w:i/>
              </w:rPr>
            </m:ctrlPr>
          </m:sSubPr>
          <m:e>
            <m:r>
              <w:rPr>
                <w:rFonts w:ascii="Cambria Math" w:hAnsi="Cambria Math"/>
              </w:rPr>
              <m:t>PF</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LU</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(i,j)</m:t>
            </m:r>
          </m:sub>
        </m:sSub>
      </m:oMath>
      <w:r w:rsidR="00CB57A3">
        <w:rPr>
          <w:rFonts w:eastAsiaTheme="minorEastAsia"/>
        </w:rPr>
        <w:tab/>
      </w:r>
      <w:r w:rsidR="00CB57A3">
        <w:rPr>
          <w:rFonts w:eastAsiaTheme="minorEastAsia"/>
        </w:rPr>
        <w:tab/>
        <w:t>(1)</w:t>
      </w:r>
    </w:p>
    <w:p w14:paraId="1BBFC59E" w14:textId="77777777" w:rsidR="00CB57A3" w:rsidRDefault="00CB57A3" w:rsidP="00CB57A3">
      <w:pPr>
        <w:widowControl w:val="0"/>
        <w:autoSpaceDE w:val="0"/>
        <w:autoSpaceDN w:val="0"/>
        <w:adjustRightInd w:val="0"/>
      </w:pPr>
      <w:r>
        <w:rPr>
          <w:rFonts w:eastAsiaTheme="minorEastAsia"/>
        </w:rPr>
        <w:t>where Alu(i,j) is total area at pixel (i,j) appropriated by LU (cropland or pasture, 0/1) weighted by the probability of potential forest (PF), relative to the total pixel area a(i,j).</w:t>
      </w:r>
    </w:p>
    <w:p w14:paraId="270CEC7B" w14:textId="3C2A1E0F" w:rsidR="00CB57A3" w:rsidRDefault="00CB57A3" w:rsidP="00CB57A3">
      <w:pPr>
        <w:widowControl w:val="0"/>
        <w:autoSpaceDE w:val="0"/>
        <w:autoSpaceDN w:val="0"/>
        <w:adjustRightInd w:val="0"/>
      </w:pPr>
      <w:r>
        <w:lastRenderedPageBreak/>
        <w:t xml:space="preserve">The overall impact was then allocated to each crop or livestock item by incorporating with SPAM and GLW datasets. The impact from cropland is directly allocated each crop item based on their shared proportion of physical area (Eq. 2). The allocation of pasture impact to livestock categories is not done through headcounts but the dry matter intake (DMI) by each animal group (Eq. 2). A more specific method to estimate DMI for each animal group based on GLW is presented in </w:t>
      </w:r>
      <w:r w:rsidRPr="00312AA5">
        <w:t>Nguyen et al</w:t>
      </w:r>
      <w:r w:rsidR="00C75B8B" w:rsidRPr="00312AA5">
        <w:t>.</w:t>
      </w:r>
      <w:r w:rsidR="00C75B8B" w:rsidRPr="00312AA5">
        <w:rPr>
          <w:vertAlign w:val="superscript"/>
        </w:rPr>
        <w:fldChar w:fldCharType="begin"/>
      </w:r>
      <w:r w:rsidR="00312AA5">
        <w:rPr>
          <w:vertAlign w:val="superscript"/>
        </w:rPr>
        <w:instrText xml:space="preserve"> ADDIN ZOTERO_ITEM CSL_CITATION {"citationID":"iyJ964J9","properties":{"unsorted":false,"formattedCitation":"\\super 2\\nosupersub{}","plainCitation":"2","noteIndex":0},"citationItems":[{"id":17306,"uris":["http://zotero.org/users/1337054/items/5KRUC2B8"],"itemData":{"id":17306,"type":"article-journal","abstract":"Global biodiversity is rapidly declining, primarily due to agricultural production driven by both domestic and transboundary consumption. This study addresses the challenges posed by inconsistent spatiotemporal biodiversity data by developing a time series of biodiversity loss footprints based on Biodiversity Intactness Index (BII). Numerous land use, land cover, and auxiliary datasets were integrated to produce a consistent time series of high-resolution harmonized land use (HHLU) maps. These maps were utilized to quantify spatial BII using linear-mixed effect models. Biodiversity intactness loss (BII footprint) was subsequently attributed to specific crops and livestock commodities. This study provides comprehensive global datasets, including HHLU and BII maps, and synthesized BII footprints across 14 biomes, 193 countries and territories, 154 crop items, and 9 livestock categories from 2000 to 2020. These datasets facilitate spatiotemporal analyses to identify trends and patterns in global biodiversity integrity and biodiversity footprints, thereby elucidating the ecological trade-offs embedded in international trade. These insights can encourage appropriate interventions to transform consumption patterns and supply chains toward the effective conservation of global biodiversity.","container-title":"Scientific Data","DOI":"10.1038/s41597-025-05901-0","ISSN":"2052-4463","issue":"1","journalAbbreviation":"Sci Data","language":"en","license":"2025 The Author(s)","page":"1613","publisher":"Nature Publishing Group","source":"www.nature.com","title":"Consistent global dataset on biodiversity intactness footprint of agricultural production from 2000 to 2020","volume":"12","author":[{"family":"Nguyen","given":"Can Trong"},{"family":"Vačkářová","given":"Davina"},{"family":"Weinzettel","given":"Jan"}],"issued":{"date-parts":[["2025",10,2]]}}}],"schema":"https://github.com/citation-style-language/schema/raw/master/csl-citation.json"} </w:instrText>
      </w:r>
      <w:r w:rsidR="00C75B8B" w:rsidRPr="00312AA5">
        <w:rPr>
          <w:vertAlign w:val="superscript"/>
        </w:rPr>
        <w:fldChar w:fldCharType="separate"/>
      </w:r>
      <w:r w:rsidR="00312AA5" w:rsidRPr="00312AA5">
        <w:rPr>
          <w:vertAlign w:val="superscript"/>
        </w:rPr>
        <w:t>2</w:t>
      </w:r>
      <w:r w:rsidR="00C75B8B" w:rsidRPr="00312AA5">
        <w:rPr>
          <w:vertAlign w:val="superscript"/>
        </w:rPr>
        <w:fldChar w:fldCharType="end"/>
      </w:r>
      <w:r w:rsidRPr="00312AA5">
        <w:t>.</w:t>
      </w:r>
    </w:p>
    <w:p w14:paraId="35D8F95C" w14:textId="77777777" w:rsidR="00CB57A3" w:rsidRDefault="00483A3B" w:rsidP="0010694F">
      <w:pPr>
        <w:widowControl w:val="0"/>
        <w:autoSpaceDE w:val="0"/>
        <w:autoSpaceDN w:val="0"/>
        <w:adjustRightInd w:val="0"/>
        <w:jc w:val="center"/>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x(i,j)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lu(i,j)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x(i,j)</m:t>
            </m:r>
          </m:sub>
        </m:sSub>
      </m:oMath>
      <w:r w:rsidR="00CB57A3">
        <w:rPr>
          <w:rFonts w:eastAsiaTheme="minorEastAsia"/>
        </w:rPr>
        <w:tab/>
      </w:r>
      <w:r w:rsidR="00CB57A3">
        <w:rPr>
          <w:rFonts w:eastAsiaTheme="minorEastAsia"/>
        </w:rPr>
        <w:tab/>
      </w:r>
      <w:r w:rsidR="00CB57A3">
        <w:rPr>
          <w:rFonts w:eastAsiaTheme="minorEastAsia"/>
        </w:rPr>
        <w:tab/>
        <w:t>(2)</w:t>
      </w:r>
    </w:p>
    <w:p w14:paraId="5FE30D9F" w14:textId="77777777" w:rsidR="00CB57A3" w:rsidRDefault="00CB57A3" w:rsidP="00CB57A3">
      <w:pPr>
        <w:widowControl w:val="0"/>
        <w:autoSpaceDE w:val="0"/>
        <w:autoSpaceDN w:val="0"/>
        <w:adjustRightInd w:val="0"/>
        <w:rPr>
          <w:rFonts w:eastAsiaTheme="minorEastAsia"/>
        </w:rPr>
      </w:pPr>
      <w:r>
        <w:rPr>
          <w:rFonts w:eastAsiaTheme="minorEastAsia"/>
        </w:rPr>
        <w:t xml:space="preserve">where Ax(i,j) is total impacts of cropland/pasture appropriated by crop/animal x at pixel (i,j), and Px(i,j) is the share proportion of physical area (or DMI) of crop/animal x relative to the total area (or total DMI) occupied by all other items and itself. </w:t>
      </w:r>
    </w:p>
    <w:p w14:paraId="248E6661" w14:textId="77777777" w:rsidR="00CB57A3" w:rsidRDefault="00CB57A3" w:rsidP="00CB57A3">
      <w:pPr>
        <w:widowControl w:val="0"/>
        <w:autoSpaceDE w:val="0"/>
        <w:autoSpaceDN w:val="0"/>
        <w:adjustRightInd w:val="0"/>
        <w:rPr>
          <w:rFonts w:eastAsiaTheme="minorEastAsia"/>
        </w:rPr>
      </w:pPr>
      <w:r>
        <w:rPr>
          <w:rFonts w:eastAsiaTheme="minorEastAsia"/>
        </w:rPr>
        <w:t xml:space="preserve">The spatial impacts for each crop (42/46) and animal (9) items were aggregated to the national level. Subsequently, these national impacts were transformed into relevant original sectors in Exiobase using a concordance matrix for MRIO analysis. </w:t>
      </w:r>
    </w:p>
    <w:p w14:paraId="6F75901D" w14:textId="706BD038" w:rsidR="00CB57A3" w:rsidRDefault="00CB57A3" w:rsidP="00B661DC">
      <w:pPr>
        <w:pStyle w:val="Heading4"/>
      </w:pPr>
      <w:bookmarkStart w:id="1" w:name="_Toc219371634"/>
      <w:r w:rsidRPr="00621907">
        <w:t>Technical</w:t>
      </w:r>
      <w:r w:rsidRPr="004E3742">
        <w:t xml:space="preserve"> procedure to generate annual time series of dry matter intake for livestock groups</w:t>
      </w:r>
      <w:bookmarkEnd w:id="1"/>
    </w:p>
    <w:p w14:paraId="0C269C01" w14:textId="352E65C5" w:rsidR="00CB57A3" w:rsidRDefault="00CB57A3" w:rsidP="00CB57A3">
      <w:r>
        <w:t xml:space="preserve">Time series of dry matter intake for specific livestock groups was generated by combining time series of Gridded livestock of the world (GLW) </w:t>
      </w:r>
      <w:r w:rsidRPr="000B7351">
        <w:fldChar w:fldCharType="begin" w:fldLock="1"/>
      </w:r>
      <w:r w:rsidR="00312AA5">
        <w:instrText xml:space="preserve"> ADDIN ZOTERO_ITEM CSL_CITATION {"citationID":"IBxU5HHj","properties":{"formattedCitation":"\\super 3\\uc0\\u8211{}5\\nosupersub{}","plainCitation":"3–5","noteIndex":0},"citationItems":[{"id":"T1bcmtmL/0d8fURYs","uris":["http://www.mendeley.com/documents/?uuid=fe962f22-94a8-4c29-bb0a-2bcb4277cb61"],"itemData":{"DOI":"10.1038/sdata.2018.227","ISSN":"20524463","PMID":"30375994","abstract":"Global data sets on the geographic distribution of livestock are essential for diverse applications in agricultural socio-economics, food security, environmental impact assessment and epidemiology. We present a new version of the Gridded Livestock of the World (GLW 3) database, reflecting the most recently compiled and harmonized subnational livestock distribution data for 2010. GLW 3 provides global population densities of cattle, buffaloes, horses, sheep, goats, pigs, chickens and ducks in each land pixel at a spatial resolution of 0.083333 decimal degrees (approximately 10 km at the equator). They are accompanied by detailed metadata on the year, spatial resolution and source of the input census data. Two versions of each species distribution are produced. In the first version, livestock numbers are disaggregated within census polygons according to weights established by statistical models using high resolution spatial covariates (dasymetric weighting). In the second version, animal numbers are distributed homogeneously with equal densities within their census polygons (areal weighting) to provide spatial data layers free of any assumptions linking them to other spatial variables.","author":[{"dropping-particle":"","family":"Gilbert","given":"Marius","non-dropping-particle":"","parse-names":false,"suffix":""},{"dropping-particle":"","family":"Nicolas","given":"Gaëlle","non-dropping-particle":"","parse-names":false,"suffix":""},{"dropping-particle":"","family":"Cinardi","given":"Giusepina","non-dropping-particle":"","parse-names":false,"suffix":""},{"dropping-particle":"","family":"Boeckel","given":"Thomas P.","non-dropping-particle":"Van","parse-names":false,"suffix":""},{"dropping-particle":"","family":"Vanwambeke","given":"Sophie O.","non-dropping-particle":"","parse-names":false,"suffix":""},{"dropping-particle":"","family":"Wint","given":"G. R.William","non-dropping-particle":"","parse-names":false,"suffix":""},{"dropping-particle":"","family":"Robinson","given":"Timothy P.","non-dropping-particle":"","parse-names":false,"suffix":""}],"container-title":"Scientific Data","id":"ITEM-1","issued":{"date-parts":[["2018"]]},"page":"1-11","publisher":"The Author(s)","title":"Global distribution data for cattle, buffaloes, horses, sheep, goats, pigs, chickens and ducks in 2010","type":"article-journal","volume":"5"}},{"id":"T1bcmtmL/NwoQPh5n","uris":["http://www.mendeley.com/documents/?uuid=59cf54f9-5832-4053-9c8f-b7f6b453f5ba"],"itemData":{"DOI":"10.1038/s41597-025-05901-0","abstract":"Global biodiversity is rapidly declining, primarily due to agricultural production driven by both domestic and transboundary consumption. This study addresses the challenges posed by inconsistent spatiotemporal biodiversity data by developing a time series of biodiversity loss footprints based on Biodiversity Intactness Index (BII). Numerous land use, land cover, and auxiliary datasets were integrated to produce a consistent time series of high-resolution harmonized land use (HHLU) maps. These maps were utilized to quantify spatial BII using linear-mixed effect models. Biodiversity intactness loss (BII footprint) was subsequently attributed to specific crops and livestock commodities. This study provides comprehensive global datasets, including HHLU and BII maps, and synthesized BII footprints across 14 biomes, 193 countries and territories, 154 crop items, and 9 livestock categories from 2000 to 2020. These spatial datasets facilitate spatiotemporal analyses to identify trends and patterns in global biodiversity integrity and biodiversity footprints, thereby elucidating the ecological trade-offs embedded in international trade. These insights can encourage appropriate interventions to transform consumption patterns and supply chains toward the effective conservation of global biodiversity.","author":[{"dropping-particle":"","family":"Nguyen","given":"Can Trong","non-dropping-particle":"","parse-names":false,"suffix":""},{"dropping-particle":"","family":"Vačkářová","given":"Davina","non-dropping-particle":"","parse-names":false,"suffix":""},{"dropping-particle":"","family":"Weinzettel","given":"Jan","non-dropping-particle":"","parse-names":false,"suffix":""}],"container-title":"Scientific Data","id":"ITEM-2","issued":{"date-parts":[["2025"]]},"page":"1613","title":"Consistent global dataset on biodiversity intactness footprint of agricultural production from 2000 to 2020","type":"article-journal","volume":"12"}},{"id":"T1bcmtmL/lqSzKvEj","uris":["http://www.mendeley.com/documents/?uuid=5c5ed610-f697-4d76-b4f7-5f6a0b0f18e6"],"itemData":{"DOI":"10.5281/zenodo.17608318","author":[{"dropping-particle":"","family":"Can","given":"Trong Nguyen","non-dropping-particle":"","parse-names":false,"suffix":""},{"dropping-particle":"","family":"Vačkářová","given":"Davina","non-dropping-particle":"","parse-names":false,"suffix":""},{"dropping-particle":"","family":"Weinzettel","given":"Jan","non-dropping-particle":"","parse-names":false,"suffix":""}],"container-title":"Zenodo","id":"ITEM-3","issued":{"date-parts":[["2025"]]},"title":"Consistent global datasets on Land Use, Biodiversity Intactness Index, and Biodiversity Intactness Footprint of Agricultural Production from 2000 to 2020 [Data set]","type":"article-journal"}}],"schema":"https://github.com/citation-style-language/schema/raw/master/csl-citation.json"} </w:instrText>
      </w:r>
      <w:r w:rsidRPr="000B7351">
        <w:fldChar w:fldCharType="separate"/>
      </w:r>
      <w:r w:rsidR="00312AA5" w:rsidRPr="00312AA5">
        <w:rPr>
          <w:vertAlign w:val="superscript"/>
        </w:rPr>
        <w:t>3–5</w:t>
      </w:r>
      <w:r w:rsidRPr="000B7351">
        <w:fldChar w:fldCharType="end"/>
      </w:r>
      <w:r>
        <w:t xml:space="preserve"> and reference values for total feed intake and percentage of dry matter intake (DMI) from pasture </w:t>
      </w:r>
      <w:r>
        <w:fldChar w:fldCharType="begin" w:fldLock="1"/>
      </w:r>
      <w:r w:rsidR="00C75B8B">
        <w:instrText xml:space="preserve"> ADDIN ZOTERO_ITEM CSL_CITATION {"citationID":"GxRqZzZy","properties":{"formattedCitation":"\\super 6\\nosupersub{}","plainCitation":"6","noteIndex":0},"citationItems":[{"id":"T1bcmtmL/MdhEo2F6","uris":["http://www.mendeley.com/documents/?uuid=48aa41bc-25b1-46e1-b355-d52bd11381a7"],"itemData":{"DOI":"10.1016/j.gfs.2017.01.001","ISSN":"22119124","abstract":"Livestock contribute to food security by supplying essential macro- and micro-nutrients, providing manure and draught power, and generating income. But they also consume food edible by humans and graze on pastures that could be used for crop production. Livestock, especially ruminants, are often seen as poor converters of feed into food products. This paper analyses global livestock feed rations and feed conversion ratios, with specific insight on the diversity in production systems and feed materials. Results estimate that livestock consume 6 billion tonnes of feed (dry matter) annually – including one third of global cereal production – of which 86% is made of materials that are currently not eaten by humans. In addition, soybean cakes, which production can be considered as main driver or land-use, represent 4% of the global livestock feed intake. Producing 1 kg of boneless meat requires an average of 2.8 kg human-edible feed in ruminant systems and 3.2 kg in monogastric systems. While livestock is estimated to use 2.5 billion ha of land, modest improvements in feed use efficiency can reduce further expansion.","author":[{"dropping-particle":"","family":"Mottet","given":"Anne","non-dropping-particle":"","parse-names":false,"suffix":""},{"dropping-particle":"","family":"Haan","given":"Cees","non-dropping-particle":"de","parse-names":false,"suffix":""},{"dropping-particle":"","family":"Falcucci","given":"Alessandra","non-dropping-particle":"","parse-names":false,"suffix":""},{"dropping-particle":"","family":"Tempio","given":"Giuseppe","non-dropping-particle":"","parse-names":false,"suffix":""},{"dropping-particle":"","family":"Opio","given":"Carolyn","non-dropping-particle":"","parse-names":false,"suffix":""},{"dropping-particle":"","family":"Gerber","given":"Pierre","non-dropping-particle":"","parse-names":false,"suffix":""}],"container-title":"Global Food Security","id":"ITEM-1","issue":"January 2016","issued":{"date-parts":[["2017"]]},"page":"1-8","publisher":"Elsevier B.V.","title":"Livestock: On our plates or eating at our table? A new analysis of the feed/food debate","type":"article-journal","volume":"14"}}],"schema":"https://github.com/citation-style-language/schema/raw/master/csl-citation.json"} </w:instrText>
      </w:r>
      <w:r>
        <w:fldChar w:fldCharType="separate"/>
      </w:r>
      <w:r w:rsidR="00C75B8B" w:rsidRPr="00C75B8B">
        <w:rPr>
          <w:vertAlign w:val="superscript"/>
        </w:rPr>
        <w:t>6</w:t>
      </w:r>
      <w:r>
        <w:fldChar w:fldCharType="end"/>
      </w:r>
      <w:r>
        <w:t xml:space="preserve"> as shown in Figure SI-1.</w:t>
      </w:r>
    </w:p>
    <w:p w14:paraId="403B8265" w14:textId="77777777" w:rsidR="00CB57A3" w:rsidRDefault="00CB57A3" w:rsidP="00CB57A3">
      <w:pPr>
        <w:spacing w:before="240"/>
        <w:jc w:val="center"/>
      </w:pPr>
      <w:r>
        <w:rPr>
          <w:noProof/>
        </w:rPr>
        <w:drawing>
          <wp:inline distT="0" distB="0" distL="0" distR="0" wp14:anchorId="2A353CB4" wp14:editId="57669BEF">
            <wp:extent cx="3960000" cy="3105372"/>
            <wp:effectExtent l="0" t="0" r="2540" b="0"/>
            <wp:docPr id="1661506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00" cy="3105372"/>
                    </a:xfrm>
                    <a:prstGeom prst="rect">
                      <a:avLst/>
                    </a:prstGeom>
                    <a:noFill/>
                  </pic:spPr>
                </pic:pic>
              </a:graphicData>
            </a:graphic>
          </wp:inline>
        </w:drawing>
      </w:r>
    </w:p>
    <w:p w14:paraId="460620BA" w14:textId="21FC0BA1" w:rsidR="00CB57A3" w:rsidRPr="00FD0A2C" w:rsidRDefault="00CB57A3" w:rsidP="00CB57A3">
      <w:pPr>
        <w:spacing w:after="240"/>
        <w:jc w:val="center"/>
        <w:rPr>
          <w:i/>
          <w:iCs/>
        </w:rPr>
      </w:pPr>
      <w:r w:rsidRPr="00FD0A2C">
        <w:rPr>
          <w:i/>
          <w:iCs/>
        </w:rPr>
        <w:t>Figure SI</w:t>
      </w:r>
      <w:r w:rsidR="00FD0A2C" w:rsidRPr="00FD0A2C">
        <w:rPr>
          <w:i/>
          <w:iCs/>
        </w:rPr>
        <w:t xml:space="preserve"> 1.</w:t>
      </w:r>
      <w:r w:rsidRPr="00FD0A2C">
        <w:rPr>
          <w:i/>
          <w:iCs/>
        </w:rPr>
        <w:t>1. Overall approach generates time series DMI from grass/hay</w:t>
      </w:r>
    </w:p>
    <w:p w14:paraId="742256B6" w14:textId="77777777" w:rsidR="00CB57A3" w:rsidRDefault="00CB57A3" w:rsidP="00CB57A3">
      <w:pPr>
        <w:rPr>
          <w:b/>
          <w:bCs/>
        </w:rPr>
      </w:pPr>
      <w:r w:rsidRPr="008F3BE8">
        <w:rPr>
          <w:b/>
          <w:bCs/>
        </w:rPr>
        <w:t>Step 1. Data collection</w:t>
      </w:r>
      <w:r>
        <w:rPr>
          <w:b/>
          <w:bCs/>
        </w:rPr>
        <w:t xml:space="preserve"> on dry matter intake</w:t>
      </w:r>
    </w:p>
    <w:p w14:paraId="64656778" w14:textId="5A45CAE7" w:rsidR="00CB57A3" w:rsidRDefault="00CB57A3" w:rsidP="00CB57A3">
      <w:r w:rsidRPr="00264635">
        <w:rPr>
          <w:noProof/>
        </w:rPr>
        <w:t>Mottet et al.</w:t>
      </w:r>
      <w:r>
        <w:rPr>
          <w:noProof/>
        </w:rPr>
        <w:t xml:space="preserve"> </w:t>
      </w:r>
      <w:r>
        <w:fldChar w:fldCharType="begin" w:fldLock="1"/>
      </w:r>
      <w:r w:rsidR="00C75B8B">
        <w:instrText xml:space="preserve"> ADDIN ZOTERO_ITEM CSL_CITATION {"citationID":"hqa99iI2","properties":{"formattedCitation":"\\super 6\\nosupersub{}","plainCitation":"6","noteIndex":0},"citationItems":[{"id":"T1bcmtmL/MdhEo2F6","uris":["http://www.mendeley.com/documents/?uuid=48aa41bc-25b1-46e1-b355-d52bd11381a7"],"itemData":{"DOI":"10.1016/j.gfs.2017.01.001","ISSN":"22119124","abstract":"Livestock contribute to food security by supplying essential macro- and micro-nutrients, providing manure and draught power, and generating income. But they also consume food edible by humans and graze on pastures that could be used for crop production. Livestock, especially ruminants, are often seen as poor converters of feed into food products. This paper analyses global livestock feed rations and feed conversion ratios, with specific insight on the diversity in production systems and feed materials. Results estimate that livestock consume 6 billion tonnes of feed (dry matter) annually – including one third of global cereal production – of which 86% is made of materials that are currently not eaten by humans. In addition, soybean cakes, which production can be considered as main driver or land-use, represent 4% of the global livestock feed intake. Producing 1 kg of boneless meat requires an average of 2.8 kg human-edible feed in ruminant systems and 3.2 kg in monogastric systems. While livestock is estimated to use 2.5 billion ha of land, modest improvements in feed use efficiency can reduce further expansion.","author":[{"dropping-particle":"","family":"Mottet","given":"Anne","non-dropping-particle":"","parse-names":false,"suffix":""},{"dropping-particle":"","family":"Haan","given":"Cees","non-dropping-particle":"de","parse-names":false,"suffix":""},{"dropping-particle":"","family":"Falcucci","given":"Alessandra","non-dropping-particle":"","parse-names":false,"suffix":""},{"dropping-particle":"","family":"Tempio","given":"Giuseppe","non-dropping-particle":"","parse-names":false,"suffix":""},{"dropping-particle":"","family":"Opio","given":"Carolyn","non-dropping-particle":"","parse-names":false,"suffix":""},{"dropping-particle":"","family":"Gerber","given":"Pierre","non-dropping-particle":"","parse-names":false,"suffix":""}],"container-title":"Global Food Security","id":"ITEM-1","issue":"January 2016","issued":{"date-parts":[["2017"]]},"page":"1-8","publisher":"Elsevier B.V.","title":"Livestock: On our plates or eating at our table? A new analysis of the feed/food debate","type":"article-journal","volume":"14"},"suppress-author":1}],"schema":"https://github.com/citation-style-language/schema/raw/master/csl-citation.json"} </w:instrText>
      </w:r>
      <w:r>
        <w:fldChar w:fldCharType="separate"/>
      </w:r>
      <w:r w:rsidR="00C75B8B" w:rsidRPr="00C75B8B">
        <w:rPr>
          <w:vertAlign w:val="superscript"/>
        </w:rPr>
        <w:t>6</w:t>
      </w:r>
      <w:r>
        <w:fldChar w:fldCharType="end"/>
      </w:r>
      <w:r>
        <w:t xml:space="preserve"> reported global data on livestock production systems, including feed rations feed conversion ratios across a wide range of feed materials and livestock groups (i.e., dairy cattle, beef cattle, dairy buffaloes, meat buffaloes, dairy small ruminant, and meat small ruminant). These data are disaggregated geographically using two-tier classification that distinguishes OECD (</w:t>
      </w:r>
      <w:r w:rsidRPr="00F002A3">
        <w:t>Organization for Economic Co-operation and Development</w:t>
      </w:r>
      <w:r>
        <w:t xml:space="preserve">) and non-OECD countries and further </w:t>
      </w:r>
      <w:r>
        <w:lastRenderedPageBreak/>
        <w:t>subdivides regions into North America, Russia, Western Europe, Eastern Europe, Near East and North Africa, East and Southeast Asia, Oceania, South Asia, Latin America and Caribbean, and Sub-Saharan Africa. We extracted and synthesized global livestock feed rations measured by total dry matter (DM) (Table SI</w:t>
      </w:r>
      <w:r w:rsidR="00FD0A2C">
        <w:t xml:space="preserve"> 1.</w:t>
      </w:r>
      <w:r>
        <w:t>1). We adopted the dry matter intake from mixed rations rather than grazing or feedlots to better represent the dominant global livestock production and ensure consistency with national production systems, which rarely explicit differentiation between feed regimes. Based on animal body size, the total feed rations for horses are assumed to be equivalent to those of cattle and buffaloes, whiles sheep and goats are represented by small ruminants.</w:t>
      </w:r>
    </w:p>
    <w:p w14:paraId="213F6167" w14:textId="759AF977" w:rsidR="00CB57A3" w:rsidRPr="00FD0A2C" w:rsidRDefault="00CB57A3" w:rsidP="00CB57A3">
      <w:pPr>
        <w:spacing w:before="240"/>
        <w:rPr>
          <w:i/>
          <w:iCs/>
        </w:rPr>
      </w:pPr>
      <w:r w:rsidRPr="00FD0A2C">
        <w:rPr>
          <w:i/>
          <w:iCs/>
        </w:rPr>
        <w:t>Table SI</w:t>
      </w:r>
      <w:r w:rsidR="00FD0A2C">
        <w:rPr>
          <w:i/>
          <w:iCs/>
        </w:rPr>
        <w:t xml:space="preserve"> 1.</w:t>
      </w:r>
      <w:r w:rsidRPr="00FD0A2C">
        <w:rPr>
          <w:i/>
          <w:iCs/>
        </w:rPr>
        <w:t>1. Global livestock feed rations by regions and species (Unit: kg DM/head/year)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CB57A3" w14:paraId="49B6BCAD" w14:textId="77777777" w:rsidTr="006F7179">
        <w:tc>
          <w:tcPr>
            <w:tcW w:w="3020" w:type="dxa"/>
            <w:tcBorders>
              <w:top w:val="single" w:sz="4" w:space="0" w:color="auto"/>
              <w:bottom w:val="single" w:sz="4" w:space="0" w:color="auto"/>
            </w:tcBorders>
          </w:tcPr>
          <w:p w14:paraId="17887B18" w14:textId="77777777" w:rsidR="00CB57A3" w:rsidRPr="00777680" w:rsidRDefault="00CB57A3" w:rsidP="006F7179">
            <w:pPr>
              <w:jc w:val="center"/>
              <w:rPr>
                <w:b/>
                <w:bCs/>
              </w:rPr>
            </w:pPr>
            <w:r w:rsidRPr="00777680">
              <w:rPr>
                <w:b/>
                <w:bCs/>
              </w:rPr>
              <w:t>Livestock</w:t>
            </w:r>
          </w:p>
        </w:tc>
        <w:tc>
          <w:tcPr>
            <w:tcW w:w="3020" w:type="dxa"/>
            <w:tcBorders>
              <w:top w:val="single" w:sz="4" w:space="0" w:color="auto"/>
              <w:bottom w:val="single" w:sz="4" w:space="0" w:color="auto"/>
            </w:tcBorders>
          </w:tcPr>
          <w:p w14:paraId="69E716EA" w14:textId="77777777" w:rsidR="00CB57A3" w:rsidRPr="00777680" w:rsidRDefault="00CB57A3" w:rsidP="006F7179">
            <w:pPr>
              <w:jc w:val="center"/>
              <w:rPr>
                <w:b/>
                <w:bCs/>
              </w:rPr>
            </w:pPr>
            <w:r w:rsidRPr="00777680">
              <w:rPr>
                <w:b/>
                <w:bCs/>
              </w:rPr>
              <w:t>Non-OECD</w:t>
            </w:r>
          </w:p>
        </w:tc>
        <w:tc>
          <w:tcPr>
            <w:tcW w:w="3020" w:type="dxa"/>
            <w:tcBorders>
              <w:top w:val="single" w:sz="4" w:space="0" w:color="auto"/>
              <w:bottom w:val="single" w:sz="4" w:space="0" w:color="auto"/>
            </w:tcBorders>
          </w:tcPr>
          <w:p w14:paraId="61670EFC" w14:textId="77777777" w:rsidR="00CB57A3" w:rsidRPr="00777680" w:rsidRDefault="00CB57A3" w:rsidP="006F7179">
            <w:pPr>
              <w:jc w:val="center"/>
              <w:rPr>
                <w:b/>
                <w:bCs/>
              </w:rPr>
            </w:pPr>
            <w:r w:rsidRPr="00777680">
              <w:rPr>
                <w:b/>
                <w:bCs/>
              </w:rPr>
              <w:t>OECD</w:t>
            </w:r>
          </w:p>
        </w:tc>
      </w:tr>
      <w:tr w:rsidR="00CB57A3" w14:paraId="6C720047" w14:textId="77777777" w:rsidTr="006F7179">
        <w:tc>
          <w:tcPr>
            <w:tcW w:w="3020" w:type="dxa"/>
            <w:tcBorders>
              <w:top w:val="single" w:sz="4" w:space="0" w:color="auto"/>
            </w:tcBorders>
          </w:tcPr>
          <w:p w14:paraId="02711E9B" w14:textId="77777777" w:rsidR="00CB57A3" w:rsidRDefault="00CB57A3" w:rsidP="006F7179">
            <w:r>
              <w:t>Cattle and buffaloes</w:t>
            </w:r>
          </w:p>
        </w:tc>
        <w:tc>
          <w:tcPr>
            <w:tcW w:w="3020" w:type="dxa"/>
            <w:tcBorders>
              <w:top w:val="single" w:sz="4" w:space="0" w:color="auto"/>
            </w:tcBorders>
          </w:tcPr>
          <w:p w14:paraId="48AFC70C" w14:textId="77777777" w:rsidR="00CB57A3" w:rsidRDefault="00CB57A3" w:rsidP="006F7179">
            <w:pPr>
              <w:jc w:val="center"/>
            </w:pPr>
            <w:r>
              <w:t>2,531</w:t>
            </w:r>
          </w:p>
        </w:tc>
        <w:tc>
          <w:tcPr>
            <w:tcW w:w="3020" w:type="dxa"/>
            <w:tcBorders>
              <w:top w:val="single" w:sz="4" w:space="0" w:color="auto"/>
            </w:tcBorders>
          </w:tcPr>
          <w:p w14:paraId="1A73EDAF" w14:textId="77777777" w:rsidR="00CB57A3" w:rsidRDefault="00CB57A3" w:rsidP="006F7179">
            <w:pPr>
              <w:jc w:val="center"/>
            </w:pPr>
            <w:r>
              <w:t>2,898</w:t>
            </w:r>
          </w:p>
        </w:tc>
      </w:tr>
      <w:tr w:rsidR="00CB57A3" w14:paraId="79E2FCA8" w14:textId="77777777" w:rsidTr="006F7179">
        <w:tc>
          <w:tcPr>
            <w:tcW w:w="3020" w:type="dxa"/>
            <w:tcBorders>
              <w:bottom w:val="single" w:sz="4" w:space="0" w:color="auto"/>
            </w:tcBorders>
          </w:tcPr>
          <w:p w14:paraId="6C819C5A" w14:textId="77777777" w:rsidR="00CB57A3" w:rsidRDefault="00CB57A3" w:rsidP="006F7179">
            <w:r>
              <w:t>Small ruminants</w:t>
            </w:r>
          </w:p>
        </w:tc>
        <w:tc>
          <w:tcPr>
            <w:tcW w:w="3020" w:type="dxa"/>
            <w:tcBorders>
              <w:bottom w:val="single" w:sz="4" w:space="0" w:color="auto"/>
            </w:tcBorders>
          </w:tcPr>
          <w:p w14:paraId="43580C93" w14:textId="77777777" w:rsidR="00CB57A3" w:rsidRDefault="00CB57A3" w:rsidP="006F7179">
            <w:pPr>
              <w:jc w:val="center"/>
            </w:pPr>
            <w:r>
              <w:t>238</w:t>
            </w:r>
          </w:p>
        </w:tc>
        <w:tc>
          <w:tcPr>
            <w:tcW w:w="3020" w:type="dxa"/>
            <w:tcBorders>
              <w:bottom w:val="single" w:sz="4" w:space="0" w:color="auto"/>
            </w:tcBorders>
          </w:tcPr>
          <w:p w14:paraId="23E74230" w14:textId="77777777" w:rsidR="00CB57A3" w:rsidRDefault="00CB57A3" w:rsidP="006F7179">
            <w:pPr>
              <w:jc w:val="center"/>
            </w:pPr>
            <w:r>
              <w:t>301</w:t>
            </w:r>
          </w:p>
        </w:tc>
      </w:tr>
    </w:tbl>
    <w:p w14:paraId="1403B557" w14:textId="20B14934" w:rsidR="00CB57A3" w:rsidRPr="00FD0A2C" w:rsidRDefault="00CB57A3" w:rsidP="00CB57A3">
      <w:pPr>
        <w:spacing w:before="240"/>
        <w:rPr>
          <w:i/>
          <w:iCs/>
        </w:rPr>
      </w:pPr>
      <w:r w:rsidRPr="00FD0A2C">
        <w:rPr>
          <w:i/>
          <w:iCs/>
        </w:rPr>
        <w:t>Table SI</w:t>
      </w:r>
      <w:r w:rsidR="00FD0A2C">
        <w:rPr>
          <w:i/>
          <w:iCs/>
        </w:rPr>
        <w:t xml:space="preserve"> 1.</w:t>
      </w:r>
      <w:r w:rsidRPr="00FD0A2C">
        <w:rPr>
          <w:i/>
          <w:iCs/>
        </w:rPr>
        <w:t>2. Percentage of dry matter intake from grass and hay (Unit: %)</w:t>
      </w:r>
    </w:p>
    <w:tbl>
      <w:tblPr>
        <w:tblW w:w="0" w:type="auto"/>
        <w:tblLook w:val="04A0" w:firstRow="1" w:lastRow="0" w:firstColumn="1" w:lastColumn="0" w:noHBand="0" w:noVBand="1"/>
      </w:tblPr>
      <w:tblGrid>
        <w:gridCol w:w="2414"/>
        <w:gridCol w:w="849"/>
        <w:gridCol w:w="840"/>
        <w:gridCol w:w="1232"/>
        <w:gridCol w:w="1232"/>
        <w:gridCol w:w="1243"/>
        <w:gridCol w:w="1260"/>
      </w:tblGrid>
      <w:tr w:rsidR="00CB57A3" w:rsidRPr="00F01EE4" w14:paraId="3B866869" w14:textId="77777777" w:rsidTr="006F7179">
        <w:trPr>
          <w:trHeight w:val="640"/>
        </w:trPr>
        <w:tc>
          <w:tcPr>
            <w:tcW w:w="2414" w:type="dxa"/>
            <w:tcBorders>
              <w:top w:val="single" w:sz="4" w:space="0" w:color="auto"/>
              <w:bottom w:val="single" w:sz="4" w:space="0" w:color="auto"/>
            </w:tcBorders>
            <w:shd w:val="clear" w:color="000000" w:fill="FFFFFF"/>
            <w:vAlign w:val="center"/>
            <w:hideMark/>
          </w:tcPr>
          <w:p w14:paraId="6D508B44" w14:textId="77777777" w:rsidR="00CB57A3" w:rsidRPr="009368F1" w:rsidRDefault="00CB57A3" w:rsidP="006F7179">
            <w:pPr>
              <w:jc w:val="center"/>
              <w:rPr>
                <w:rFonts w:eastAsia="Times New Roman"/>
                <w:b/>
                <w:bCs/>
                <w:lang w:eastAsia="en-AU"/>
              </w:rPr>
            </w:pPr>
            <w:r w:rsidRPr="009368F1">
              <w:rPr>
                <w:rFonts w:eastAsia="Times New Roman"/>
                <w:b/>
                <w:bCs/>
                <w:lang w:eastAsia="en-AU"/>
              </w:rPr>
              <w:t>Region</w:t>
            </w:r>
          </w:p>
        </w:tc>
        <w:tc>
          <w:tcPr>
            <w:tcW w:w="849" w:type="dxa"/>
            <w:tcBorders>
              <w:top w:val="single" w:sz="4" w:space="0" w:color="auto"/>
              <w:bottom w:val="single" w:sz="4" w:space="0" w:color="auto"/>
            </w:tcBorders>
            <w:shd w:val="clear" w:color="000000" w:fill="FFFFFF"/>
            <w:vAlign w:val="center"/>
            <w:hideMark/>
          </w:tcPr>
          <w:p w14:paraId="45FBA68A" w14:textId="77777777" w:rsidR="00CB57A3" w:rsidRPr="009368F1" w:rsidRDefault="00CB57A3" w:rsidP="006F7179">
            <w:pPr>
              <w:rPr>
                <w:rFonts w:eastAsia="Times New Roman"/>
                <w:b/>
                <w:bCs/>
                <w:lang w:eastAsia="en-AU"/>
              </w:rPr>
            </w:pPr>
            <w:r w:rsidRPr="009368F1">
              <w:rPr>
                <w:rFonts w:eastAsia="Times New Roman"/>
                <w:b/>
                <w:bCs/>
                <w:lang w:eastAsia="en-AU"/>
              </w:rPr>
              <w:t>Dairy cattle</w:t>
            </w:r>
          </w:p>
        </w:tc>
        <w:tc>
          <w:tcPr>
            <w:tcW w:w="840" w:type="dxa"/>
            <w:tcBorders>
              <w:top w:val="single" w:sz="4" w:space="0" w:color="auto"/>
              <w:bottom w:val="single" w:sz="4" w:space="0" w:color="auto"/>
            </w:tcBorders>
            <w:shd w:val="clear" w:color="000000" w:fill="FFFFFF"/>
            <w:vAlign w:val="center"/>
            <w:hideMark/>
          </w:tcPr>
          <w:p w14:paraId="6230D944" w14:textId="77777777" w:rsidR="00CB57A3" w:rsidRPr="009368F1" w:rsidRDefault="00CB57A3" w:rsidP="006F7179">
            <w:pPr>
              <w:rPr>
                <w:rFonts w:eastAsia="Times New Roman"/>
                <w:b/>
                <w:bCs/>
                <w:lang w:eastAsia="en-AU"/>
              </w:rPr>
            </w:pPr>
            <w:r w:rsidRPr="009368F1">
              <w:rPr>
                <w:rFonts w:eastAsia="Times New Roman"/>
                <w:b/>
                <w:bCs/>
                <w:lang w:eastAsia="en-AU"/>
              </w:rPr>
              <w:t>Beef cattle</w:t>
            </w:r>
          </w:p>
        </w:tc>
        <w:tc>
          <w:tcPr>
            <w:tcW w:w="1232" w:type="dxa"/>
            <w:tcBorders>
              <w:top w:val="single" w:sz="4" w:space="0" w:color="auto"/>
              <w:bottom w:val="single" w:sz="4" w:space="0" w:color="auto"/>
            </w:tcBorders>
            <w:shd w:val="clear" w:color="000000" w:fill="FFFFFF"/>
            <w:vAlign w:val="center"/>
            <w:hideMark/>
          </w:tcPr>
          <w:p w14:paraId="070BFD71" w14:textId="77777777" w:rsidR="00CB57A3" w:rsidRPr="009368F1" w:rsidRDefault="00CB57A3" w:rsidP="006F7179">
            <w:pPr>
              <w:rPr>
                <w:rFonts w:eastAsia="Times New Roman"/>
                <w:b/>
                <w:bCs/>
                <w:lang w:eastAsia="en-AU"/>
              </w:rPr>
            </w:pPr>
            <w:r w:rsidRPr="009368F1">
              <w:rPr>
                <w:rFonts w:eastAsia="Times New Roman"/>
                <w:b/>
                <w:bCs/>
                <w:lang w:eastAsia="en-AU"/>
              </w:rPr>
              <w:t>Dairy buffaloes</w:t>
            </w:r>
          </w:p>
        </w:tc>
        <w:tc>
          <w:tcPr>
            <w:tcW w:w="1232" w:type="dxa"/>
            <w:tcBorders>
              <w:top w:val="single" w:sz="4" w:space="0" w:color="auto"/>
              <w:bottom w:val="single" w:sz="4" w:space="0" w:color="auto"/>
            </w:tcBorders>
            <w:shd w:val="clear" w:color="000000" w:fill="FFFFFF"/>
            <w:vAlign w:val="center"/>
            <w:hideMark/>
          </w:tcPr>
          <w:p w14:paraId="72069590" w14:textId="77777777" w:rsidR="00CB57A3" w:rsidRPr="009368F1" w:rsidRDefault="00CB57A3" w:rsidP="006F7179">
            <w:pPr>
              <w:rPr>
                <w:rFonts w:eastAsia="Times New Roman"/>
                <w:b/>
                <w:bCs/>
                <w:lang w:eastAsia="en-AU"/>
              </w:rPr>
            </w:pPr>
            <w:r w:rsidRPr="009368F1">
              <w:rPr>
                <w:rFonts w:eastAsia="Times New Roman"/>
                <w:b/>
                <w:bCs/>
                <w:lang w:eastAsia="en-AU"/>
              </w:rPr>
              <w:t>Meat buffaloes</w:t>
            </w:r>
          </w:p>
        </w:tc>
        <w:tc>
          <w:tcPr>
            <w:tcW w:w="1243" w:type="dxa"/>
            <w:tcBorders>
              <w:top w:val="single" w:sz="4" w:space="0" w:color="auto"/>
              <w:bottom w:val="single" w:sz="4" w:space="0" w:color="auto"/>
            </w:tcBorders>
            <w:shd w:val="clear" w:color="000000" w:fill="FFFFFF"/>
            <w:vAlign w:val="center"/>
            <w:hideMark/>
          </w:tcPr>
          <w:p w14:paraId="01A4BA64" w14:textId="77777777" w:rsidR="00CB57A3" w:rsidRPr="009368F1" w:rsidRDefault="00CB57A3" w:rsidP="006F7179">
            <w:pPr>
              <w:rPr>
                <w:rFonts w:eastAsia="Times New Roman"/>
                <w:b/>
                <w:bCs/>
                <w:lang w:eastAsia="en-AU"/>
              </w:rPr>
            </w:pPr>
            <w:r w:rsidRPr="009368F1">
              <w:rPr>
                <w:rFonts w:eastAsia="Times New Roman"/>
                <w:b/>
                <w:bCs/>
                <w:lang w:eastAsia="en-AU"/>
              </w:rPr>
              <w:t>Dairy small ruminant</w:t>
            </w:r>
          </w:p>
        </w:tc>
        <w:tc>
          <w:tcPr>
            <w:tcW w:w="1260" w:type="dxa"/>
            <w:tcBorders>
              <w:top w:val="single" w:sz="4" w:space="0" w:color="auto"/>
              <w:bottom w:val="single" w:sz="4" w:space="0" w:color="auto"/>
            </w:tcBorders>
            <w:shd w:val="clear" w:color="000000" w:fill="FFFFFF"/>
            <w:vAlign w:val="center"/>
            <w:hideMark/>
          </w:tcPr>
          <w:p w14:paraId="278F3238" w14:textId="77777777" w:rsidR="00CB57A3" w:rsidRPr="009368F1" w:rsidRDefault="00CB57A3" w:rsidP="006F7179">
            <w:pPr>
              <w:rPr>
                <w:rFonts w:eastAsia="Times New Roman"/>
                <w:b/>
                <w:bCs/>
                <w:lang w:eastAsia="en-AU"/>
              </w:rPr>
            </w:pPr>
            <w:r w:rsidRPr="009368F1">
              <w:rPr>
                <w:rFonts w:eastAsia="Times New Roman"/>
                <w:b/>
                <w:bCs/>
                <w:lang w:eastAsia="en-AU"/>
              </w:rPr>
              <w:t>Meat small ruminant</w:t>
            </w:r>
          </w:p>
        </w:tc>
      </w:tr>
      <w:tr w:rsidR="00CB57A3" w:rsidRPr="00F01EE4" w14:paraId="77583EA6" w14:textId="77777777" w:rsidTr="006F7179">
        <w:trPr>
          <w:trHeight w:val="320"/>
        </w:trPr>
        <w:tc>
          <w:tcPr>
            <w:tcW w:w="2414" w:type="dxa"/>
            <w:tcBorders>
              <w:top w:val="single" w:sz="4" w:space="0" w:color="auto"/>
            </w:tcBorders>
            <w:shd w:val="clear" w:color="000000" w:fill="FFFFFF"/>
            <w:vAlign w:val="center"/>
            <w:hideMark/>
          </w:tcPr>
          <w:p w14:paraId="2E604FDC" w14:textId="77777777" w:rsidR="00CB57A3" w:rsidRPr="009368F1" w:rsidRDefault="00CB57A3" w:rsidP="006F7179">
            <w:pPr>
              <w:jc w:val="left"/>
              <w:rPr>
                <w:rFonts w:eastAsia="Times New Roman"/>
                <w:lang w:eastAsia="en-AU"/>
              </w:rPr>
            </w:pPr>
            <w:r w:rsidRPr="009368F1">
              <w:rPr>
                <w:rFonts w:eastAsia="Times New Roman"/>
                <w:lang w:eastAsia="en-AU"/>
              </w:rPr>
              <w:t>North America</w:t>
            </w:r>
          </w:p>
        </w:tc>
        <w:tc>
          <w:tcPr>
            <w:tcW w:w="849" w:type="dxa"/>
            <w:tcBorders>
              <w:top w:val="single" w:sz="4" w:space="0" w:color="auto"/>
            </w:tcBorders>
            <w:shd w:val="clear" w:color="000000" w:fill="FFFFFF"/>
            <w:vAlign w:val="center"/>
            <w:hideMark/>
          </w:tcPr>
          <w:p w14:paraId="3FE486A2" w14:textId="77777777" w:rsidR="00CB57A3" w:rsidRPr="009368F1" w:rsidRDefault="00CB57A3" w:rsidP="006F7179">
            <w:pPr>
              <w:jc w:val="center"/>
              <w:rPr>
                <w:rFonts w:eastAsia="Times New Roman"/>
                <w:lang w:eastAsia="en-AU"/>
              </w:rPr>
            </w:pPr>
            <w:r w:rsidRPr="009368F1">
              <w:rPr>
                <w:rFonts w:eastAsia="Times New Roman"/>
                <w:lang w:eastAsia="en-AU"/>
              </w:rPr>
              <w:t>31.4</w:t>
            </w:r>
          </w:p>
        </w:tc>
        <w:tc>
          <w:tcPr>
            <w:tcW w:w="840" w:type="dxa"/>
            <w:tcBorders>
              <w:top w:val="single" w:sz="4" w:space="0" w:color="auto"/>
            </w:tcBorders>
            <w:shd w:val="clear" w:color="000000" w:fill="FFFFFF"/>
            <w:vAlign w:val="center"/>
            <w:hideMark/>
          </w:tcPr>
          <w:p w14:paraId="3D0DDB47" w14:textId="77777777" w:rsidR="00CB57A3" w:rsidRPr="009368F1" w:rsidRDefault="00CB57A3" w:rsidP="006F7179">
            <w:pPr>
              <w:jc w:val="center"/>
              <w:rPr>
                <w:rFonts w:eastAsia="Times New Roman"/>
                <w:lang w:eastAsia="en-AU"/>
              </w:rPr>
            </w:pPr>
            <w:r w:rsidRPr="009368F1">
              <w:rPr>
                <w:rFonts w:eastAsia="Times New Roman"/>
                <w:lang w:eastAsia="en-AU"/>
              </w:rPr>
              <w:t>74.6</w:t>
            </w:r>
          </w:p>
        </w:tc>
        <w:tc>
          <w:tcPr>
            <w:tcW w:w="1232" w:type="dxa"/>
            <w:tcBorders>
              <w:top w:val="single" w:sz="4" w:space="0" w:color="auto"/>
            </w:tcBorders>
            <w:shd w:val="clear" w:color="000000" w:fill="FFFFFF"/>
            <w:vAlign w:val="center"/>
            <w:hideMark/>
          </w:tcPr>
          <w:p w14:paraId="57A2183F" w14:textId="77777777" w:rsidR="00CB57A3" w:rsidRPr="009368F1" w:rsidRDefault="00CB57A3" w:rsidP="006F7179">
            <w:pPr>
              <w:jc w:val="center"/>
              <w:rPr>
                <w:rFonts w:eastAsia="Times New Roman"/>
                <w:lang w:eastAsia="en-AU"/>
              </w:rPr>
            </w:pPr>
            <w:r w:rsidRPr="009368F1">
              <w:rPr>
                <w:rFonts w:eastAsia="Times New Roman"/>
                <w:lang w:eastAsia="en-AU"/>
              </w:rPr>
              <w:t>15.6</w:t>
            </w:r>
          </w:p>
        </w:tc>
        <w:tc>
          <w:tcPr>
            <w:tcW w:w="1232" w:type="dxa"/>
            <w:tcBorders>
              <w:top w:val="single" w:sz="4" w:space="0" w:color="auto"/>
            </w:tcBorders>
            <w:shd w:val="clear" w:color="000000" w:fill="BFBFBF"/>
            <w:vAlign w:val="center"/>
            <w:hideMark/>
          </w:tcPr>
          <w:p w14:paraId="0089007B" w14:textId="77777777" w:rsidR="00CB57A3" w:rsidRPr="009368F1" w:rsidRDefault="00CB57A3" w:rsidP="006F7179">
            <w:pPr>
              <w:jc w:val="center"/>
              <w:rPr>
                <w:rFonts w:eastAsia="Times New Roman"/>
                <w:lang w:eastAsia="en-AU"/>
              </w:rPr>
            </w:pPr>
            <w:r w:rsidRPr="009368F1">
              <w:rPr>
                <w:rFonts w:eastAsia="Times New Roman"/>
                <w:lang w:eastAsia="en-AU"/>
              </w:rPr>
              <w:t>-</w:t>
            </w:r>
          </w:p>
        </w:tc>
        <w:tc>
          <w:tcPr>
            <w:tcW w:w="1243" w:type="dxa"/>
            <w:tcBorders>
              <w:top w:val="single" w:sz="4" w:space="0" w:color="auto"/>
            </w:tcBorders>
            <w:shd w:val="clear" w:color="000000" w:fill="FFFFFF"/>
            <w:vAlign w:val="center"/>
            <w:hideMark/>
          </w:tcPr>
          <w:p w14:paraId="22E42F20" w14:textId="77777777" w:rsidR="00CB57A3" w:rsidRPr="009368F1" w:rsidRDefault="00CB57A3" w:rsidP="006F7179">
            <w:pPr>
              <w:jc w:val="center"/>
              <w:rPr>
                <w:rFonts w:eastAsia="Times New Roman"/>
                <w:lang w:eastAsia="en-AU"/>
              </w:rPr>
            </w:pPr>
            <w:r w:rsidRPr="009368F1">
              <w:rPr>
                <w:rFonts w:eastAsia="Times New Roman"/>
                <w:lang w:eastAsia="en-AU"/>
              </w:rPr>
              <w:t>67.2</w:t>
            </w:r>
          </w:p>
        </w:tc>
        <w:tc>
          <w:tcPr>
            <w:tcW w:w="1260" w:type="dxa"/>
            <w:tcBorders>
              <w:top w:val="single" w:sz="4" w:space="0" w:color="auto"/>
            </w:tcBorders>
            <w:shd w:val="clear" w:color="000000" w:fill="FFFFFF"/>
            <w:vAlign w:val="center"/>
            <w:hideMark/>
          </w:tcPr>
          <w:p w14:paraId="26F09A32" w14:textId="77777777" w:rsidR="00CB57A3" w:rsidRPr="009368F1" w:rsidRDefault="00CB57A3" w:rsidP="006F7179">
            <w:pPr>
              <w:jc w:val="center"/>
              <w:rPr>
                <w:rFonts w:eastAsia="Times New Roman"/>
                <w:lang w:eastAsia="en-AU"/>
              </w:rPr>
            </w:pPr>
            <w:r w:rsidRPr="009368F1">
              <w:rPr>
                <w:rFonts w:eastAsia="Times New Roman"/>
                <w:lang w:eastAsia="en-AU"/>
              </w:rPr>
              <w:t>78.8</w:t>
            </w:r>
          </w:p>
        </w:tc>
      </w:tr>
      <w:tr w:rsidR="00CB57A3" w:rsidRPr="00F01EE4" w14:paraId="254C991F" w14:textId="77777777" w:rsidTr="006F7179">
        <w:trPr>
          <w:trHeight w:val="320"/>
        </w:trPr>
        <w:tc>
          <w:tcPr>
            <w:tcW w:w="2414" w:type="dxa"/>
            <w:shd w:val="clear" w:color="000000" w:fill="FFFFFF"/>
            <w:vAlign w:val="center"/>
            <w:hideMark/>
          </w:tcPr>
          <w:p w14:paraId="0F685DA2" w14:textId="77777777" w:rsidR="00CB57A3" w:rsidRPr="009368F1" w:rsidRDefault="00CB57A3" w:rsidP="006F7179">
            <w:pPr>
              <w:jc w:val="left"/>
              <w:rPr>
                <w:rFonts w:eastAsia="Times New Roman"/>
                <w:lang w:eastAsia="en-AU"/>
              </w:rPr>
            </w:pPr>
            <w:r w:rsidRPr="009368F1">
              <w:rPr>
                <w:rFonts w:eastAsia="Times New Roman"/>
                <w:lang w:eastAsia="en-AU"/>
              </w:rPr>
              <w:t>Russia</w:t>
            </w:r>
          </w:p>
        </w:tc>
        <w:tc>
          <w:tcPr>
            <w:tcW w:w="849" w:type="dxa"/>
            <w:shd w:val="clear" w:color="000000" w:fill="FFFFFF"/>
            <w:vAlign w:val="center"/>
            <w:hideMark/>
          </w:tcPr>
          <w:p w14:paraId="31DCBA56" w14:textId="77777777" w:rsidR="00CB57A3" w:rsidRPr="009368F1" w:rsidRDefault="00CB57A3" w:rsidP="006F7179">
            <w:pPr>
              <w:jc w:val="center"/>
              <w:rPr>
                <w:rFonts w:eastAsia="Times New Roman"/>
                <w:lang w:eastAsia="en-AU"/>
              </w:rPr>
            </w:pPr>
            <w:r w:rsidRPr="009368F1">
              <w:rPr>
                <w:rFonts w:eastAsia="Times New Roman"/>
                <w:lang w:eastAsia="en-AU"/>
              </w:rPr>
              <w:t>47.6</w:t>
            </w:r>
          </w:p>
        </w:tc>
        <w:tc>
          <w:tcPr>
            <w:tcW w:w="840" w:type="dxa"/>
            <w:shd w:val="clear" w:color="000000" w:fill="BFBFBF"/>
            <w:vAlign w:val="center"/>
          </w:tcPr>
          <w:p w14:paraId="7BE54EB4" w14:textId="77777777" w:rsidR="00CB57A3" w:rsidRPr="009368F1" w:rsidRDefault="00CB57A3" w:rsidP="006F7179">
            <w:pPr>
              <w:jc w:val="center"/>
              <w:rPr>
                <w:rFonts w:eastAsia="Times New Roman"/>
                <w:lang w:eastAsia="en-AU"/>
              </w:rPr>
            </w:pPr>
            <w:r w:rsidRPr="009368F1">
              <w:rPr>
                <w:rFonts w:eastAsia="Times New Roman"/>
                <w:lang w:eastAsia="en-AU"/>
              </w:rPr>
              <w:t>-</w:t>
            </w:r>
          </w:p>
        </w:tc>
        <w:tc>
          <w:tcPr>
            <w:tcW w:w="1232" w:type="dxa"/>
            <w:shd w:val="clear" w:color="000000" w:fill="BFBFBF"/>
            <w:vAlign w:val="center"/>
          </w:tcPr>
          <w:p w14:paraId="27094AF3" w14:textId="77777777" w:rsidR="00CB57A3" w:rsidRPr="009368F1" w:rsidRDefault="00CB57A3" w:rsidP="006F7179">
            <w:pPr>
              <w:jc w:val="center"/>
              <w:rPr>
                <w:rFonts w:eastAsia="Times New Roman"/>
                <w:lang w:eastAsia="en-AU"/>
              </w:rPr>
            </w:pPr>
            <w:r w:rsidRPr="009368F1">
              <w:rPr>
                <w:rFonts w:eastAsia="Times New Roman"/>
                <w:lang w:eastAsia="en-AU"/>
              </w:rPr>
              <w:t>-</w:t>
            </w:r>
          </w:p>
        </w:tc>
        <w:tc>
          <w:tcPr>
            <w:tcW w:w="1232" w:type="dxa"/>
            <w:shd w:val="clear" w:color="000000" w:fill="FFFFFF"/>
            <w:vAlign w:val="center"/>
            <w:hideMark/>
          </w:tcPr>
          <w:p w14:paraId="2A8D13FC" w14:textId="77777777" w:rsidR="00CB57A3" w:rsidRPr="009368F1" w:rsidRDefault="00CB57A3" w:rsidP="006F7179">
            <w:pPr>
              <w:jc w:val="center"/>
              <w:rPr>
                <w:rFonts w:eastAsia="Times New Roman"/>
                <w:lang w:eastAsia="en-AU"/>
              </w:rPr>
            </w:pPr>
            <w:r w:rsidRPr="009368F1">
              <w:rPr>
                <w:rFonts w:eastAsia="Times New Roman"/>
                <w:lang w:eastAsia="en-AU"/>
              </w:rPr>
              <w:t>68.5</w:t>
            </w:r>
          </w:p>
        </w:tc>
        <w:tc>
          <w:tcPr>
            <w:tcW w:w="1243" w:type="dxa"/>
            <w:shd w:val="clear" w:color="000000" w:fill="FFFFFF"/>
            <w:vAlign w:val="center"/>
            <w:hideMark/>
          </w:tcPr>
          <w:p w14:paraId="01447DDF" w14:textId="77777777" w:rsidR="00CB57A3" w:rsidRPr="009368F1" w:rsidRDefault="00CB57A3" w:rsidP="006F7179">
            <w:pPr>
              <w:jc w:val="center"/>
              <w:rPr>
                <w:rFonts w:eastAsia="Times New Roman"/>
                <w:lang w:eastAsia="en-AU"/>
              </w:rPr>
            </w:pPr>
            <w:r w:rsidRPr="009368F1">
              <w:rPr>
                <w:rFonts w:eastAsia="Times New Roman"/>
                <w:lang w:eastAsia="en-AU"/>
              </w:rPr>
              <w:t>56.6</w:t>
            </w:r>
          </w:p>
        </w:tc>
        <w:tc>
          <w:tcPr>
            <w:tcW w:w="1260" w:type="dxa"/>
            <w:shd w:val="clear" w:color="000000" w:fill="FFFFFF"/>
            <w:vAlign w:val="center"/>
            <w:hideMark/>
          </w:tcPr>
          <w:p w14:paraId="3B9D86E3" w14:textId="77777777" w:rsidR="00CB57A3" w:rsidRPr="009368F1" w:rsidRDefault="00CB57A3" w:rsidP="006F7179">
            <w:pPr>
              <w:jc w:val="center"/>
              <w:rPr>
                <w:rFonts w:eastAsia="Times New Roman"/>
                <w:lang w:eastAsia="en-AU"/>
              </w:rPr>
            </w:pPr>
            <w:r w:rsidRPr="009368F1">
              <w:rPr>
                <w:rFonts w:eastAsia="Times New Roman"/>
                <w:lang w:eastAsia="en-AU"/>
              </w:rPr>
              <w:t>67.6</w:t>
            </w:r>
          </w:p>
        </w:tc>
      </w:tr>
      <w:tr w:rsidR="00CB57A3" w:rsidRPr="00F01EE4" w14:paraId="4DB6992A" w14:textId="77777777" w:rsidTr="006F7179">
        <w:trPr>
          <w:trHeight w:val="320"/>
        </w:trPr>
        <w:tc>
          <w:tcPr>
            <w:tcW w:w="2414" w:type="dxa"/>
            <w:shd w:val="clear" w:color="000000" w:fill="FFFFFF"/>
            <w:vAlign w:val="center"/>
            <w:hideMark/>
          </w:tcPr>
          <w:p w14:paraId="069AF35C" w14:textId="77777777" w:rsidR="00CB57A3" w:rsidRPr="009368F1" w:rsidRDefault="00CB57A3" w:rsidP="006F7179">
            <w:pPr>
              <w:jc w:val="left"/>
              <w:rPr>
                <w:rFonts w:eastAsia="Times New Roman"/>
                <w:lang w:eastAsia="en-AU"/>
              </w:rPr>
            </w:pPr>
            <w:r w:rsidRPr="009368F1">
              <w:rPr>
                <w:rFonts w:eastAsia="Times New Roman"/>
                <w:lang w:eastAsia="en-AU"/>
              </w:rPr>
              <w:t>Western Europe</w:t>
            </w:r>
          </w:p>
        </w:tc>
        <w:tc>
          <w:tcPr>
            <w:tcW w:w="849" w:type="dxa"/>
            <w:shd w:val="clear" w:color="000000" w:fill="FFFFFF"/>
            <w:vAlign w:val="center"/>
            <w:hideMark/>
          </w:tcPr>
          <w:p w14:paraId="0176D3A3" w14:textId="77777777" w:rsidR="00CB57A3" w:rsidRPr="009368F1" w:rsidRDefault="00CB57A3" w:rsidP="006F7179">
            <w:pPr>
              <w:jc w:val="center"/>
              <w:rPr>
                <w:rFonts w:eastAsia="Times New Roman"/>
                <w:lang w:eastAsia="en-AU"/>
              </w:rPr>
            </w:pPr>
            <w:r w:rsidRPr="009368F1">
              <w:rPr>
                <w:rFonts w:eastAsia="Times New Roman"/>
                <w:lang w:eastAsia="en-AU"/>
              </w:rPr>
              <w:t>49.8</w:t>
            </w:r>
          </w:p>
        </w:tc>
        <w:tc>
          <w:tcPr>
            <w:tcW w:w="840" w:type="dxa"/>
            <w:shd w:val="clear" w:color="000000" w:fill="FFFFFF"/>
            <w:vAlign w:val="center"/>
            <w:hideMark/>
          </w:tcPr>
          <w:p w14:paraId="46A1C511" w14:textId="77777777" w:rsidR="00CB57A3" w:rsidRPr="009368F1" w:rsidRDefault="00CB57A3" w:rsidP="006F7179">
            <w:pPr>
              <w:jc w:val="center"/>
              <w:rPr>
                <w:rFonts w:eastAsia="Times New Roman"/>
                <w:lang w:eastAsia="en-AU"/>
              </w:rPr>
            </w:pPr>
            <w:r w:rsidRPr="009368F1">
              <w:rPr>
                <w:rFonts w:eastAsia="Times New Roman"/>
                <w:lang w:eastAsia="en-AU"/>
              </w:rPr>
              <w:t>50.8</w:t>
            </w:r>
          </w:p>
        </w:tc>
        <w:tc>
          <w:tcPr>
            <w:tcW w:w="1232" w:type="dxa"/>
            <w:shd w:val="clear" w:color="000000" w:fill="FFFFFF"/>
            <w:vAlign w:val="center"/>
            <w:hideMark/>
          </w:tcPr>
          <w:p w14:paraId="47120780" w14:textId="77777777" w:rsidR="00CB57A3" w:rsidRPr="009368F1" w:rsidRDefault="00CB57A3" w:rsidP="006F7179">
            <w:pPr>
              <w:jc w:val="center"/>
              <w:rPr>
                <w:rFonts w:eastAsia="Times New Roman"/>
                <w:lang w:eastAsia="en-AU"/>
              </w:rPr>
            </w:pPr>
            <w:r w:rsidRPr="009368F1">
              <w:rPr>
                <w:rFonts w:eastAsia="Times New Roman"/>
                <w:lang w:eastAsia="en-AU"/>
              </w:rPr>
              <w:t>17.8</w:t>
            </w:r>
          </w:p>
        </w:tc>
        <w:tc>
          <w:tcPr>
            <w:tcW w:w="1232" w:type="dxa"/>
            <w:shd w:val="clear" w:color="000000" w:fill="BFBFBF"/>
            <w:vAlign w:val="center"/>
          </w:tcPr>
          <w:p w14:paraId="19B69524" w14:textId="77777777" w:rsidR="00CB57A3" w:rsidRPr="009368F1" w:rsidRDefault="00CB57A3" w:rsidP="006F7179">
            <w:pPr>
              <w:jc w:val="center"/>
              <w:rPr>
                <w:rFonts w:eastAsia="Times New Roman"/>
                <w:lang w:eastAsia="en-AU"/>
              </w:rPr>
            </w:pPr>
            <w:r w:rsidRPr="009368F1">
              <w:rPr>
                <w:rFonts w:eastAsia="Times New Roman"/>
                <w:lang w:eastAsia="en-AU"/>
              </w:rPr>
              <w:t>-</w:t>
            </w:r>
          </w:p>
        </w:tc>
        <w:tc>
          <w:tcPr>
            <w:tcW w:w="1243" w:type="dxa"/>
            <w:shd w:val="clear" w:color="000000" w:fill="FFFFFF"/>
            <w:vAlign w:val="center"/>
            <w:hideMark/>
          </w:tcPr>
          <w:p w14:paraId="0C843F2D" w14:textId="77777777" w:rsidR="00CB57A3" w:rsidRPr="009368F1" w:rsidRDefault="00CB57A3" w:rsidP="006F7179">
            <w:pPr>
              <w:jc w:val="center"/>
              <w:rPr>
                <w:rFonts w:eastAsia="Times New Roman"/>
                <w:lang w:eastAsia="en-AU"/>
              </w:rPr>
            </w:pPr>
            <w:r w:rsidRPr="009368F1">
              <w:rPr>
                <w:rFonts w:eastAsia="Times New Roman"/>
                <w:lang w:eastAsia="en-AU"/>
              </w:rPr>
              <w:t>69.1</w:t>
            </w:r>
          </w:p>
        </w:tc>
        <w:tc>
          <w:tcPr>
            <w:tcW w:w="1260" w:type="dxa"/>
            <w:shd w:val="clear" w:color="000000" w:fill="FFFFFF"/>
            <w:vAlign w:val="center"/>
            <w:hideMark/>
          </w:tcPr>
          <w:p w14:paraId="4878648F" w14:textId="77777777" w:rsidR="00CB57A3" w:rsidRPr="009368F1" w:rsidRDefault="00CB57A3" w:rsidP="006F7179">
            <w:pPr>
              <w:jc w:val="center"/>
              <w:rPr>
                <w:rFonts w:eastAsia="Times New Roman"/>
                <w:lang w:eastAsia="en-AU"/>
              </w:rPr>
            </w:pPr>
            <w:r w:rsidRPr="009368F1">
              <w:rPr>
                <w:rFonts w:eastAsia="Times New Roman"/>
                <w:lang w:eastAsia="en-AU"/>
              </w:rPr>
              <w:t>67</w:t>
            </w:r>
          </w:p>
        </w:tc>
      </w:tr>
      <w:tr w:rsidR="00CB57A3" w:rsidRPr="00F01EE4" w14:paraId="318753A6" w14:textId="77777777" w:rsidTr="006F7179">
        <w:trPr>
          <w:trHeight w:val="320"/>
        </w:trPr>
        <w:tc>
          <w:tcPr>
            <w:tcW w:w="2414" w:type="dxa"/>
            <w:shd w:val="clear" w:color="000000" w:fill="FFFFFF"/>
            <w:vAlign w:val="center"/>
            <w:hideMark/>
          </w:tcPr>
          <w:p w14:paraId="711ECA94" w14:textId="77777777" w:rsidR="00CB57A3" w:rsidRPr="009368F1" w:rsidRDefault="00CB57A3" w:rsidP="006F7179">
            <w:pPr>
              <w:jc w:val="left"/>
              <w:rPr>
                <w:rFonts w:eastAsia="Times New Roman"/>
                <w:lang w:eastAsia="en-AU"/>
              </w:rPr>
            </w:pPr>
            <w:r w:rsidRPr="009368F1">
              <w:rPr>
                <w:rFonts w:eastAsia="Times New Roman"/>
                <w:lang w:eastAsia="en-AU"/>
              </w:rPr>
              <w:t>Eastern Europe</w:t>
            </w:r>
          </w:p>
        </w:tc>
        <w:tc>
          <w:tcPr>
            <w:tcW w:w="849" w:type="dxa"/>
            <w:shd w:val="clear" w:color="000000" w:fill="FFFFFF"/>
            <w:vAlign w:val="center"/>
            <w:hideMark/>
          </w:tcPr>
          <w:p w14:paraId="454E864D" w14:textId="77777777" w:rsidR="00CB57A3" w:rsidRPr="009368F1" w:rsidRDefault="00CB57A3" w:rsidP="006F7179">
            <w:pPr>
              <w:jc w:val="center"/>
              <w:rPr>
                <w:rFonts w:eastAsia="Times New Roman"/>
                <w:lang w:eastAsia="en-AU"/>
              </w:rPr>
            </w:pPr>
            <w:r w:rsidRPr="009368F1">
              <w:rPr>
                <w:rFonts w:eastAsia="Times New Roman"/>
                <w:lang w:eastAsia="en-AU"/>
              </w:rPr>
              <w:t>45.3</w:t>
            </w:r>
          </w:p>
        </w:tc>
        <w:tc>
          <w:tcPr>
            <w:tcW w:w="840" w:type="dxa"/>
            <w:shd w:val="clear" w:color="000000" w:fill="FFFFFF"/>
            <w:vAlign w:val="center"/>
            <w:hideMark/>
          </w:tcPr>
          <w:p w14:paraId="70831F99" w14:textId="77777777" w:rsidR="00CB57A3" w:rsidRPr="009368F1" w:rsidRDefault="00CB57A3" w:rsidP="006F7179">
            <w:pPr>
              <w:jc w:val="center"/>
              <w:rPr>
                <w:rFonts w:eastAsia="Times New Roman"/>
                <w:lang w:eastAsia="en-AU"/>
              </w:rPr>
            </w:pPr>
            <w:r w:rsidRPr="009368F1">
              <w:rPr>
                <w:rFonts w:eastAsia="Times New Roman"/>
                <w:lang w:eastAsia="en-AU"/>
              </w:rPr>
              <w:t>42.9</w:t>
            </w:r>
          </w:p>
        </w:tc>
        <w:tc>
          <w:tcPr>
            <w:tcW w:w="1232" w:type="dxa"/>
            <w:shd w:val="clear" w:color="000000" w:fill="FFFFFF"/>
            <w:vAlign w:val="center"/>
            <w:hideMark/>
          </w:tcPr>
          <w:p w14:paraId="71601270" w14:textId="77777777" w:rsidR="00CB57A3" w:rsidRPr="009368F1" w:rsidRDefault="00CB57A3" w:rsidP="006F7179">
            <w:pPr>
              <w:jc w:val="center"/>
              <w:rPr>
                <w:rFonts w:eastAsia="Times New Roman"/>
                <w:lang w:eastAsia="en-AU"/>
              </w:rPr>
            </w:pPr>
            <w:r w:rsidRPr="009368F1">
              <w:rPr>
                <w:rFonts w:eastAsia="Times New Roman"/>
                <w:lang w:eastAsia="en-AU"/>
              </w:rPr>
              <w:t>64.8</w:t>
            </w:r>
          </w:p>
        </w:tc>
        <w:tc>
          <w:tcPr>
            <w:tcW w:w="1232" w:type="dxa"/>
            <w:shd w:val="clear" w:color="000000" w:fill="BFBFBF"/>
            <w:vAlign w:val="center"/>
          </w:tcPr>
          <w:p w14:paraId="0DB03539" w14:textId="77777777" w:rsidR="00CB57A3" w:rsidRPr="009368F1" w:rsidRDefault="00CB57A3" w:rsidP="006F7179">
            <w:pPr>
              <w:jc w:val="center"/>
              <w:rPr>
                <w:rFonts w:eastAsia="Times New Roman"/>
                <w:lang w:eastAsia="en-AU"/>
              </w:rPr>
            </w:pPr>
            <w:r w:rsidRPr="009368F1">
              <w:rPr>
                <w:rFonts w:eastAsia="Times New Roman"/>
                <w:lang w:eastAsia="en-AU"/>
              </w:rPr>
              <w:t>-</w:t>
            </w:r>
          </w:p>
        </w:tc>
        <w:tc>
          <w:tcPr>
            <w:tcW w:w="1243" w:type="dxa"/>
            <w:shd w:val="clear" w:color="000000" w:fill="FFFFFF"/>
            <w:vAlign w:val="center"/>
            <w:hideMark/>
          </w:tcPr>
          <w:p w14:paraId="3BF679CA" w14:textId="77777777" w:rsidR="00CB57A3" w:rsidRPr="009368F1" w:rsidRDefault="00CB57A3" w:rsidP="006F7179">
            <w:pPr>
              <w:jc w:val="center"/>
              <w:rPr>
                <w:rFonts w:eastAsia="Times New Roman"/>
                <w:lang w:eastAsia="en-AU"/>
              </w:rPr>
            </w:pPr>
            <w:r w:rsidRPr="009368F1">
              <w:rPr>
                <w:rFonts w:eastAsia="Times New Roman"/>
                <w:lang w:eastAsia="en-AU"/>
              </w:rPr>
              <w:t>57.5</w:t>
            </w:r>
          </w:p>
        </w:tc>
        <w:tc>
          <w:tcPr>
            <w:tcW w:w="1260" w:type="dxa"/>
            <w:shd w:val="clear" w:color="000000" w:fill="FFFFFF"/>
            <w:vAlign w:val="center"/>
            <w:hideMark/>
          </w:tcPr>
          <w:p w14:paraId="79AB090E" w14:textId="77777777" w:rsidR="00CB57A3" w:rsidRPr="009368F1" w:rsidRDefault="00CB57A3" w:rsidP="006F7179">
            <w:pPr>
              <w:jc w:val="center"/>
              <w:rPr>
                <w:rFonts w:eastAsia="Times New Roman"/>
                <w:lang w:eastAsia="en-AU"/>
              </w:rPr>
            </w:pPr>
            <w:r w:rsidRPr="009368F1">
              <w:rPr>
                <w:rFonts w:eastAsia="Times New Roman"/>
                <w:lang w:eastAsia="en-AU"/>
              </w:rPr>
              <w:t>66</w:t>
            </w:r>
          </w:p>
        </w:tc>
      </w:tr>
      <w:tr w:rsidR="00CB57A3" w:rsidRPr="00F01EE4" w14:paraId="50FDB6AB" w14:textId="77777777" w:rsidTr="006F7179">
        <w:trPr>
          <w:trHeight w:val="320"/>
        </w:trPr>
        <w:tc>
          <w:tcPr>
            <w:tcW w:w="2414" w:type="dxa"/>
            <w:shd w:val="clear" w:color="000000" w:fill="FFFFFF"/>
            <w:vAlign w:val="center"/>
            <w:hideMark/>
          </w:tcPr>
          <w:p w14:paraId="2FA0E0FF" w14:textId="77777777" w:rsidR="00CB57A3" w:rsidRPr="009368F1" w:rsidRDefault="00CB57A3" w:rsidP="006F7179">
            <w:pPr>
              <w:jc w:val="left"/>
              <w:rPr>
                <w:rFonts w:eastAsia="Times New Roman"/>
                <w:lang w:eastAsia="en-AU"/>
              </w:rPr>
            </w:pPr>
            <w:r w:rsidRPr="009368F1">
              <w:rPr>
                <w:rFonts w:eastAsia="Times New Roman"/>
                <w:lang w:eastAsia="en-AU"/>
              </w:rPr>
              <w:t>Near East and North Africa</w:t>
            </w:r>
          </w:p>
        </w:tc>
        <w:tc>
          <w:tcPr>
            <w:tcW w:w="849" w:type="dxa"/>
            <w:shd w:val="clear" w:color="000000" w:fill="FFFFFF"/>
            <w:vAlign w:val="center"/>
            <w:hideMark/>
          </w:tcPr>
          <w:p w14:paraId="49E45A5F" w14:textId="77777777" w:rsidR="00CB57A3" w:rsidRPr="009368F1" w:rsidRDefault="00CB57A3" w:rsidP="006F7179">
            <w:pPr>
              <w:jc w:val="center"/>
              <w:rPr>
                <w:rFonts w:eastAsia="Times New Roman"/>
                <w:lang w:eastAsia="en-AU"/>
              </w:rPr>
            </w:pPr>
            <w:r w:rsidRPr="009368F1">
              <w:rPr>
                <w:rFonts w:eastAsia="Times New Roman"/>
                <w:lang w:eastAsia="en-AU"/>
              </w:rPr>
              <w:t>59.2</w:t>
            </w:r>
          </w:p>
        </w:tc>
        <w:tc>
          <w:tcPr>
            <w:tcW w:w="840" w:type="dxa"/>
            <w:shd w:val="clear" w:color="000000" w:fill="FFFFFF"/>
            <w:vAlign w:val="center"/>
            <w:hideMark/>
          </w:tcPr>
          <w:p w14:paraId="586BD024" w14:textId="77777777" w:rsidR="00CB57A3" w:rsidRPr="009368F1" w:rsidRDefault="00CB57A3" w:rsidP="006F7179">
            <w:pPr>
              <w:jc w:val="center"/>
              <w:rPr>
                <w:rFonts w:eastAsia="Times New Roman"/>
                <w:lang w:eastAsia="en-AU"/>
              </w:rPr>
            </w:pPr>
            <w:r w:rsidRPr="009368F1">
              <w:rPr>
                <w:rFonts w:eastAsia="Times New Roman"/>
                <w:lang w:eastAsia="en-AU"/>
              </w:rPr>
              <w:t>61.6</w:t>
            </w:r>
          </w:p>
        </w:tc>
        <w:tc>
          <w:tcPr>
            <w:tcW w:w="1232" w:type="dxa"/>
            <w:shd w:val="clear" w:color="000000" w:fill="FFFFFF"/>
            <w:vAlign w:val="center"/>
            <w:hideMark/>
          </w:tcPr>
          <w:p w14:paraId="3B1CE8EB" w14:textId="77777777" w:rsidR="00CB57A3" w:rsidRPr="009368F1" w:rsidRDefault="00CB57A3" w:rsidP="006F7179">
            <w:pPr>
              <w:jc w:val="center"/>
              <w:rPr>
                <w:rFonts w:eastAsia="Times New Roman"/>
                <w:lang w:eastAsia="en-AU"/>
              </w:rPr>
            </w:pPr>
            <w:r w:rsidRPr="009368F1">
              <w:rPr>
                <w:rFonts w:eastAsia="Times New Roman"/>
                <w:lang w:eastAsia="en-AU"/>
              </w:rPr>
              <w:t>14.1</w:t>
            </w:r>
          </w:p>
        </w:tc>
        <w:tc>
          <w:tcPr>
            <w:tcW w:w="1232" w:type="dxa"/>
            <w:shd w:val="clear" w:color="000000" w:fill="FFFFFF"/>
            <w:vAlign w:val="center"/>
            <w:hideMark/>
          </w:tcPr>
          <w:p w14:paraId="5F20522A" w14:textId="77777777" w:rsidR="00CB57A3" w:rsidRPr="009368F1" w:rsidRDefault="00CB57A3" w:rsidP="006F7179">
            <w:pPr>
              <w:jc w:val="center"/>
              <w:rPr>
                <w:rFonts w:eastAsia="Times New Roman"/>
                <w:lang w:eastAsia="en-AU"/>
              </w:rPr>
            </w:pPr>
            <w:r w:rsidRPr="009368F1">
              <w:rPr>
                <w:rFonts w:eastAsia="Times New Roman"/>
                <w:lang w:eastAsia="en-AU"/>
              </w:rPr>
              <w:t>66.6</w:t>
            </w:r>
          </w:p>
        </w:tc>
        <w:tc>
          <w:tcPr>
            <w:tcW w:w="1243" w:type="dxa"/>
            <w:shd w:val="clear" w:color="000000" w:fill="FFFFFF"/>
            <w:vAlign w:val="center"/>
            <w:hideMark/>
          </w:tcPr>
          <w:p w14:paraId="75FD0A71" w14:textId="77777777" w:rsidR="00CB57A3" w:rsidRPr="009368F1" w:rsidRDefault="00CB57A3" w:rsidP="006F7179">
            <w:pPr>
              <w:jc w:val="center"/>
              <w:rPr>
                <w:rFonts w:eastAsia="Times New Roman"/>
                <w:lang w:eastAsia="en-AU"/>
              </w:rPr>
            </w:pPr>
            <w:r w:rsidRPr="009368F1">
              <w:rPr>
                <w:rFonts w:eastAsia="Times New Roman"/>
                <w:lang w:eastAsia="en-AU"/>
              </w:rPr>
              <w:t>53.4</w:t>
            </w:r>
          </w:p>
        </w:tc>
        <w:tc>
          <w:tcPr>
            <w:tcW w:w="1260" w:type="dxa"/>
            <w:shd w:val="clear" w:color="000000" w:fill="FFFFFF"/>
            <w:vAlign w:val="center"/>
            <w:hideMark/>
          </w:tcPr>
          <w:p w14:paraId="0786948E" w14:textId="77777777" w:rsidR="00CB57A3" w:rsidRPr="009368F1" w:rsidRDefault="00CB57A3" w:rsidP="006F7179">
            <w:pPr>
              <w:jc w:val="center"/>
              <w:rPr>
                <w:rFonts w:eastAsia="Times New Roman"/>
                <w:lang w:eastAsia="en-AU"/>
              </w:rPr>
            </w:pPr>
            <w:r w:rsidRPr="009368F1">
              <w:rPr>
                <w:rFonts w:eastAsia="Times New Roman"/>
                <w:lang w:eastAsia="en-AU"/>
              </w:rPr>
              <w:t>57.1</w:t>
            </w:r>
          </w:p>
        </w:tc>
      </w:tr>
      <w:tr w:rsidR="00CB57A3" w:rsidRPr="00F01EE4" w14:paraId="2E12F413" w14:textId="77777777" w:rsidTr="006F7179">
        <w:trPr>
          <w:trHeight w:val="320"/>
        </w:trPr>
        <w:tc>
          <w:tcPr>
            <w:tcW w:w="2414" w:type="dxa"/>
            <w:shd w:val="clear" w:color="000000" w:fill="FFFFFF"/>
            <w:vAlign w:val="center"/>
            <w:hideMark/>
          </w:tcPr>
          <w:p w14:paraId="3055A8F8" w14:textId="77777777" w:rsidR="00CB57A3" w:rsidRPr="009368F1" w:rsidRDefault="00CB57A3" w:rsidP="006F7179">
            <w:pPr>
              <w:jc w:val="left"/>
              <w:rPr>
                <w:rFonts w:eastAsia="Times New Roman"/>
                <w:lang w:eastAsia="en-AU"/>
              </w:rPr>
            </w:pPr>
            <w:r w:rsidRPr="009368F1">
              <w:rPr>
                <w:rFonts w:eastAsia="Times New Roman"/>
                <w:lang w:eastAsia="en-AU"/>
              </w:rPr>
              <w:t>East and Southeast Asia</w:t>
            </w:r>
          </w:p>
        </w:tc>
        <w:tc>
          <w:tcPr>
            <w:tcW w:w="849" w:type="dxa"/>
            <w:shd w:val="clear" w:color="000000" w:fill="FFFFFF"/>
            <w:vAlign w:val="center"/>
            <w:hideMark/>
          </w:tcPr>
          <w:p w14:paraId="61400CAE" w14:textId="77777777" w:rsidR="00CB57A3" w:rsidRPr="009368F1" w:rsidRDefault="00CB57A3" w:rsidP="006F7179">
            <w:pPr>
              <w:jc w:val="center"/>
              <w:rPr>
                <w:rFonts w:eastAsia="Times New Roman"/>
                <w:lang w:eastAsia="en-AU"/>
              </w:rPr>
            </w:pPr>
            <w:r w:rsidRPr="009368F1">
              <w:rPr>
                <w:rFonts w:eastAsia="Times New Roman"/>
                <w:lang w:eastAsia="en-AU"/>
              </w:rPr>
              <w:t>41.6</w:t>
            </w:r>
          </w:p>
        </w:tc>
        <w:tc>
          <w:tcPr>
            <w:tcW w:w="840" w:type="dxa"/>
            <w:shd w:val="clear" w:color="000000" w:fill="FFFFFF"/>
            <w:vAlign w:val="center"/>
            <w:hideMark/>
          </w:tcPr>
          <w:p w14:paraId="71336033" w14:textId="77777777" w:rsidR="00CB57A3" w:rsidRPr="009368F1" w:rsidRDefault="00CB57A3" w:rsidP="006F7179">
            <w:pPr>
              <w:jc w:val="center"/>
              <w:rPr>
                <w:rFonts w:eastAsia="Times New Roman"/>
                <w:lang w:eastAsia="en-AU"/>
              </w:rPr>
            </w:pPr>
            <w:r w:rsidRPr="009368F1">
              <w:rPr>
                <w:rFonts w:eastAsia="Times New Roman"/>
                <w:lang w:eastAsia="en-AU"/>
              </w:rPr>
              <w:t>42.3</w:t>
            </w:r>
          </w:p>
        </w:tc>
        <w:tc>
          <w:tcPr>
            <w:tcW w:w="1232" w:type="dxa"/>
            <w:shd w:val="clear" w:color="000000" w:fill="FFFFFF"/>
            <w:vAlign w:val="center"/>
            <w:hideMark/>
          </w:tcPr>
          <w:p w14:paraId="5AFE816E" w14:textId="77777777" w:rsidR="00CB57A3" w:rsidRPr="009368F1" w:rsidRDefault="00CB57A3" w:rsidP="006F7179">
            <w:pPr>
              <w:jc w:val="center"/>
              <w:rPr>
                <w:rFonts w:eastAsia="Times New Roman"/>
                <w:lang w:eastAsia="en-AU"/>
              </w:rPr>
            </w:pPr>
            <w:r w:rsidRPr="009368F1">
              <w:rPr>
                <w:rFonts w:eastAsia="Times New Roman"/>
                <w:lang w:eastAsia="en-AU"/>
              </w:rPr>
              <w:t>49.4</w:t>
            </w:r>
          </w:p>
        </w:tc>
        <w:tc>
          <w:tcPr>
            <w:tcW w:w="1232" w:type="dxa"/>
            <w:shd w:val="clear" w:color="000000" w:fill="FFFFFF"/>
            <w:vAlign w:val="center"/>
            <w:hideMark/>
          </w:tcPr>
          <w:p w14:paraId="70B8515E" w14:textId="77777777" w:rsidR="00CB57A3" w:rsidRPr="009368F1" w:rsidRDefault="00CB57A3" w:rsidP="006F7179">
            <w:pPr>
              <w:jc w:val="center"/>
              <w:rPr>
                <w:rFonts w:eastAsia="Times New Roman"/>
                <w:lang w:eastAsia="en-AU"/>
              </w:rPr>
            </w:pPr>
            <w:r w:rsidRPr="009368F1">
              <w:rPr>
                <w:rFonts w:eastAsia="Times New Roman"/>
                <w:lang w:eastAsia="en-AU"/>
              </w:rPr>
              <w:t>49.8</w:t>
            </w:r>
          </w:p>
        </w:tc>
        <w:tc>
          <w:tcPr>
            <w:tcW w:w="1243" w:type="dxa"/>
            <w:shd w:val="clear" w:color="000000" w:fill="FFFFFF"/>
            <w:vAlign w:val="center"/>
            <w:hideMark/>
          </w:tcPr>
          <w:p w14:paraId="6A167F61" w14:textId="77777777" w:rsidR="00CB57A3" w:rsidRPr="009368F1" w:rsidRDefault="00CB57A3" w:rsidP="006F7179">
            <w:pPr>
              <w:jc w:val="center"/>
              <w:rPr>
                <w:rFonts w:eastAsia="Times New Roman"/>
                <w:lang w:eastAsia="en-AU"/>
              </w:rPr>
            </w:pPr>
            <w:r w:rsidRPr="009368F1">
              <w:rPr>
                <w:rFonts w:eastAsia="Times New Roman"/>
                <w:lang w:eastAsia="en-AU"/>
              </w:rPr>
              <w:t>56.8</w:t>
            </w:r>
          </w:p>
        </w:tc>
        <w:tc>
          <w:tcPr>
            <w:tcW w:w="1260" w:type="dxa"/>
            <w:shd w:val="clear" w:color="000000" w:fill="FFFFFF"/>
            <w:vAlign w:val="center"/>
            <w:hideMark/>
          </w:tcPr>
          <w:p w14:paraId="7C218C5E" w14:textId="77777777" w:rsidR="00CB57A3" w:rsidRPr="009368F1" w:rsidRDefault="00CB57A3" w:rsidP="006F7179">
            <w:pPr>
              <w:jc w:val="center"/>
              <w:rPr>
                <w:rFonts w:eastAsia="Times New Roman"/>
                <w:lang w:eastAsia="en-AU"/>
              </w:rPr>
            </w:pPr>
            <w:r w:rsidRPr="009368F1">
              <w:rPr>
                <w:rFonts w:eastAsia="Times New Roman"/>
                <w:lang w:eastAsia="en-AU"/>
              </w:rPr>
              <w:t>52.3</w:t>
            </w:r>
          </w:p>
        </w:tc>
      </w:tr>
      <w:tr w:rsidR="00CB57A3" w:rsidRPr="00F01EE4" w14:paraId="58D3F597" w14:textId="77777777" w:rsidTr="006F7179">
        <w:trPr>
          <w:trHeight w:val="320"/>
        </w:trPr>
        <w:tc>
          <w:tcPr>
            <w:tcW w:w="2414" w:type="dxa"/>
            <w:shd w:val="clear" w:color="000000" w:fill="FFFFFF"/>
            <w:vAlign w:val="center"/>
            <w:hideMark/>
          </w:tcPr>
          <w:p w14:paraId="282A558B" w14:textId="77777777" w:rsidR="00CB57A3" w:rsidRPr="009368F1" w:rsidRDefault="00CB57A3" w:rsidP="006F7179">
            <w:pPr>
              <w:jc w:val="left"/>
              <w:rPr>
                <w:rFonts w:eastAsia="Times New Roman"/>
                <w:lang w:eastAsia="en-AU"/>
              </w:rPr>
            </w:pPr>
            <w:r w:rsidRPr="009368F1">
              <w:rPr>
                <w:rFonts w:eastAsia="Times New Roman"/>
                <w:lang w:eastAsia="en-AU"/>
              </w:rPr>
              <w:t>Oceania</w:t>
            </w:r>
          </w:p>
        </w:tc>
        <w:tc>
          <w:tcPr>
            <w:tcW w:w="849" w:type="dxa"/>
            <w:shd w:val="clear" w:color="000000" w:fill="FFFFFF"/>
            <w:vAlign w:val="center"/>
            <w:hideMark/>
          </w:tcPr>
          <w:p w14:paraId="7B208AC3" w14:textId="77777777" w:rsidR="00CB57A3" w:rsidRPr="009368F1" w:rsidRDefault="00CB57A3" w:rsidP="006F7179">
            <w:pPr>
              <w:jc w:val="center"/>
              <w:rPr>
                <w:rFonts w:eastAsia="Times New Roman"/>
                <w:lang w:eastAsia="en-AU"/>
              </w:rPr>
            </w:pPr>
            <w:r w:rsidRPr="009368F1">
              <w:rPr>
                <w:rFonts w:eastAsia="Times New Roman"/>
                <w:lang w:eastAsia="en-AU"/>
              </w:rPr>
              <w:t>73.9</w:t>
            </w:r>
          </w:p>
        </w:tc>
        <w:tc>
          <w:tcPr>
            <w:tcW w:w="840" w:type="dxa"/>
            <w:shd w:val="clear" w:color="000000" w:fill="FFFFFF"/>
            <w:vAlign w:val="center"/>
            <w:hideMark/>
          </w:tcPr>
          <w:p w14:paraId="2A784FCE" w14:textId="77777777" w:rsidR="00CB57A3" w:rsidRPr="009368F1" w:rsidRDefault="00CB57A3" w:rsidP="006F7179">
            <w:pPr>
              <w:jc w:val="center"/>
              <w:rPr>
                <w:rFonts w:eastAsia="Times New Roman"/>
                <w:lang w:eastAsia="en-AU"/>
              </w:rPr>
            </w:pPr>
            <w:r w:rsidRPr="009368F1">
              <w:rPr>
                <w:rFonts w:eastAsia="Times New Roman"/>
                <w:lang w:eastAsia="en-AU"/>
              </w:rPr>
              <w:t>70.3</w:t>
            </w:r>
          </w:p>
        </w:tc>
        <w:tc>
          <w:tcPr>
            <w:tcW w:w="1232" w:type="dxa"/>
            <w:shd w:val="clear" w:color="000000" w:fill="BFBFBF"/>
            <w:vAlign w:val="center"/>
          </w:tcPr>
          <w:p w14:paraId="649A5A24" w14:textId="77777777" w:rsidR="00CB57A3" w:rsidRPr="009368F1" w:rsidRDefault="00CB57A3" w:rsidP="006F7179">
            <w:pPr>
              <w:jc w:val="center"/>
              <w:rPr>
                <w:rFonts w:eastAsia="Times New Roman"/>
                <w:lang w:eastAsia="en-AU"/>
              </w:rPr>
            </w:pPr>
            <w:r w:rsidRPr="009368F1">
              <w:rPr>
                <w:rFonts w:eastAsia="Times New Roman"/>
                <w:lang w:eastAsia="en-AU"/>
              </w:rPr>
              <w:t>-</w:t>
            </w:r>
          </w:p>
        </w:tc>
        <w:tc>
          <w:tcPr>
            <w:tcW w:w="1232" w:type="dxa"/>
            <w:shd w:val="clear" w:color="000000" w:fill="BFBFBF"/>
            <w:vAlign w:val="center"/>
          </w:tcPr>
          <w:p w14:paraId="1080FBC9" w14:textId="77777777" w:rsidR="00CB57A3" w:rsidRPr="009368F1" w:rsidRDefault="00CB57A3" w:rsidP="006F7179">
            <w:pPr>
              <w:jc w:val="center"/>
              <w:rPr>
                <w:rFonts w:eastAsia="Times New Roman"/>
                <w:lang w:eastAsia="en-AU"/>
              </w:rPr>
            </w:pPr>
            <w:r w:rsidRPr="009368F1">
              <w:rPr>
                <w:rFonts w:eastAsia="Times New Roman"/>
                <w:lang w:eastAsia="en-AU"/>
              </w:rPr>
              <w:t>-</w:t>
            </w:r>
          </w:p>
        </w:tc>
        <w:tc>
          <w:tcPr>
            <w:tcW w:w="1243" w:type="dxa"/>
            <w:shd w:val="clear" w:color="000000" w:fill="FFFFFF"/>
            <w:vAlign w:val="center"/>
            <w:hideMark/>
          </w:tcPr>
          <w:p w14:paraId="3F48064B" w14:textId="77777777" w:rsidR="00CB57A3" w:rsidRPr="009368F1" w:rsidRDefault="00CB57A3" w:rsidP="006F7179">
            <w:pPr>
              <w:jc w:val="center"/>
              <w:rPr>
                <w:rFonts w:eastAsia="Times New Roman"/>
                <w:lang w:eastAsia="en-AU"/>
              </w:rPr>
            </w:pPr>
            <w:r w:rsidRPr="009368F1">
              <w:rPr>
                <w:rFonts w:eastAsia="Times New Roman"/>
                <w:lang w:eastAsia="en-AU"/>
              </w:rPr>
              <w:t>69.1</w:t>
            </w:r>
          </w:p>
        </w:tc>
        <w:tc>
          <w:tcPr>
            <w:tcW w:w="1260" w:type="dxa"/>
            <w:shd w:val="clear" w:color="000000" w:fill="FFFFFF"/>
            <w:vAlign w:val="center"/>
            <w:hideMark/>
          </w:tcPr>
          <w:p w14:paraId="49262E88" w14:textId="77777777" w:rsidR="00CB57A3" w:rsidRPr="009368F1" w:rsidRDefault="00CB57A3" w:rsidP="006F7179">
            <w:pPr>
              <w:jc w:val="center"/>
              <w:rPr>
                <w:rFonts w:eastAsia="Times New Roman"/>
                <w:lang w:eastAsia="en-AU"/>
              </w:rPr>
            </w:pPr>
            <w:r w:rsidRPr="009368F1">
              <w:rPr>
                <w:rFonts w:eastAsia="Times New Roman"/>
                <w:lang w:eastAsia="en-AU"/>
              </w:rPr>
              <w:t>82.9</w:t>
            </w:r>
          </w:p>
        </w:tc>
      </w:tr>
      <w:tr w:rsidR="00CB57A3" w:rsidRPr="00F01EE4" w14:paraId="23D5B579" w14:textId="77777777" w:rsidTr="006F7179">
        <w:trPr>
          <w:trHeight w:val="320"/>
        </w:trPr>
        <w:tc>
          <w:tcPr>
            <w:tcW w:w="2414" w:type="dxa"/>
            <w:shd w:val="clear" w:color="000000" w:fill="FFFFFF"/>
            <w:vAlign w:val="center"/>
            <w:hideMark/>
          </w:tcPr>
          <w:p w14:paraId="5681880E" w14:textId="77777777" w:rsidR="00CB57A3" w:rsidRPr="009368F1" w:rsidRDefault="00CB57A3" w:rsidP="006F7179">
            <w:pPr>
              <w:jc w:val="left"/>
              <w:rPr>
                <w:rFonts w:eastAsia="Times New Roman"/>
                <w:lang w:eastAsia="en-AU"/>
              </w:rPr>
            </w:pPr>
            <w:r w:rsidRPr="009368F1">
              <w:rPr>
                <w:rFonts w:eastAsia="Times New Roman"/>
                <w:lang w:eastAsia="en-AU"/>
              </w:rPr>
              <w:t>South Asia</w:t>
            </w:r>
          </w:p>
        </w:tc>
        <w:tc>
          <w:tcPr>
            <w:tcW w:w="849" w:type="dxa"/>
            <w:shd w:val="clear" w:color="000000" w:fill="FFFFFF"/>
            <w:vAlign w:val="center"/>
            <w:hideMark/>
          </w:tcPr>
          <w:p w14:paraId="424D77FF" w14:textId="77777777" w:rsidR="00CB57A3" w:rsidRPr="009368F1" w:rsidRDefault="00CB57A3" w:rsidP="006F7179">
            <w:pPr>
              <w:jc w:val="center"/>
              <w:rPr>
                <w:rFonts w:eastAsia="Times New Roman"/>
                <w:lang w:eastAsia="en-AU"/>
              </w:rPr>
            </w:pPr>
            <w:r w:rsidRPr="009368F1">
              <w:rPr>
                <w:rFonts w:eastAsia="Times New Roman"/>
                <w:lang w:eastAsia="en-AU"/>
              </w:rPr>
              <w:t>24.9</w:t>
            </w:r>
          </w:p>
        </w:tc>
        <w:tc>
          <w:tcPr>
            <w:tcW w:w="840" w:type="dxa"/>
            <w:shd w:val="clear" w:color="000000" w:fill="FFFFFF"/>
            <w:vAlign w:val="center"/>
            <w:hideMark/>
          </w:tcPr>
          <w:p w14:paraId="31015598" w14:textId="77777777" w:rsidR="00CB57A3" w:rsidRPr="009368F1" w:rsidRDefault="00CB57A3" w:rsidP="006F7179">
            <w:pPr>
              <w:jc w:val="center"/>
              <w:rPr>
                <w:rFonts w:eastAsia="Times New Roman"/>
                <w:lang w:eastAsia="en-AU"/>
              </w:rPr>
            </w:pPr>
            <w:r w:rsidRPr="009368F1">
              <w:rPr>
                <w:rFonts w:eastAsia="Times New Roman"/>
                <w:lang w:eastAsia="en-AU"/>
              </w:rPr>
              <w:t>20.5</w:t>
            </w:r>
          </w:p>
        </w:tc>
        <w:tc>
          <w:tcPr>
            <w:tcW w:w="1232" w:type="dxa"/>
            <w:shd w:val="clear" w:color="000000" w:fill="FFFFFF"/>
            <w:vAlign w:val="center"/>
            <w:hideMark/>
          </w:tcPr>
          <w:p w14:paraId="1B3D6789" w14:textId="77777777" w:rsidR="00CB57A3" w:rsidRPr="009368F1" w:rsidRDefault="00CB57A3" w:rsidP="006F7179">
            <w:pPr>
              <w:jc w:val="center"/>
              <w:rPr>
                <w:rFonts w:eastAsia="Times New Roman"/>
                <w:lang w:eastAsia="en-AU"/>
              </w:rPr>
            </w:pPr>
            <w:r w:rsidRPr="009368F1">
              <w:rPr>
                <w:rFonts w:eastAsia="Times New Roman"/>
                <w:lang w:eastAsia="en-AU"/>
              </w:rPr>
              <w:t>25.3</w:t>
            </w:r>
          </w:p>
        </w:tc>
        <w:tc>
          <w:tcPr>
            <w:tcW w:w="1232" w:type="dxa"/>
            <w:shd w:val="clear" w:color="000000" w:fill="FFFFFF"/>
            <w:vAlign w:val="center"/>
            <w:hideMark/>
          </w:tcPr>
          <w:p w14:paraId="1DB9B8E8" w14:textId="77777777" w:rsidR="00CB57A3" w:rsidRPr="009368F1" w:rsidRDefault="00CB57A3" w:rsidP="006F7179">
            <w:pPr>
              <w:jc w:val="center"/>
              <w:rPr>
                <w:rFonts w:eastAsia="Times New Roman"/>
                <w:lang w:eastAsia="en-AU"/>
              </w:rPr>
            </w:pPr>
            <w:r w:rsidRPr="009368F1">
              <w:rPr>
                <w:rFonts w:eastAsia="Times New Roman"/>
                <w:lang w:eastAsia="en-AU"/>
              </w:rPr>
              <w:t>25.7</w:t>
            </w:r>
          </w:p>
        </w:tc>
        <w:tc>
          <w:tcPr>
            <w:tcW w:w="1243" w:type="dxa"/>
            <w:shd w:val="clear" w:color="000000" w:fill="FFFFFF"/>
            <w:vAlign w:val="center"/>
            <w:hideMark/>
          </w:tcPr>
          <w:p w14:paraId="78F7505A" w14:textId="77777777" w:rsidR="00CB57A3" w:rsidRPr="009368F1" w:rsidRDefault="00CB57A3" w:rsidP="006F7179">
            <w:pPr>
              <w:jc w:val="center"/>
              <w:rPr>
                <w:rFonts w:eastAsia="Times New Roman"/>
                <w:lang w:eastAsia="en-AU"/>
              </w:rPr>
            </w:pPr>
            <w:r w:rsidRPr="009368F1">
              <w:rPr>
                <w:rFonts w:eastAsia="Times New Roman"/>
                <w:lang w:eastAsia="en-AU"/>
              </w:rPr>
              <w:t>30.2</w:t>
            </w:r>
          </w:p>
        </w:tc>
        <w:tc>
          <w:tcPr>
            <w:tcW w:w="1260" w:type="dxa"/>
            <w:shd w:val="clear" w:color="000000" w:fill="FFFFFF"/>
            <w:vAlign w:val="center"/>
            <w:hideMark/>
          </w:tcPr>
          <w:p w14:paraId="42D2961D" w14:textId="77777777" w:rsidR="00CB57A3" w:rsidRPr="009368F1" w:rsidRDefault="00CB57A3" w:rsidP="006F7179">
            <w:pPr>
              <w:jc w:val="center"/>
              <w:rPr>
                <w:rFonts w:eastAsia="Times New Roman"/>
                <w:lang w:eastAsia="en-AU"/>
              </w:rPr>
            </w:pPr>
            <w:r w:rsidRPr="009368F1">
              <w:rPr>
                <w:rFonts w:eastAsia="Times New Roman"/>
                <w:lang w:eastAsia="en-AU"/>
              </w:rPr>
              <w:t>32.3</w:t>
            </w:r>
          </w:p>
        </w:tc>
      </w:tr>
      <w:tr w:rsidR="00CB57A3" w:rsidRPr="00F01EE4" w14:paraId="2E4F9AEC" w14:textId="77777777" w:rsidTr="006F7179">
        <w:trPr>
          <w:trHeight w:val="320"/>
        </w:trPr>
        <w:tc>
          <w:tcPr>
            <w:tcW w:w="2414" w:type="dxa"/>
            <w:shd w:val="clear" w:color="000000" w:fill="FFFFFF"/>
            <w:vAlign w:val="center"/>
            <w:hideMark/>
          </w:tcPr>
          <w:p w14:paraId="589F9BC0" w14:textId="77777777" w:rsidR="00CB57A3" w:rsidRPr="009368F1" w:rsidRDefault="00CB57A3" w:rsidP="006F7179">
            <w:pPr>
              <w:jc w:val="left"/>
              <w:rPr>
                <w:rFonts w:eastAsia="Times New Roman"/>
                <w:lang w:eastAsia="en-AU"/>
              </w:rPr>
            </w:pPr>
            <w:r w:rsidRPr="009368F1">
              <w:rPr>
                <w:rFonts w:eastAsia="Times New Roman"/>
                <w:lang w:eastAsia="en-AU"/>
              </w:rPr>
              <w:t>Latin America and Caribbean</w:t>
            </w:r>
          </w:p>
        </w:tc>
        <w:tc>
          <w:tcPr>
            <w:tcW w:w="849" w:type="dxa"/>
            <w:shd w:val="clear" w:color="000000" w:fill="FFFFFF"/>
            <w:vAlign w:val="center"/>
            <w:hideMark/>
          </w:tcPr>
          <w:p w14:paraId="7E2708CF" w14:textId="77777777" w:rsidR="00CB57A3" w:rsidRPr="009368F1" w:rsidRDefault="00CB57A3" w:rsidP="006F7179">
            <w:pPr>
              <w:jc w:val="center"/>
              <w:rPr>
                <w:rFonts w:eastAsia="Times New Roman"/>
                <w:lang w:eastAsia="en-AU"/>
              </w:rPr>
            </w:pPr>
            <w:r w:rsidRPr="009368F1">
              <w:rPr>
                <w:rFonts w:eastAsia="Times New Roman"/>
                <w:lang w:eastAsia="en-AU"/>
              </w:rPr>
              <w:t>70.3</w:t>
            </w:r>
          </w:p>
        </w:tc>
        <w:tc>
          <w:tcPr>
            <w:tcW w:w="840" w:type="dxa"/>
            <w:shd w:val="clear" w:color="000000" w:fill="FFFFFF"/>
            <w:vAlign w:val="center"/>
            <w:hideMark/>
          </w:tcPr>
          <w:p w14:paraId="3A89FB44" w14:textId="77777777" w:rsidR="00CB57A3" w:rsidRPr="009368F1" w:rsidRDefault="00CB57A3" w:rsidP="006F7179">
            <w:pPr>
              <w:jc w:val="center"/>
              <w:rPr>
                <w:rFonts w:eastAsia="Times New Roman"/>
                <w:lang w:eastAsia="en-AU"/>
              </w:rPr>
            </w:pPr>
            <w:r w:rsidRPr="009368F1">
              <w:rPr>
                <w:rFonts w:eastAsia="Times New Roman"/>
                <w:lang w:eastAsia="en-AU"/>
              </w:rPr>
              <w:t>74.5</w:t>
            </w:r>
          </w:p>
        </w:tc>
        <w:tc>
          <w:tcPr>
            <w:tcW w:w="1232" w:type="dxa"/>
            <w:shd w:val="clear" w:color="000000" w:fill="FFFFFF"/>
            <w:vAlign w:val="center"/>
            <w:hideMark/>
          </w:tcPr>
          <w:p w14:paraId="5A79222A" w14:textId="77777777" w:rsidR="00CB57A3" w:rsidRPr="009368F1" w:rsidRDefault="00CB57A3" w:rsidP="006F7179">
            <w:pPr>
              <w:jc w:val="center"/>
              <w:rPr>
                <w:rFonts w:eastAsia="Times New Roman"/>
                <w:lang w:eastAsia="en-AU"/>
              </w:rPr>
            </w:pPr>
            <w:r w:rsidRPr="009368F1">
              <w:rPr>
                <w:rFonts w:eastAsia="Times New Roman"/>
                <w:lang w:eastAsia="en-AU"/>
              </w:rPr>
              <w:t>77.5</w:t>
            </w:r>
          </w:p>
        </w:tc>
        <w:tc>
          <w:tcPr>
            <w:tcW w:w="1232" w:type="dxa"/>
            <w:shd w:val="clear" w:color="000000" w:fill="FFFFFF"/>
            <w:vAlign w:val="center"/>
            <w:hideMark/>
          </w:tcPr>
          <w:p w14:paraId="74208384" w14:textId="77777777" w:rsidR="00CB57A3" w:rsidRPr="009368F1" w:rsidRDefault="00CB57A3" w:rsidP="006F7179">
            <w:pPr>
              <w:jc w:val="center"/>
              <w:rPr>
                <w:rFonts w:eastAsia="Times New Roman"/>
                <w:lang w:eastAsia="en-AU"/>
              </w:rPr>
            </w:pPr>
            <w:r w:rsidRPr="009368F1">
              <w:rPr>
                <w:rFonts w:eastAsia="Times New Roman"/>
                <w:lang w:eastAsia="en-AU"/>
              </w:rPr>
              <w:t>81.2</w:t>
            </w:r>
          </w:p>
        </w:tc>
        <w:tc>
          <w:tcPr>
            <w:tcW w:w="1243" w:type="dxa"/>
            <w:shd w:val="clear" w:color="000000" w:fill="FFFFFF"/>
            <w:vAlign w:val="center"/>
            <w:hideMark/>
          </w:tcPr>
          <w:p w14:paraId="1E624C20" w14:textId="77777777" w:rsidR="00CB57A3" w:rsidRPr="009368F1" w:rsidRDefault="00CB57A3" w:rsidP="006F7179">
            <w:pPr>
              <w:jc w:val="center"/>
              <w:rPr>
                <w:rFonts w:eastAsia="Times New Roman"/>
                <w:lang w:eastAsia="en-AU"/>
              </w:rPr>
            </w:pPr>
            <w:r w:rsidRPr="009368F1">
              <w:rPr>
                <w:rFonts w:eastAsia="Times New Roman"/>
                <w:lang w:eastAsia="en-AU"/>
              </w:rPr>
              <w:t>86.8</w:t>
            </w:r>
          </w:p>
        </w:tc>
        <w:tc>
          <w:tcPr>
            <w:tcW w:w="1260" w:type="dxa"/>
            <w:shd w:val="clear" w:color="000000" w:fill="FFFFFF"/>
            <w:vAlign w:val="center"/>
            <w:hideMark/>
          </w:tcPr>
          <w:p w14:paraId="3C0F3421" w14:textId="77777777" w:rsidR="00CB57A3" w:rsidRPr="009368F1" w:rsidRDefault="00CB57A3" w:rsidP="006F7179">
            <w:pPr>
              <w:jc w:val="center"/>
              <w:rPr>
                <w:rFonts w:eastAsia="Times New Roman"/>
                <w:lang w:eastAsia="en-AU"/>
              </w:rPr>
            </w:pPr>
            <w:r w:rsidRPr="009368F1">
              <w:rPr>
                <w:rFonts w:eastAsia="Times New Roman"/>
                <w:lang w:eastAsia="en-AU"/>
              </w:rPr>
              <w:t>87.7</w:t>
            </w:r>
          </w:p>
        </w:tc>
      </w:tr>
      <w:tr w:rsidR="00CB57A3" w:rsidRPr="00F01EE4" w14:paraId="09F8C729" w14:textId="77777777" w:rsidTr="006F7179">
        <w:trPr>
          <w:trHeight w:val="320"/>
        </w:trPr>
        <w:tc>
          <w:tcPr>
            <w:tcW w:w="2414" w:type="dxa"/>
            <w:tcBorders>
              <w:bottom w:val="single" w:sz="4" w:space="0" w:color="auto"/>
            </w:tcBorders>
            <w:shd w:val="clear" w:color="000000" w:fill="FFFFFF"/>
            <w:vAlign w:val="center"/>
            <w:hideMark/>
          </w:tcPr>
          <w:p w14:paraId="3EF72DC5" w14:textId="77777777" w:rsidR="00CB57A3" w:rsidRPr="009368F1" w:rsidRDefault="00CB57A3" w:rsidP="006F7179">
            <w:pPr>
              <w:jc w:val="left"/>
              <w:rPr>
                <w:rFonts w:eastAsia="Times New Roman"/>
                <w:lang w:eastAsia="en-AU"/>
              </w:rPr>
            </w:pPr>
            <w:r w:rsidRPr="009368F1">
              <w:rPr>
                <w:rFonts w:eastAsia="Times New Roman"/>
                <w:lang w:eastAsia="en-AU"/>
              </w:rPr>
              <w:t>Sub-Saharan Africa</w:t>
            </w:r>
          </w:p>
        </w:tc>
        <w:tc>
          <w:tcPr>
            <w:tcW w:w="849" w:type="dxa"/>
            <w:tcBorders>
              <w:bottom w:val="single" w:sz="4" w:space="0" w:color="auto"/>
            </w:tcBorders>
            <w:shd w:val="clear" w:color="000000" w:fill="FFFFFF"/>
            <w:vAlign w:val="center"/>
            <w:hideMark/>
          </w:tcPr>
          <w:p w14:paraId="2BA3B6D5" w14:textId="77777777" w:rsidR="00CB57A3" w:rsidRPr="009368F1" w:rsidRDefault="00CB57A3" w:rsidP="006F7179">
            <w:pPr>
              <w:jc w:val="center"/>
              <w:rPr>
                <w:rFonts w:eastAsia="Times New Roman"/>
                <w:lang w:eastAsia="en-AU"/>
              </w:rPr>
            </w:pPr>
            <w:r w:rsidRPr="009368F1">
              <w:rPr>
                <w:rFonts w:eastAsia="Times New Roman"/>
                <w:lang w:eastAsia="en-AU"/>
              </w:rPr>
              <w:t>74.9</w:t>
            </w:r>
          </w:p>
        </w:tc>
        <w:tc>
          <w:tcPr>
            <w:tcW w:w="840" w:type="dxa"/>
            <w:tcBorders>
              <w:bottom w:val="single" w:sz="4" w:space="0" w:color="auto"/>
            </w:tcBorders>
            <w:shd w:val="clear" w:color="000000" w:fill="FFFFFF"/>
            <w:vAlign w:val="center"/>
            <w:hideMark/>
          </w:tcPr>
          <w:p w14:paraId="42A9E22B" w14:textId="77777777" w:rsidR="00CB57A3" w:rsidRPr="009368F1" w:rsidRDefault="00CB57A3" w:rsidP="006F7179">
            <w:pPr>
              <w:jc w:val="center"/>
              <w:rPr>
                <w:rFonts w:eastAsia="Times New Roman"/>
                <w:lang w:eastAsia="en-AU"/>
              </w:rPr>
            </w:pPr>
            <w:r w:rsidRPr="009368F1">
              <w:rPr>
                <w:rFonts w:eastAsia="Times New Roman"/>
                <w:lang w:eastAsia="en-AU"/>
              </w:rPr>
              <w:t>73.7</w:t>
            </w:r>
          </w:p>
        </w:tc>
        <w:tc>
          <w:tcPr>
            <w:tcW w:w="1232" w:type="dxa"/>
            <w:tcBorders>
              <w:bottom w:val="single" w:sz="4" w:space="0" w:color="auto"/>
            </w:tcBorders>
            <w:shd w:val="clear" w:color="000000" w:fill="BFBFBF"/>
            <w:vAlign w:val="center"/>
          </w:tcPr>
          <w:p w14:paraId="0A566ED4" w14:textId="77777777" w:rsidR="00CB57A3" w:rsidRPr="009368F1" w:rsidRDefault="00CB57A3" w:rsidP="006F7179">
            <w:pPr>
              <w:jc w:val="center"/>
              <w:rPr>
                <w:rFonts w:eastAsia="Times New Roman"/>
                <w:lang w:eastAsia="en-AU"/>
              </w:rPr>
            </w:pPr>
            <w:r w:rsidRPr="009368F1">
              <w:rPr>
                <w:rFonts w:eastAsia="Times New Roman"/>
                <w:lang w:eastAsia="en-AU"/>
              </w:rPr>
              <w:t>-</w:t>
            </w:r>
          </w:p>
        </w:tc>
        <w:tc>
          <w:tcPr>
            <w:tcW w:w="1232" w:type="dxa"/>
            <w:tcBorders>
              <w:bottom w:val="single" w:sz="4" w:space="0" w:color="auto"/>
            </w:tcBorders>
            <w:shd w:val="clear" w:color="000000" w:fill="BFBFBF"/>
            <w:vAlign w:val="center"/>
          </w:tcPr>
          <w:p w14:paraId="30E68160" w14:textId="77777777" w:rsidR="00CB57A3" w:rsidRPr="009368F1" w:rsidRDefault="00CB57A3" w:rsidP="006F7179">
            <w:pPr>
              <w:jc w:val="center"/>
              <w:rPr>
                <w:rFonts w:eastAsia="Times New Roman"/>
                <w:lang w:eastAsia="en-AU"/>
              </w:rPr>
            </w:pPr>
            <w:r w:rsidRPr="009368F1">
              <w:rPr>
                <w:rFonts w:eastAsia="Times New Roman"/>
                <w:lang w:eastAsia="en-AU"/>
              </w:rPr>
              <w:t>-</w:t>
            </w:r>
          </w:p>
        </w:tc>
        <w:tc>
          <w:tcPr>
            <w:tcW w:w="1243" w:type="dxa"/>
            <w:tcBorders>
              <w:bottom w:val="single" w:sz="4" w:space="0" w:color="auto"/>
            </w:tcBorders>
            <w:shd w:val="clear" w:color="000000" w:fill="FFFFFF"/>
            <w:vAlign w:val="center"/>
            <w:hideMark/>
          </w:tcPr>
          <w:p w14:paraId="15FE08DC" w14:textId="77777777" w:rsidR="00CB57A3" w:rsidRPr="009368F1" w:rsidRDefault="00CB57A3" w:rsidP="006F7179">
            <w:pPr>
              <w:jc w:val="center"/>
              <w:rPr>
                <w:rFonts w:eastAsia="Times New Roman"/>
                <w:lang w:eastAsia="en-AU"/>
              </w:rPr>
            </w:pPr>
            <w:r w:rsidRPr="009368F1">
              <w:rPr>
                <w:rFonts w:eastAsia="Times New Roman"/>
                <w:lang w:eastAsia="en-AU"/>
              </w:rPr>
              <w:t>63.7</w:t>
            </w:r>
          </w:p>
        </w:tc>
        <w:tc>
          <w:tcPr>
            <w:tcW w:w="1260" w:type="dxa"/>
            <w:tcBorders>
              <w:bottom w:val="single" w:sz="4" w:space="0" w:color="auto"/>
            </w:tcBorders>
            <w:shd w:val="clear" w:color="000000" w:fill="FFFFFF"/>
            <w:vAlign w:val="center"/>
            <w:hideMark/>
          </w:tcPr>
          <w:p w14:paraId="4DA69040" w14:textId="77777777" w:rsidR="00CB57A3" w:rsidRPr="009368F1" w:rsidRDefault="00CB57A3" w:rsidP="006F7179">
            <w:pPr>
              <w:jc w:val="center"/>
              <w:rPr>
                <w:rFonts w:eastAsia="Times New Roman"/>
                <w:lang w:eastAsia="en-AU"/>
              </w:rPr>
            </w:pPr>
            <w:r w:rsidRPr="009368F1">
              <w:rPr>
                <w:rFonts w:eastAsia="Times New Roman"/>
                <w:lang w:eastAsia="en-AU"/>
              </w:rPr>
              <w:t>66.7</w:t>
            </w:r>
          </w:p>
        </w:tc>
      </w:tr>
    </w:tbl>
    <w:p w14:paraId="27FD368E" w14:textId="5CA63054" w:rsidR="00CB57A3" w:rsidRPr="00600FA6" w:rsidRDefault="00CB57A3" w:rsidP="00CB57A3">
      <w:pPr>
        <w:spacing w:before="240"/>
      </w:pPr>
      <w:r>
        <w:t>We further extracted intake ratio from grass and hay, which directly represent pasture-related impacts, to estimate the final grazing-derived dry matter intake for each livestock group (as shown in Table SI</w:t>
      </w:r>
      <w:r w:rsidR="00FD0A2C">
        <w:t xml:space="preserve"> 1.</w:t>
      </w:r>
      <w:r>
        <w:t xml:space="preserve">2). Overall, intake ratio is not substantially different between dairy and meat production systems. To simplify the calculation procedure, we applied averaged intake ratios for each livestock group regardless of production purposes, except for cattle in North America and buffaloes in Near East and North Africa, which were treated separately due to distinct feeding practices. Intake ratios for horses were assumed to be comparable to those of cattle, reflecting </w:t>
      </w:r>
      <w:r>
        <w:lastRenderedPageBreak/>
        <w:t xml:space="preserve">similar body size and forage requirements. Small ruminants are also presented for sheep and goats based on the same basis of body size. </w:t>
      </w:r>
    </w:p>
    <w:p w14:paraId="3822A414" w14:textId="77777777" w:rsidR="00CB57A3" w:rsidRDefault="00CB57A3" w:rsidP="00CB57A3">
      <w:pPr>
        <w:spacing w:before="240"/>
        <w:rPr>
          <w:b/>
          <w:bCs/>
        </w:rPr>
      </w:pPr>
      <w:r w:rsidRPr="004655BA">
        <w:rPr>
          <w:b/>
          <w:bCs/>
        </w:rPr>
        <w:t xml:space="preserve">Step 2. Estimation of </w:t>
      </w:r>
      <w:r>
        <w:rPr>
          <w:b/>
          <w:bCs/>
        </w:rPr>
        <w:t xml:space="preserve">theorical </w:t>
      </w:r>
      <w:r w:rsidRPr="004655BA">
        <w:rPr>
          <w:b/>
          <w:bCs/>
        </w:rPr>
        <w:t xml:space="preserve">total dry matter intake from grass and hay </w:t>
      </w:r>
    </w:p>
    <w:p w14:paraId="23FD597A" w14:textId="01E06FFD" w:rsidR="00CB57A3" w:rsidRDefault="00CB57A3" w:rsidP="00CB57A3">
      <w:r>
        <w:t xml:space="preserve">The next step is combination of reference values of total rations with intake ratio from pasture to generate regional theoretical estimates of dry matter intake from grass and hay for each livestock category (Eq. </w:t>
      </w:r>
      <w:r w:rsidR="0010694F">
        <w:t>3</w:t>
      </w:r>
      <w:r>
        <w:t xml:space="preserve">). This value </w:t>
      </w:r>
    </w:p>
    <w:p w14:paraId="495E585D" w14:textId="031B6561" w:rsidR="00CB57A3" w:rsidRDefault="00483A3B" w:rsidP="0010694F">
      <w:pPr>
        <w:jc w:val="center"/>
        <w:rPr>
          <w:rFonts w:eastAsiaTheme="minorEastAsia"/>
        </w:rPr>
      </w:pPr>
      <m:oMath>
        <m:sSubSup>
          <m:sSubSupPr>
            <m:ctrlPr>
              <w:rPr>
                <w:rFonts w:ascii="Cambria Math" w:hAnsi="Cambria Math"/>
                <w:i/>
              </w:rPr>
            </m:ctrlPr>
          </m:sSubSupPr>
          <m:e>
            <m:r>
              <w:rPr>
                <w:rFonts w:ascii="Cambria Math" w:hAnsi="Cambria Math"/>
              </w:rPr>
              <m:t>DMI</m:t>
            </m:r>
          </m:e>
          <m:sub>
            <m:r>
              <w:rPr>
                <w:rFonts w:ascii="Cambria Math" w:hAnsi="Cambria Math"/>
              </w:rPr>
              <m:t>x,j</m:t>
            </m:r>
          </m:sub>
          <m:sup>
            <m:r>
              <w:rPr>
                <w:rFonts w:ascii="Cambria Math" w:hAnsi="Cambria Math"/>
              </w:rPr>
              <m:t>past</m:t>
            </m:r>
          </m:sup>
        </m:sSubSup>
        <m:r>
          <w:rPr>
            <w:rFonts w:ascii="Cambria Math" w:hAnsi="Cambria Math"/>
          </w:rPr>
          <m:t>=</m:t>
        </m:r>
        <m:sSubSup>
          <m:sSubSupPr>
            <m:ctrlPr>
              <w:rPr>
                <w:rFonts w:ascii="Cambria Math" w:hAnsi="Cambria Math"/>
                <w:i/>
              </w:rPr>
            </m:ctrlPr>
          </m:sSubSupPr>
          <m:e>
            <m:r>
              <w:rPr>
                <w:rFonts w:ascii="Cambria Math" w:hAnsi="Cambria Math"/>
              </w:rPr>
              <m:t>DMI</m:t>
            </m:r>
          </m:e>
          <m:sub>
            <m:r>
              <w:rPr>
                <w:rFonts w:ascii="Cambria Math" w:hAnsi="Cambria Math"/>
              </w:rPr>
              <m:t>x,j</m:t>
            </m:r>
          </m:sub>
          <m:sup>
            <m:r>
              <w:rPr>
                <w:rFonts w:ascii="Cambria Math" w:hAnsi="Cambria Math"/>
              </w:rPr>
              <m:t>total</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x,j</m:t>
            </m:r>
          </m:sub>
          <m:sup>
            <m:r>
              <w:rPr>
                <w:rFonts w:ascii="Cambria Math" w:hAnsi="Cambria Math"/>
              </w:rPr>
              <m:t>grass</m:t>
            </m:r>
          </m:sup>
        </m:sSubSup>
      </m:oMath>
      <w:r w:rsidR="00CB57A3">
        <w:rPr>
          <w:rFonts w:eastAsiaTheme="minorEastAsia"/>
        </w:rPr>
        <w:tab/>
      </w:r>
      <w:r w:rsidR="00CB57A3">
        <w:rPr>
          <w:rFonts w:eastAsiaTheme="minorEastAsia"/>
        </w:rPr>
        <w:tab/>
      </w:r>
      <w:r w:rsidR="00CB57A3">
        <w:rPr>
          <w:rFonts w:eastAsiaTheme="minorEastAsia"/>
        </w:rPr>
        <w:tab/>
        <w:t>(</w:t>
      </w:r>
      <w:r w:rsidR="0010694F">
        <w:rPr>
          <w:rFonts w:eastAsiaTheme="minorEastAsia"/>
        </w:rPr>
        <w:t>3</w:t>
      </w:r>
      <w:r w:rsidR="00CB57A3">
        <w:rPr>
          <w:rFonts w:eastAsiaTheme="minorEastAsia"/>
        </w:rPr>
        <w:t>)</w:t>
      </w:r>
    </w:p>
    <w:p w14:paraId="4370C6B8" w14:textId="77777777" w:rsidR="00CB57A3" w:rsidRDefault="00CB57A3" w:rsidP="00CB57A3">
      <w:pPr>
        <w:rPr>
          <w:rFonts w:eastAsiaTheme="minorEastAsia"/>
        </w:rPr>
      </w:pPr>
      <w:r>
        <w:rPr>
          <w:rFonts w:eastAsiaTheme="minorEastAsia"/>
        </w:rPr>
        <w:t xml:space="preserve">where </w:t>
      </w:r>
      <m:oMath>
        <m:sSubSup>
          <m:sSubSupPr>
            <m:ctrlPr>
              <w:rPr>
                <w:rFonts w:ascii="Cambria Math" w:hAnsi="Cambria Math"/>
                <w:i/>
              </w:rPr>
            </m:ctrlPr>
          </m:sSubSupPr>
          <m:e>
            <m:r>
              <w:rPr>
                <w:rFonts w:ascii="Cambria Math" w:hAnsi="Cambria Math"/>
              </w:rPr>
              <m:t>DMI</m:t>
            </m:r>
          </m:e>
          <m:sub>
            <m:r>
              <w:rPr>
                <w:rFonts w:ascii="Cambria Math" w:hAnsi="Cambria Math"/>
              </w:rPr>
              <m:t>x,j</m:t>
            </m:r>
          </m:sub>
          <m:sup>
            <m:r>
              <w:rPr>
                <w:rFonts w:ascii="Cambria Math" w:hAnsi="Cambria Math"/>
              </w:rPr>
              <m:t>past</m:t>
            </m:r>
          </m:sup>
        </m:sSubSup>
      </m:oMath>
      <w:r>
        <w:rPr>
          <w:rFonts w:eastAsiaTheme="minorEastAsia"/>
        </w:rPr>
        <w:t xml:space="preserve"> (kg/animal/year) denotes pasture-derived dry matter intake for livestock group </w:t>
      </w:r>
      <w:r w:rsidRPr="00D9480F">
        <w:rPr>
          <w:rFonts w:eastAsiaTheme="minorEastAsia"/>
          <w:i/>
          <w:iCs/>
        </w:rPr>
        <w:t>j</w:t>
      </w:r>
      <w:r>
        <w:rPr>
          <w:rFonts w:eastAsiaTheme="minorEastAsia"/>
        </w:rPr>
        <w:t xml:space="preserve"> at region </w:t>
      </w:r>
      <w:r w:rsidRPr="00D550BD">
        <w:rPr>
          <w:rFonts w:eastAsiaTheme="minorEastAsia"/>
          <w:i/>
          <w:iCs/>
        </w:rPr>
        <w:t>x</w:t>
      </w:r>
      <w:r>
        <w:rPr>
          <w:rFonts w:eastAsiaTheme="minorEastAsia"/>
        </w:rPr>
        <w:t xml:space="preserve">; </w:t>
      </w:r>
      <m:oMath>
        <m:sSubSup>
          <m:sSubSupPr>
            <m:ctrlPr>
              <w:rPr>
                <w:rFonts w:ascii="Cambria Math" w:hAnsi="Cambria Math"/>
                <w:i/>
              </w:rPr>
            </m:ctrlPr>
          </m:sSubSupPr>
          <m:e>
            <m:r>
              <w:rPr>
                <w:rFonts w:ascii="Cambria Math" w:hAnsi="Cambria Math"/>
              </w:rPr>
              <m:t>DMI</m:t>
            </m:r>
          </m:e>
          <m:sub>
            <m:r>
              <w:rPr>
                <w:rFonts w:ascii="Cambria Math" w:hAnsi="Cambria Math"/>
              </w:rPr>
              <m:t>x,j</m:t>
            </m:r>
          </m:sub>
          <m:sup>
            <m:r>
              <w:rPr>
                <w:rFonts w:ascii="Cambria Math" w:hAnsi="Cambria Math"/>
              </w:rPr>
              <m:t>total</m:t>
            </m:r>
          </m:sup>
        </m:sSubSup>
      </m:oMath>
      <w:r>
        <w:rPr>
          <w:rFonts w:eastAsiaTheme="minorEastAsia"/>
        </w:rPr>
        <w:t xml:space="preserve"> is total dry matter intake from feed for livestock group </w:t>
      </w:r>
      <w:r w:rsidRPr="00D9480F">
        <w:rPr>
          <w:rFonts w:eastAsiaTheme="minorEastAsia"/>
          <w:i/>
          <w:iCs/>
        </w:rPr>
        <w:t>j</w:t>
      </w:r>
      <w:r>
        <w:rPr>
          <w:rFonts w:eastAsiaTheme="minorEastAsia"/>
        </w:rPr>
        <w:t xml:space="preserve"> at region </w:t>
      </w:r>
      <w:r w:rsidRPr="00D550BD">
        <w:rPr>
          <w:rFonts w:eastAsiaTheme="minorEastAsia"/>
          <w:i/>
          <w:iCs/>
        </w:rPr>
        <w:t>x</w:t>
      </w:r>
      <w:r>
        <w:rPr>
          <w:rFonts w:eastAsiaTheme="minorEastAsia"/>
        </w:rPr>
        <w:t xml:space="preserve">; and </w:t>
      </w:r>
      <m:oMath>
        <m:sSubSup>
          <m:sSubSupPr>
            <m:ctrlPr>
              <w:rPr>
                <w:rFonts w:ascii="Cambria Math" w:hAnsi="Cambria Math"/>
                <w:i/>
              </w:rPr>
            </m:ctrlPr>
          </m:sSubSupPr>
          <m:e>
            <m:r>
              <w:rPr>
                <w:rFonts w:ascii="Cambria Math" w:hAnsi="Cambria Math"/>
              </w:rPr>
              <m:t>R</m:t>
            </m:r>
          </m:e>
          <m:sub>
            <m:r>
              <w:rPr>
                <w:rFonts w:ascii="Cambria Math" w:hAnsi="Cambria Math"/>
              </w:rPr>
              <m:t>x,j</m:t>
            </m:r>
          </m:sub>
          <m:sup>
            <m:r>
              <w:rPr>
                <w:rFonts w:ascii="Cambria Math" w:hAnsi="Cambria Math"/>
              </w:rPr>
              <m:t>grass</m:t>
            </m:r>
          </m:sup>
        </m:sSubSup>
      </m:oMath>
      <w:r>
        <w:rPr>
          <w:rFonts w:eastAsiaTheme="minorEastAsia"/>
        </w:rPr>
        <w:t xml:space="preserve"> is the intake ratio from grass and hay for livestock group </w:t>
      </w:r>
      <w:r>
        <w:rPr>
          <w:rFonts w:eastAsiaTheme="minorEastAsia"/>
          <w:i/>
          <w:iCs/>
        </w:rPr>
        <w:t>j</w:t>
      </w:r>
      <w:r>
        <w:rPr>
          <w:rFonts w:eastAsiaTheme="minorEastAsia"/>
        </w:rPr>
        <w:t xml:space="preserve"> at region </w:t>
      </w:r>
      <w:r w:rsidRPr="00D550BD">
        <w:rPr>
          <w:rFonts w:eastAsiaTheme="minorEastAsia"/>
          <w:i/>
          <w:iCs/>
        </w:rPr>
        <w:t>x</w:t>
      </w:r>
      <w:r>
        <w:rPr>
          <w:rFonts w:eastAsiaTheme="minorEastAsia"/>
        </w:rPr>
        <w:t xml:space="preserve">. </w:t>
      </w:r>
    </w:p>
    <w:p w14:paraId="58846000" w14:textId="77777777" w:rsidR="00CB57A3" w:rsidRDefault="00CB57A3" w:rsidP="00CB57A3">
      <w:pPr>
        <w:spacing w:before="240"/>
        <w:rPr>
          <w:b/>
          <w:bCs/>
        </w:rPr>
      </w:pPr>
      <w:r w:rsidRPr="004655BA">
        <w:rPr>
          <w:b/>
          <w:bCs/>
        </w:rPr>
        <w:t xml:space="preserve">Step </w:t>
      </w:r>
      <w:r>
        <w:rPr>
          <w:b/>
          <w:bCs/>
        </w:rPr>
        <w:t>3</w:t>
      </w:r>
      <w:r w:rsidRPr="004655BA">
        <w:rPr>
          <w:b/>
          <w:bCs/>
        </w:rPr>
        <w:t xml:space="preserve">. </w:t>
      </w:r>
      <w:r>
        <w:rPr>
          <w:b/>
          <w:bCs/>
        </w:rPr>
        <w:t>Estimate spatial explicit total dry matter intake from pasture for specific livestock</w:t>
      </w:r>
    </w:p>
    <w:p w14:paraId="6963D410" w14:textId="74AA2641" w:rsidR="00CB57A3" w:rsidRDefault="00CB57A3" w:rsidP="00CB57A3">
      <w:r>
        <w:t xml:space="preserve">The total dry matter intake value estimated in Step 2 represents a per-head reference value for each livestock at a given country. To derive spatially explicit total dry matter intake from pasture at a location, this reference value was combined with gridded livestock density data from GLW data, which provides the number of livestock head per pixel (Eq. </w:t>
      </w:r>
      <w:r w:rsidR="0010694F">
        <w:t>4</w:t>
      </w:r>
      <w:r>
        <w:t>). The time series of dry matter intake from pasture for each livestock group was obtained by combining time series of GLW data for each livestock group and the raster of per-head reference raster, under the assumption that these values remain constant over time. Ultimately, we completed a time series of total dry matter intake from pasture for each livestock group, illustrated as an example below (Figure SI</w:t>
      </w:r>
      <w:r w:rsidR="003E079A">
        <w:t xml:space="preserve"> 1.</w:t>
      </w:r>
      <w:r>
        <w:t xml:space="preserve">2). This time series was subsequently used to calculate the share proportion of each livestock group, which served as a weighting factor to allocating biodiversity impacts of pasture to individual livestock groups. </w:t>
      </w:r>
    </w:p>
    <w:p w14:paraId="35CB5184" w14:textId="7D30298A" w:rsidR="00CB57A3" w:rsidRDefault="00483A3B" w:rsidP="0010694F">
      <w:pPr>
        <w:jc w:val="center"/>
        <w:rPr>
          <w:rFonts w:eastAsiaTheme="minorEastAsia"/>
        </w:rPr>
      </w:pPr>
      <m:oMath>
        <m:sSubSup>
          <m:sSubSupPr>
            <m:ctrlPr>
              <w:rPr>
                <w:rFonts w:ascii="Cambria Math" w:hAnsi="Cambria Math"/>
                <w:i/>
              </w:rPr>
            </m:ctrlPr>
          </m:sSubSupPr>
          <m:e>
            <m:r>
              <w:rPr>
                <w:rFonts w:ascii="Cambria Math" w:hAnsi="Cambria Math"/>
              </w:rPr>
              <m:t>DMI</m:t>
            </m:r>
          </m:e>
          <m:sub>
            <m:r>
              <w:rPr>
                <w:rFonts w:ascii="Cambria Math" w:hAnsi="Cambria Math"/>
              </w:rPr>
              <m:t>i,j</m:t>
            </m:r>
          </m:sub>
          <m:sup>
            <m:r>
              <w:rPr>
                <w:rFonts w:ascii="Cambria Math" w:hAnsi="Cambria Math"/>
              </w:rPr>
              <m:t>past</m:t>
            </m:r>
          </m:sup>
        </m:sSubSup>
        <m:r>
          <w:rPr>
            <w:rFonts w:ascii="Cambria Math" w:hAnsi="Cambria Math"/>
          </w:rPr>
          <m:t>=</m:t>
        </m:r>
        <m:sSubSup>
          <m:sSubSupPr>
            <m:ctrlPr>
              <w:rPr>
                <w:rFonts w:ascii="Cambria Math" w:hAnsi="Cambria Math"/>
                <w:i/>
              </w:rPr>
            </m:ctrlPr>
          </m:sSubSupPr>
          <m:e>
            <m:r>
              <w:rPr>
                <w:rFonts w:ascii="Cambria Math" w:hAnsi="Cambria Math"/>
              </w:rPr>
              <m:t>DMI</m:t>
            </m:r>
          </m:e>
          <m:sub>
            <m:r>
              <w:rPr>
                <w:rFonts w:ascii="Cambria Math" w:hAnsi="Cambria Math"/>
              </w:rPr>
              <m:t>x,j</m:t>
            </m:r>
          </m:sub>
          <m:sup>
            <m:r>
              <w:rPr>
                <w:rFonts w:ascii="Cambria Math" w:hAnsi="Cambria Math"/>
              </w:rPr>
              <m:t>past</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i,j</m:t>
            </m:r>
          </m:sub>
        </m:sSub>
      </m:oMath>
      <w:r w:rsidR="00CB57A3">
        <w:rPr>
          <w:rFonts w:eastAsiaTheme="minorEastAsia"/>
        </w:rPr>
        <w:tab/>
      </w:r>
      <w:r w:rsidR="00CB57A3">
        <w:rPr>
          <w:rFonts w:eastAsiaTheme="minorEastAsia"/>
        </w:rPr>
        <w:tab/>
      </w:r>
      <w:r w:rsidR="00CB57A3">
        <w:rPr>
          <w:rFonts w:eastAsiaTheme="minorEastAsia"/>
        </w:rPr>
        <w:tab/>
      </w:r>
      <w:r w:rsidR="00CB57A3">
        <w:rPr>
          <w:rFonts w:eastAsiaTheme="minorEastAsia"/>
        </w:rPr>
        <w:tab/>
        <w:t>(</w:t>
      </w:r>
      <w:r w:rsidR="0010694F">
        <w:rPr>
          <w:rFonts w:eastAsiaTheme="minorEastAsia"/>
        </w:rPr>
        <w:t>4</w:t>
      </w:r>
      <w:r w:rsidR="00CB57A3">
        <w:rPr>
          <w:rFonts w:eastAsiaTheme="minorEastAsia"/>
        </w:rPr>
        <w:t>)</w:t>
      </w:r>
    </w:p>
    <w:p w14:paraId="5402F76A" w14:textId="77777777" w:rsidR="00CB57A3" w:rsidRDefault="00CB57A3" w:rsidP="00CB57A3">
      <w:pPr>
        <w:rPr>
          <w:rFonts w:eastAsiaTheme="minorEastAsia"/>
        </w:rPr>
      </w:pPr>
      <w:r>
        <w:t xml:space="preserve">where </w:t>
      </w:r>
      <m:oMath>
        <m:sSubSup>
          <m:sSubSupPr>
            <m:ctrlPr>
              <w:rPr>
                <w:rFonts w:ascii="Cambria Math" w:hAnsi="Cambria Math"/>
                <w:i/>
              </w:rPr>
            </m:ctrlPr>
          </m:sSubSupPr>
          <m:e>
            <m:r>
              <w:rPr>
                <w:rFonts w:ascii="Cambria Math" w:hAnsi="Cambria Math"/>
              </w:rPr>
              <m:t>DMI</m:t>
            </m:r>
          </m:e>
          <m:sub>
            <m:r>
              <w:rPr>
                <w:rFonts w:ascii="Cambria Math" w:hAnsi="Cambria Math"/>
              </w:rPr>
              <m:t>i,j</m:t>
            </m:r>
          </m:sub>
          <m:sup>
            <m:r>
              <w:rPr>
                <w:rFonts w:ascii="Cambria Math" w:hAnsi="Cambria Math"/>
              </w:rPr>
              <m:t>past</m:t>
            </m:r>
          </m:sup>
        </m:sSubSup>
      </m:oMath>
      <w:r>
        <w:rPr>
          <w:rFonts w:eastAsiaTheme="minorEastAsia"/>
        </w:rPr>
        <w:t xml:space="preserve"> (kg/year) is total dry matter intake from pasture of livestock </w:t>
      </w:r>
      <w:r w:rsidRPr="006F10F5">
        <w:rPr>
          <w:rFonts w:eastAsiaTheme="minorEastAsia"/>
          <w:i/>
          <w:iCs/>
        </w:rPr>
        <w:t>j</w:t>
      </w:r>
      <w:r>
        <w:rPr>
          <w:rFonts w:eastAsiaTheme="minorEastAsia"/>
        </w:rPr>
        <w:t xml:space="preserve"> at pixel </w:t>
      </w:r>
      <w:r w:rsidRPr="00D30967">
        <w:rPr>
          <w:rFonts w:eastAsiaTheme="minorEastAsia"/>
          <w:i/>
          <w:iCs/>
        </w:rPr>
        <w:t>i</w:t>
      </w:r>
      <w:r>
        <w:rPr>
          <w:rFonts w:eastAsiaTheme="minorEastAsia"/>
        </w:rPr>
        <w:t xml:space="preserve">; </w:t>
      </w:r>
      <m:oMath>
        <m:sSubSup>
          <m:sSubSupPr>
            <m:ctrlPr>
              <w:rPr>
                <w:rFonts w:ascii="Cambria Math" w:hAnsi="Cambria Math"/>
                <w:i/>
              </w:rPr>
            </m:ctrlPr>
          </m:sSubSupPr>
          <m:e>
            <m:r>
              <w:rPr>
                <w:rFonts w:ascii="Cambria Math" w:hAnsi="Cambria Math"/>
              </w:rPr>
              <m:t>DMI</m:t>
            </m:r>
          </m:e>
          <m:sub>
            <m:r>
              <w:rPr>
                <w:rFonts w:ascii="Cambria Math" w:hAnsi="Cambria Math"/>
              </w:rPr>
              <m:t>x,j</m:t>
            </m:r>
          </m:sub>
          <m:sup>
            <m:r>
              <w:rPr>
                <w:rFonts w:ascii="Cambria Math" w:hAnsi="Cambria Math"/>
              </w:rPr>
              <m:t>past</m:t>
            </m:r>
          </m:sup>
        </m:sSubSup>
      </m:oMath>
      <w:r>
        <w:rPr>
          <w:rFonts w:eastAsiaTheme="minorEastAsia"/>
        </w:rPr>
        <w:t xml:space="preserve"> pasture-derived dry matter intake for livestock group </w:t>
      </w:r>
      <w:r w:rsidRPr="00D9480F">
        <w:rPr>
          <w:rFonts w:eastAsiaTheme="minorEastAsia"/>
          <w:i/>
          <w:iCs/>
        </w:rPr>
        <w:t>j</w:t>
      </w:r>
      <w:r>
        <w:rPr>
          <w:rFonts w:eastAsiaTheme="minorEastAsia"/>
        </w:rPr>
        <w:t xml:space="preserve"> at region </w:t>
      </w:r>
      <w:r w:rsidRPr="00D550BD">
        <w:rPr>
          <w:rFonts w:eastAsiaTheme="minorEastAsia"/>
          <w:i/>
          <w:iCs/>
        </w:rPr>
        <w:t>x</w:t>
      </w:r>
      <w:r>
        <w:rPr>
          <w:rFonts w:eastAsiaTheme="minorEastAsia"/>
          <w:i/>
          <w:iCs/>
        </w:rPr>
        <w:t xml:space="preserve">; </w:t>
      </w:r>
      <w:r>
        <w:rPr>
          <w:rFonts w:eastAsiaTheme="minorEastAsia"/>
        </w:rPr>
        <w:t xml:space="preserve">and </w:t>
      </w:r>
      <w:r w:rsidRPr="00223F5A">
        <w:rPr>
          <w:rFonts w:eastAsiaTheme="minorEastAsia"/>
          <w:i/>
          <w:iCs/>
        </w:rPr>
        <w:t>N</w:t>
      </w:r>
      <w:r w:rsidRPr="00223F5A">
        <w:rPr>
          <w:rFonts w:eastAsiaTheme="minorEastAsia"/>
          <w:i/>
          <w:iCs/>
          <w:vertAlign w:val="subscript"/>
        </w:rPr>
        <w:t xml:space="preserve">i,j </w:t>
      </w:r>
      <w:r>
        <w:rPr>
          <w:rFonts w:eastAsiaTheme="minorEastAsia"/>
        </w:rPr>
        <w:t xml:space="preserve">is total number of livestock </w:t>
      </w:r>
      <w:r w:rsidRPr="0096621E">
        <w:rPr>
          <w:rFonts w:eastAsiaTheme="minorEastAsia"/>
          <w:i/>
          <w:iCs/>
        </w:rPr>
        <w:t>j</w:t>
      </w:r>
      <w:r>
        <w:rPr>
          <w:rFonts w:eastAsiaTheme="minorEastAsia"/>
        </w:rPr>
        <w:t xml:space="preserve"> at pixel </w:t>
      </w:r>
      <w:r w:rsidRPr="00BC7C58">
        <w:rPr>
          <w:rFonts w:eastAsiaTheme="minorEastAsia"/>
          <w:i/>
          <w:iCs/>
        </w:rPr>
        <w:t>i</w:t>
      </w:r>
      <w:r>
        <w:rPr>
          <w:rFonts w:eastAsiaTheme="minorEastAsia"/>
        </w:rPr>
        <w:t>.</w:t>
      </w:r>
    </w:p>
    <w:p w14:paraId="10DA7BC5" w14:textId="77777777" w:rsidR="00CB57A3" w:rsidRDefault="00CB57A3" w:rsidP="00CB57A3">
      <w:pPr>
        <w:rPr>
          <w:rFonts w:eastAsiaTheme="minorEastAsia"/>
        </w:rPr>
      </w:pPr>
    </w:p>
    <w:p w14:paraId="28CAFB60" w14:textId="77777777" w:rsidR="00CB57A3" w:rsidRDefault="00CB57A3" w:rsidP="00CB57A3">
      <w:r>
        <w:rPr>
          <w:noProof/>
        </w:rPr>
        <w:drawing>
          <wp:inline distT="0" distB="0" distL="0" distR="0" wp14:anchorId="1678F1CC" wp14:editId="38E0EE02">
            <wp:extent cx="5760000" cy="2285530"/>
            <wp:effectExtent l="0" t="0" r="0" b="635"/>
            <wp:docPr id="640645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2285530"/>
                    </a:xfrm>
                    <a:prstGeom prst="rect">
                      <a:avLst/>
                    </a:prstGeom>
                    <a:noFill/>
                  </pic:spPr>
                </pic:pic>
              </a:graphicData>
            </a:graphic>
          </wp:inline>
        </w:drawing>
      </w:r>
    </w:p>
    <w:p w14:paraId="0E1A5E4E" w14:textId="0314F393" w:rsidR="00CB57A3" w:rsidRPr="00FD0A2C" w:rsidRDefault="00CB57A3" w:rsidP="00CB57A3">
      <w:pPr>
        <w:jc w:val="center"/>
        <w:rPr>
          <w:i/>
          <w:iCs/>
        </w:rPr>
      </w:pPr>
      <w:r w:rsidRPr="00FD0A2C">
        <w:rPr>
          <w:i/>
          <w:iCs/>
        </w:rPr>
        <w:lastRenderedPageBreak/>
        <w:t>Figure SI</w:t>
      </w:r>
      <w:r w:rsidR="00FD0A2C" w:rsidRPr="00FD0A2C">
        <w:rPr>
          <w:i/>
          <w:iCs/>
        </w:rPr>
        <w:t xml:space="preserve"> 1.</w:t>
      </w:r>
      <w:r w:rsidRPr="00FD0A2C">
        <w:rPr>
          <w:i/>
          <w:iCs/>
        </w:rPr>
        <w:t>2. Example of total DMI from pasture for dairy cattle in 2000.</w:t>
      </w:r>
    </w:p>
    <w:p w14:paraId="57E2932E" w14:textId="7F4EE291" w:rsidR="00CB57A3" w:rsidRPr="00DD050C" w:rsidRDefault="00CB57A3" w:rsidP="00B661DC">
      <w:pPr>
        <w:jc w:val="center"/>
        <w:rPr>
          <w:lang w:val="en-US"/>
        </w:rPr>
      </w:pPr>
      <w:r>
        <w:br w:type="column"/>
      </w:r>
    </w:p>
    <w:p w14:paraId="605F1832" w14:textId="24D65C93" w:rsidR="007F6C29" w:rsidRDefault="007F6C29" w:rsidP="00B40225">
      <w:pPr>
        <w:pStyle w:val="Heading2"/>
      </w:pPr>
      <w:r>
        <w:t xml:space="preserve">SI </w:t>
      </w:r>
      <w:r w:rsidR="00FD0A2C">
        <w:t>2</w:t>
      </w:r>
      <w:r>
        <w:t>: F</w:t>
      </w:r>
      <w:r w:rsidRPr="007F6C29">
        <w:t>reshwater boundary normalisation and scarcity-weighted indicators</w:t>
      </w:r>
    </w:p>
    <w:p w14:paraId="3B3029A1" w14:textId="238AD9BD" w:rsidR="007F6C29" w:rsidRPr="00B40225" w:rsidRDefault="007F6C29" w:rsidP="00B40225">
      <w:pPr>
        <w:pStyle w:val="FirstParagraph"/>
      </w:pPr>
      <w:r w:rsidRPr="00B40225">
        <w:t xml:space="preserve">This supporting information documents the boundary comparison used for physical blue-water consumption and scarcity-weighted freshwater indicators. The main analysis retains the legacy planetary-boundary comparator for global consumptive blue-water </w:t>
      </w:r>
      <w:r w:rsidR="00B40225" w:rsidRPr="00B40225">
        <w:t>use but</w:t>
      </w:r>
      <w:r w:rsidRPr="00B40225">
        <w:t xml:space="preserve"> reports AWARE 2.0 as the main scarcity-weighted indicator. WSI is retained as a sensitivity test.</w:t>
      </w:r>
    </w:p>
    <w:p w14:paraId="41B9DBCE" w14:textId="77777777" w:rsidR="007F6C29" w:rsidRPr="00B40225" w:rsidRDefault="007F6C29" w:rsidP="00B40225">
      <w:pPr>
        <w:pStyle w:val="FirstParagraph"/>
      </w:pPr>
      <w:bookmarkStart w:id="2" w:name="X2b9f228f9306eea778feb3a71e7dd5e6ddcf8df"/>
      <w:r w:rsidRPr="00B40225">
        <w:t xml:space="preserve">The physical indicator compares annual global consumptive blue-water use </w:t>
      </w:r>
      <m:oMath>
        <m:sSub>
          <m:sSubPr>
            <m:ctrlPr>
              <w:rPr>
                <w:rFonts w:ascii="Cambria Math" w:hAnsi="Cambria Math"/>
              </w:rPr>
            </m:ctrlPr>
          </m:sSubPr>
          <m:e>
            <m:r>
              <w:rPr>
                <w:rFonts w:ascii="Cambria Math" w:hAnsi="Cambria Math"/>
              </w:rPr>
              <m:t>W</m:t>
            </m:r>
          </m:e>
          <m:sub>
            <m:r>
              <m:rPr>
                <m:sty m:val="p"/>
              </m:rPr>
              <w:rPr>
                <w:rFonts w:ascii="Cambria Math" w:hAnsi="Cambria Math"/>
              </w:rPr>
              <m:t>blue</m:t>
            </m:r>
          </m:sub>
        </m:sSub>
      </m:oMath>
      <w:r w:rsidRPr="00B40225">
        <w:t xml:space="preserve"> with the legacy freshwater-use planetary boundary. We use </w:t>
      </w:r>
      <m:oMath>
        <m:r>
          <w:rPr>
            <w:rFonts w:ascii="Cambria Math" w:hAnsi="Cambria Math"/>
          </w:rPr>
          <m:t>P</m:t>
        </m:r>
        <m:sSub>
          <m:sSubPr>
            <m:ctrlPr>
              <w:rPr>
                <w:rFonts w:ascii="Cambria Math" w:hAnsi="Cambria Math"/>
              </w:rPr>
            </m:ctrlPr>
          </m:sSubPr>
          <m:e>
            <m:r>
              <w:rPr>
                <w:rFonts w:ascii="Cambria Math" w:hAnsi="Cambria Math"/>
              </w:rPr>
              <m:t>B</m:t>
            </m:r>
          </m:e>
          <m:sub>
            <m:r>
              <m:rPr>
                <m:sty m:val="p"/>
              </m:rPr>
              <w:rPr>
                <w:rFonts w:ascii="Cambria Math" w:hAnsi="Cambria Math"/>
              </w:rPr>
              <m:t>phys</m:t>
            </m:r>
          </m:sub>
        </m:sSub>
        <m:r>
          <m:rPr>
            <m:sty m:val="p"/>
          </m:rPr>
          <w:rPr>
            <w:rFonts w:ascii="Cambria Math" w:hAnsi="Cambria Math"/>
          </w:rPr>
          <m:t>=</m:t>
        </m:r>
        <m:r>
          <w:rPr>
            <w:rFonts w:ascii="Cambria Math" w:hAnsi="Cambria Math"/>
          </w:rPr>
          <m:t>4</m:t>
        </m:r>
        <m:r>
          <m:rPr>
            <m:sty m:val="p"/>
          </m:rPr>
          <w:rPr>
            <w:rFonts w:ascii="Cambria Math" w:hAnsi="Cambria Math"/>
          </w:rPr>
          <m:t>,</m:t>
        </m:r>
        <m:r>
          <w:rPr>
            <w:rFonts w:ascii="Cambria Math" w:hAnsi="Cambria Math"/>
          </w:rPr>
          <m:t>000 </m:t>
        </m:r>
        <m:r>
          <m:rPr>
            <m:sty m:val="p"/>
          </m:rPr>
          <w:rPr>
            <w:rFonts w:ascii="Cambria Math" w:hAnsi="Cambria Math"/>
          </w:rPr>
          <m:t>k</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m:rPr>
            <m:sty m:val="p"/>
          </m:rPr>
          <w:rPr>
            <w:rFonts w:ascii="Cambria Math" w:hAnsi="Cambria Math"/>
          </w:rPr>
          <m:t> y</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-1</m:t>
            </m:r>
          </m:sup>
        </m:sSup>
      </m:oMath>
      <w:r w:rsidRPr="00B40225">
        <w:t xml:space="preserve"> as the reference boundary and </w:t>
      </w:r>
      <m:oMath>
        <m:r>
          <w:rPr>
            <w:rFonts w:ascii="Cambria Math" w:hAnsi="Cambria Math"/>
          </w:rPr>
          <m:t>P</m:t>
        </m:r>
        <m:sSub>
          <m:sSubPr>
            <m:ctrlPr>
              <w:rPr>
                <w:rFonts w:ascii="Cambria Math" w:hAnsi="Cambria Math"/>
              </w:rPr>
            </m:ctrlPr>
          </m:sSubPr>
          <m:e>
            <m:r>
              <w:rPr>
                <w:rFonts w:ascii="Cambria Math" w:hAnsi="Cambria Math"/>
              </w:rPr>
              <m:t>B</m:t>
            </m:r>
          </m:e>
          <m:sub>
            <m:r>
              <m:rPr>
                <m:sty m:val="p"/>
              </m:rPr>
              <w:rPr>
                <w:rFonts w:ascii="Cambria Math" w:hAnsi="Cambria Math"/>
              </w:rPr>
              <m:t>phys</m:t>
            </m:r>
          </m:sub>
        </m:sSub>
        <m:r>
          <m:rPr>
            <m:sty m:val="p"/>
          </m:rPr>
          <w:rPr>
            <w:rFonts w:ascii="Cambria Math" w:hAnsi="Cambria Math"/>
          </w:rPr>
          <m:t>=</m:t>
        </m:r>
        <m:r>
          <w:rPr>
            <w:rFonts w:ascii="Cambria Math" w:hAnsi="Cambria Math"/>
          </w:rPr>
          <m:t>6</m:t>
        </m:r>
        <m:r>
          <m:rPr>
            <m:sty m:val="p"/>
          </m:rPr>
          <w:rPr>
            <w:rFonts w:ascii="Cambria Math" w:hAnsi="Cambria Math"/>
          </w:rPr>
          <m:t>,</m:t>
        </m:r>
        <m:r>
          <w:rPr>
            <w:rFonts w:ascii="Cambria Math" w:hAnsi="Cambria Math"/>
          </w:rPr>
          <m:t>000 </m:t>
        </m:r>
        <m:r>
          <m:rPr>
            <m:sty m:val="p"/>
          </m:rPr>
          <w:rPr>
            <w:rFonts w:ascii="Cambria Math" w:hAnsi="Cambria Math"/>
          </w:rPr>
          <m:t>k</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m:rPr>
            <m:sty m:val="p"/>
          </m:rPr>
          <w:rPr>
            <w:rFonts w:ascii="Cambria Math" w:hAnsi="Cambria Math"/>
          </w:rPr>
          <m:t> y</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-1</m:t>
            </m:r>
          </m:sup>
        </m:sSup>
      </m:oMath>
      <w:r w:rsidRPr="00B40225">
        <w:t xml:space="preserve"> as the upper-bound sensitivity.</w:t>
      </w:r>
    </w:p>
    <w:p w14:paraId="12325145" w14:textId="77777777" w:rsidR="007F6C29" w:rsidRPr="00B40225" w:rsidRDefault="007F6C29" w:rsidP="00B40225">
      <w:pPr>
        <w:pStyle w:val="FirstParagraph"/>
      </w:pPr>
      <w:bookmarkStart w:id="3" w:name="Xb8a167b0665b61e5b171ac2228a28c060ef98c5"/>
      <w:bookmarkEnd w:id="2"/>
      <w:r w:rsidRPr="00B40225">
        <w:t>AWARE 2.0 characterises physical blue-water consumption by basin-level water scarcity. The raw AWARE-weighted total is:</w:t>
      </w:r>
    </w:p>
    <w:p w14:paraId="2F6478F8" w14:textId="77777777" w:rsidR="007F6C29" w:rsidRPr="00B40225" w:rsidRDefault="00483A3B" w:rsidP="00B40225">
      <w:pPr>
        <w:pStyle w:val="BodyText"/>
      </w:pPr>
      <m:oMathPara>
        <m:oMathParaPr>
          <m:jc m:val="center"/>
        </m:oMathParaPr>
        <m:oMath>
          <m:sSub>
            <m:sSubPr>
              <m:ctrlPr>
                <w:rPr>
                  <w:rFonts w:ascii="Cambria Math" w:hAnsi="Cambria Math"/>
                </w:rPr>
              </m:ctrlPr>
            </m:sSubPr>
            <m:e>
              <m:r>
                <w:rPr>
                  <w:rFonts w:ascii="Cambria Math" w:hAnsi="Cambria Math"/>
                </w:rPr>
                <m:t>W</m:t>
              </m:r>
            </m:e>
            <m:sub>
              <m:r>
                <m:rPr>
                  <m:sty m:val="p"/>
                </m:rPr>
                <w:rPr>
                  <w:rFonts w:ascii="Cambria Math" w:hAnsi="Cambria Math"/>
                </w:rPr>
                <m:t>AWARE</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i,r</m:t>
              </m:r>
            </m:sub>
            <m:sup>
              <m:r>
                <w:rPr>
                  <w:rFonts w:ascii="Cambria Math" w:hAnsi="Cambria Math"/>
                </w:rPr>
                <m:t>​</m:t>
              </m:r>
            </m:sup>
            <m:e>
              <m:sSub>
                <m:sSubPr>
                  <m:ctrlPr>
                    <w:rPr>
                      <w:rFonts w:ascii="Cambria Math" w:hAnsi="Cambria Math"/>
                    </w:rPr>
                  </m:ctrlPr>
                </m:sSubPr>
                <m:e>
                  <m:r>
                    <w:rPr>
                      <w:rFonts w:ascii="Cambria Math" w:hAnsi="Cambria Math"/>
                    </w:rPr>
                    <m:t>W</m:t>
                  </m:r>
                </m:e>
                <m:sub>
                  <m:r>
                    <w:rPr>
                      <w:rFonts w:ascii="Cambria Math" w:hAnsi="Cambria Math"/>
                    </w:rPr>
                    <m:t>i,r</m:t>
                  </m:r>
                </m:sub>
              </m:sSub>
            </m:e>
          </m:nary>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,r,AWARE</m:t>
              </m:r>
            </m:sub>
          </m:sSub>
        </m:oMath>
      </m:oMathPara>
    </w:p>
    <w:p w14:paraId="3C817EB6" w14:textId="77777777" w:rsidR="007F6C29" w:rsidRPr="00B40225" w:rsidRDefault="007F6C29" w:rsidP="00B40225">
      <w:pPr>
        <w:pStyle w:val="FirstParagraph"/>
      </w:pPr>
      <w:r w:rsidRPr="00B40225">
        <w:t xml:space="preserve">where </w:t>
      </w:r>
      <m:oMath>
        <m:sSub>
          <m:sSubPr>
            <m:ctrlPr>
              <w:rPr>
                <w:rFonts w:ascii="Cambria Math" w:hAnsi="Cambria Math"/>
              </w:rPr>
            </m:ctrlPr>
          </m:sSubPr>
          <m:e>
            <m:r>
              <w:rPr>
                <w:rFonts w:ascii="Cambria Math" w:hAnsi="Cambria Math"/>
              </w:rPr>
              <m:t>W</m:t>
            </m:r>
          </m:e>
          <m:sub>
            <m:r>
              <m:rPr>
                <m:sty m:val="p"/>
              </m:rPr>
              <w:rPr>
                <w:rFonts w:ascii="Cambria Math" w:hAnsi="Cambria Math"/>
              </w:rPr>
              <m:t>AWARE</m:t>
            </m:r>
          </m:sub>
        </m:sSub>
      </m:oMath>
      <w:r w:rsidRPr="00B40225">
        <w:t xml:space="preserve"> is AWARE 2.0-weighted blue-water consumption, </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Pr="00B40225">
        <w:t xml:space="preserve"> is physical blue-water consumption in region </w:t>
      </w:r>
      <w:r w:rsidRPr="00B40225">
        <w:rPr>
          <w:i/>
          <w:iCs/>
        </w:rPr>
        <w:t xml:space="preserve">r, </w:t>
      </w:r>
      <w:r w:rsidRPr="00B40225">
        <w:t xml:space="preserve">sector </w:t>
      </w:r>
      <m:oMath>
        <m:r>
          <w:rPr>
            <w:rFonts w:ascii="Cambria Math" w:hAnsi="Cambria Math"/>
          </w:rPr>
          <m:t>i</m:t>
        </m:r>
      </m:oMath>
      <w:r w:rsidRPr="00B40225">
        <w:t xml:space="preserve">, and </w:t>
      </w:r>
      <m:oMath>
        <m:r>
          <w:rPr>
            <w:rFonts w:ascii="Cambria Math" w:hAnsi="Cambria Math"/>
          </w:rPr>
          <m:t>C</m:t>
        </m:r>
        <m:sSub>
          <m:sSubPr>
            <m:ctrlPr>
              <w:rPr>
                <w:rFonts w:ascii="Cambria Math" w:hAnsi="Cambria Math"/>
              </w:rPr>
            </m:ctrlPr>
          </m:sSubPr>
          <m:e>
            <m:r>
              <w:rPr>
                <w:rFonts w:ascii="Cambria Math" w:hAnsi="Cambria Math"/>
              </w:rPr>
              <m:t>F</m:t>
            </m:r>
          </m:e>
          <m:sub>
            <m:r>
              <w:rPr>
                <w:rFonts w:ascii="Cambria Math" w:hAnsi="Cambria Math"/>
              </w:rPr>
              <m:t>i,r</m:t>
            </m:r>
            <m:r>
              <m:rPr>
                <m:sty m:val="p"/>
              </m:rPr>
              <w:rPr>
                <w:rFonts w:ascii="Cambria Math" w:hAnsi="Cambria Math"/>
              </w:rPr>
              <m:t>,AWARE</m:t>
            </m:r>
          </m:sub>
        </m:sSub>
      </m:oMath>
      <w:r w:rsidRPr="00B40225">
        <w:t xml:space="preserve"> is the AWARE 2.0 characterisation factor for region </w:t>
      </w:r>
      <w:r w:rsidRPr="00B40225">
        <w:rPr>
          <w:i/>
          <w:iCs/>
        </w:rPr>
        <w:t xml:space="preserve">r, </w:t>
      </w:r>
      <w:r w:rsidRPr="00B40225">
        <w:t xml:space="preserve">sector </w:t>
      </w:r>
      <m:oMath>
        <m:r>
          <w:rPr>
            <w:rFonts w:ascii="Cambria Math" w:hAnsi="Cambria Math"/>
          </w:rPr>
          <m:t>i</m:t>
        </m:r>
      </m:oMath>
      <w:r w:rsidRPr="00B40225">
        <w:t xml:space="preserve"> based on a spatially explicit crop specific weighting of water use aggregated to country totals.</w:t>
      </w:r>
    </w:p>
    <w:p w14:paraId="4EE6E3EF" w14:textId="77777777" w:rsidR="007F6C29" w:rsidRPr="00B40225" w:rsidRDefault="007F6C29" w:rsidP="00B40225">
      <w:pPr>
        <w:pStyle w:val="FirstParagraph"/>
      </w:pPr>
      <w:r w:rsidRPr="00B40225">
        <w:t>The global consumption-weighted AWARE factor is calculated from the same blue-water inventory:</w:t>
      </w:r>
    </w:p>
    <w:p w14:paraId="0AC31D2C" w14:textId="77777777" w:rsidR="007F6C29" w:rsidRPr="00B40225" w:rsidRDefault="00483A3B" w:rsidP="00B40225">
      <w:pPr>
        <w:pStyle w:val="BodyText"/>
      </w:pPr>
      <m:oMathPara>
        <m:oMathParaPr>
          <m:jc m:val="center"/>
        </m:oMathParaPr>
        <m:oMath>
          <m:sSub>
            <m:sSubPr>
              <m:ctrlPr>
                <w:rPr>
                  <w:rFonts w:ascii="Cambria Math" w:hAnsi="Cambria Math"/>
                </w:rPr>
              </m:ctrlPr>
            </m:sSubPr>
            <m:e>
              <m:bar>
                <m:barPr>
                  <m:pos m:val="top"/>
                  <m:ctrlPr>
                    <w:rPr>
                      <w:rFonts w:ascii="Cambria Math" w:hAnsi="Cambria Math"/>
                    </w:rPr>
                  </m:ctrlPr>
                </m:barPr>
                <m:e>
                  <m:r>
                    <w:rPr>
                      <w:rFonts w:ascii="Cambria Math" w:hAnsi="Cambria Math"/>
                    </w:rPr>
                    <m:t>CF</m:t>
                  </m:r>
                </m:e>
              </m:bar>
            </m:e>
            <m:sub>
              <m:r>
                <m:rPr>
                  <m:sty m:val="p"/>
                </m:rPr>
                <w:rPr>
                  <w:rFonts w:ascii="Cambria Math" w:hAnsi="Cambria Math"/>
                </w:rPr>
                <m:t>AWARE</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r</m:t>
                  </m:r>
                </m:sub>
                <m:sup>
                  <m:r>
                    <m:rPr>
                      <m:sty m:val="p"/>
                    </m:rPr>
                    <w:rPr>
                      <w:rFonts w:ascii="Cambria Math" w:hAnsi="Cambria Math"/>
                    </w:rPr>
                    <m:t>​</m:t>
                  </m:r>
                </m:sup>
                <m:e>
                  <m:sSub>
                    <m:sSubPr>
                      <m:ctrlPr>
                        <w:rPr>
                          <w:rFonts w:ascii="Cambria Math" w:hAnsi="Cambria Math"/>
                        </w:rPr>
                      </m:ctrlPr>
                    </m:sSubPr>
                    <m:e>
                      <m:r>
                        <w:rPr>
                          <w:rFonts w:ascii="Cambria Math" w:hAnsi="Cambria Math"/>
                        </w:rPr>
                        <m:t>W</m:t>
                      </m:r>
                    </m:e>
                    <m:sub>
                      <m:r>
                        <w:rPr>
                          <w:rFonts w:ascii="Cambria Math" w:hAnsi="Cambria Math"/>
                        </w:rPr>
                        <m:t>i</m:t>
                      </m:r>
                      <m:r>
                        <m:rPr>
                          <m:sty m:val="p"/>
                        </m:rPr>
                        <w:rPr>
                          <w:rFonts w:ascii="Cambria Math" w:hAnsi="Cambria Math"/>
                        </w:rPr>
                        <m:t>,</m:t>
                      </m:r>
                      <m:r>
                        <w:rPr>
                          <w:rFonts w:ascii="Cambria Math" w:hAnsi="Cambria Math"/>
                        </w:rPr>
                        <m:t>r</m:t>
                      </m:r>
                    </m:sub>
                  </m:sSub>
                </m:e>
              </m:nary>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r</m:t>
                  </m:r>
                  <m:r>
                    <m:rPr>
                      <m:sty m:val="p"/>
                    </m:rPr>
                    <w:rPr>
                      <w:rFonts w:ascii="Cambria Math" w:hAnsi="Cambria Math"/>
                    </w:rPr>
                    <m:t>,AWARE</m:t>
                  </m:r>
                </m:sub>
              </m:sSub>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r</m:t>
                  </m:r>
                </m:sub>
                <m:sup>
                  <m:r>
                    <m:rPr>
                      <m:sty m:val="p"/>
                    </m:rPr>
                    <w:rPr>
                      <w:rFonts w:ascii="Cambria Math" w:hAnsi="Cambria Math"/>
                    </w:rPr>
                    <m:t>​</m:t>
                  </m:r>
                </m:sup>
                <m:e>
                  <m:sSub>
                    <m:sSubPr>
                      <m:ctrlPr>
                        <w:rPr>
                          <w:rFonts w:ascii="Cambria Math" w:hAnsi="Cambria Math"/>
                        </w:rPr>
                      </m:ctrlPr>
                    </m:sSubPr>
                    <m:e>
                      <m:r>
                        <w:rPr>
                          <w:rFonts w:ascii="Cambria Math" w:hAnsi="Cambria Math"/>
                        </w:rPr>
                        <m:t>W</m:t>
                      </m:r>
                    </m:e>
                    <m:sub>
                      <m:r>
                        <w:rPr>
                          <w:rFonts w:ascii="Cambria Math" w:hAnsi="Cambria Math"/>
                        </w:rPr>
                        <m:t>i</m:t>
                      </m:r>
                      <m:r>
                        <m:rPr>
                          <m:sty m:val="p"/>
                        </m:rPr>
                        <w:rPr>
                          <w:rFonts w:ascii="Cambria Math" w:hAnsi="Cambria Math"/>
                        </w:rPr>
                        <m:t>,</m:t>
                      </m:r>
                      <m:r>
                        <w:rPr>
                          <w:rFonts w:ascii="Cambria Math" w:hAnsi="Cambria Math"/>
                        </w:rPr>
                        <m:t>r</m:t>
                      </m:r>
                    </m:sub>
                  </m:sSub>
                </m:e>
              </m:nary>
            </m:den>
          </m:f>
        </m:oMath>
      </m:oMathPara>
    </w:p>
    <w:p w14:paraId="7A42D030" w14:textId="77777777" w:rsidR="007F6C29" w:rsidRPr="00B40225" w:rsidRDefault="007F6C29" w:rsidP="00B40225">
      <w:pPr>
        <w:pStyle w:val="FirstParagraph"/>
      </w:pPr>
      <w:r w:rsidRPr="00B40225">
        <w:t>For the 2020 inventory used here:</w:t>
      </w:r>
    </w:p>
    <w:p w14:paraId="7039ABE8" w14:textId="4DAD6FA0" w:rsidR="007F6C29" w:rsidRPr="00B40225" w:rsidRDefault="00483A3B" w:rsidP="00B40225">
      <w:pPr>
        <w:pStyle w:val="BodyText"/>
      </w:pPr>
      <m:oMathPara>
        <m:oMathParaPr>
          <m:jc m:val="center"/>
        </m:oMathParaPr>
        <m:oMath>
          <m:sSub>
            <m:sSubPr>
              <m:ctrlPr>
                <w:rPr>
                  <w:rFonts w:ascii="Cambria Math" w:hAnsi="Cambria Math"/>
                </w:rPr>
              </m:ctrlPr>
            </m:sSubPr>
            <m:e>
              <m:bar>
                <m:barPr>
                  <m:pos m:val="top"/>
                  <m:ctrlPr>
                    <w:rPr>
                      <w:rFonts w:ascii="Cambria Math" w:hAnsi="Cambria Math"/>
                    </w:rPr>
                  </m:ctrlPr>
                </m:barPr>
                <m:e>
                  <m:r>
                    <w:rPr>
                      <w:rFonts w:ascii="Cambria Math" w:hAnsi="Cambria Math"/>
                    </w:rPr>
                    <m:t>CF</m:t>
                  </m:r>
                </m:e>
              </m:bar>
            </m:e>
            <m:sub>
              <m:r>
                <m:rPr>
                  <m:sty m:val="p"/>
                </m:rPr>
                <w:rPr>
                  <w:rFonts w:ascii="Cambria Math" w:hAnsi="Cambria Math"/>
                </w:rPr>
                <m:t>AWARE</m:t>
              </m:r>
            </m:sub>
          </m:sSub>
          <m:r>
            <m:rPr>
              <m:sty m:val="p"/>
            </m:rPr>
            <w:rPr>
              <w:rFonts w:ascii="Cambria Math" w:hAnsi="Cambria Math"/>
            </w:rPr>
            <m:t>=</m:t>
          </m:r>
          <m:f>
            <m:fPr>
              <m:ctrlPr>
                <w:rPr>
                  <w:rFonts w:ascii="Cambria Math" w:hAnsi="Cambria Math"/>
                </w:rPr>
              </m:ctrlPr>
            </m:fPr>
            <m:num>
              <m:r>
                <w:rPr>
                  <w:rFonts w:ascii="Cambria Math" w:hAnsi="Cambria Math"/>
                </w:rPr>
                <m:t>40</m:t>
              </m:r>
              <m:r>
                <m:rPr>
                  <m:sty m:val="p"/>
                </m:rPr>
                <w:rPr>
                  <w:rFonts w:ascii="Cambria Math" w:hAnsi="Cambria Math"/>
                </w:rPr>
                <m:t>,</m:t>
              </m:r>
              <m:r>
                <w:rPr>
                  <w:rFonts w:ascii="Cambria Math" w:hAnsi="Cambria Math"/>
                </w:rPr>
                <m:t>766</m:t>
              </m:r>
            </m:num>
            <m:den>
              <m:r>
                <w:rPr>
                  <w:rFonts w:ascii="Cambria Math" w:hAnsi="Cambria Math"/>
                </w:rPr>
                <m:t>1</m:t>
              </m:r>
              <m:r>
                <m:rPr>
                  <m:sty m:val="p"/>
                </m:rPr>
                <w:rPr>
                  <w:rFonts w:ascii="Cambria Math" w:hAnsi="Cambria Math"/>
                </w:rPr>
                <m:t>,</m:t>
              </m:r>
              <m:r>
                <w:rPr>
                  <w:rFonts w:ascii="Cambria Math" w:hAnsi="Cambria Math"/>
                </w:rPr>
                <m:t>234</m:t>
              </m:r>
            </m:den>
          </m:f>
          <m:r>
            <m:rPr>
              <m:sty m:val="p"/>
            </m:rPr>
            <w:rPr>
              <w:rFonts w:ascii="Cambria Math" w:hAnsi="Cambria Math"/>
            </w:rPr>
            <m:t>=</m:t>
          </m:r>
          <m:r>
            <w:rPr>
              <w:rFonts w:ascii="Cambria Math" w:hAnsi="Cambria Math"/>
            </w:rPr>
            <m:t>33.0 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r>
            <m:rPr>
              <m:sty m:val="p"/>
            </m:rPr>
            <w:rPr>
              <w:rFonts w:ascii="Cambria Math" w:hAnsi="Cambria Math"/>
            </w:rPr>
            <m:t> world</m:t>
          </m:r>
          <m:r>
            <m:rPr>
              <m:nor/>
            </m:rPr>
            <m:t>-</m:t>
          </m:r>
          <m:r>
            <m:rPr>
              <m:sty m:val="p"/>
            </m:rPr>
            <w:rPr>
              <w:rFonts w:ascii="Cambria Math" w:hAnsi="Cambria Math"/>
            </w:rPr>
            <m:t>eq 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m:oMathPara>
    </w:p>
    <w:p w14:paraId="6F84E7D4" w14:textId="77777777" w:rsidR="007F6C29" w:rsidRPr="00B40225" w:rsidRDefault="007F6C29" w:rsidP="00B40225">
      <w:pPr>
        <w:pStyle w:val="FirstParagraph"/>
      </w:pPr>
      <w:r w:rsidRPr="00B40225">
        <w:t>To avoid comparing raw AWARE world-equivalent volumes directly with the physical blue-water boundary, the AWARE-weighted result is rescaled by this global factor:</w:t>
      </w:r>
    </w:p>
    <w:p w14:paraId="58BE964B" w14:textId="77777777" w:rsidR="007F6C29" w:rsidRPr="00B40225" w:rsidRDefault="00483A3B" w:rsidP="00B40225">
      <w:pPr>
        <w:pStyle w:val="BodyText"/>
      </w:pPr>
      <m:oMathPara>
        <m:oMathParaPr>
          <m:jc m:val="center"/>
        </m:oMathParaPr>
        <m:oMath>
          <m:sSub>
            <m:sSubPr>
              <m:ctrlPr>
                <w:rPr>
                  <w:rFonts w:ascii="Cambria Math" w:hAnsi="Cambria Math"/>
                </w:rPr>
              </m:ctrlPr>
            </m:sSubPr>
            <m:e>
              <m:r>
                <w:rPr>
                  <w:rFonts w:ascii="Cambria Math" w:hAnsi="Cambria Math"/>
                </w:rPr>
                <m:t>W</m:t>
              </m:r>
            </m:e>
            <m:sub>
              <m:r>
                <m:rPr>
                  <m:sty m:val="p"/>
                </m:rPr>
                <w:rPr>
                  <w:rFonts w:ascii="Cambria Math" w:hAnsi="Cambria Math"/>
                </w:rPr>
                <m:t>AWARE,norm</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AWARE</m:t>
                  </m:r>
                </m:sub>
              </m:sSub>
            </m:num>
            <m:den>
              <m:sSub>
                <m:sSubPr>
                  <m:ctrlPr>
                    <w:rPr>
                      <w:rFonts w:ascii="Cambria Math" w:hAnsi="Cambria Math"/>
                    </w:rPr>
                  </m:ctrlPr>
                </m:sSubPr>
                <m:e>
                  <m:bar>
                    <m:barPr>
                      <m:pos m:val="top"/>
                      <m:ctrlPr>
                        <w:rPr>
                          <w:rFonts w:ascii="Cambria Math" w:hAnsi="Cambria Math"/>
                        </w:rPr>
                      </m:ctrlPr>
                    </m:barPr>
                    <m:e>
                      <m:r>
                        <w:rPr>
                          <w:rFonts w:ascii="Cambria Math" w:hAnsi="Cambria Math"/>
                        </w:rPr>
                        <m:t>CF</m:t>
                      </m:r>
                    </m:e>
                  </m:bar>
                </m:e>
                <m:sub>
                  <m:r>
                    <m:rPr>
                      <m:sty m:val="p"/>
                    </m:rPr>
                    <w:rPr>
                      <w:rFonts w:ascii="Cambria Math" w:hAnsi="Cambria Math"/>
                    </w:rPr>
                    <m:t>AWARE</m:t>
                  </m:r>
                </m:sub>
              </m:sSub>
            </m:den>
          </m:f>
        </m:oMath>
      </m:oMathPara>
    </w:p>
    <w:p w14:paraId="229892D7" w14:textId="77777777" w:rsidR="007F6C29" w:rsidRPr="00B40225" w:rsidRDefault="007F6C29" w:rsidP="00B40225">
      <w:pPr>
        <w:pStyle w:val="FirstParagraph"/>
      </w:pPr>
      <w:r w:rsidRPr="00B40225">
        <w:t xml:space="preserve">where </w:t>
      </w:r>
      <m:oMath>
        <m:sSub>
          <m:sSubPr>
            <m:ctrlPr>
              <w:rPr>
                <w:rFonts w:ascii="Cambria Math" w:hAnsi="Cambria Math"/>
              </w:rPr>
            </m:ctrlPr>
          </m:sSubPr>
          <m:e>
            <m:r>
              <w:rPr>
                <w:rFonts w:ascii="Cambria Math" w:hAnsi="Cambria Math"/>
              </w:rPr>
              <m:t>W</m:t>
            </m:r>
          </m:e>
          <m:sub>
            <m:r>
              <m:rPr>
                <m:sty m:val="p"/>
              </m:rPr>
              <w:rPr>
                <w:rFonts w:ascii="Cambria Math" w:hAnsi="Cambria Math"/>
              </w:rPr>
              <m:t>AWARE,norm</m:t>
            </m:r>
          </m:sub>
        </m:sSub>
      </m:oMath>
      <w:r w:rsidRPr="00B40225">
        <w:t xml:space="preserve"> is AWARE-normalised blue-water consumption, expressed in global-average-scarcity-equivalent blue-water units. </w:t>
      </w:r>
    </w:p>
    <w:p w14:paraId="5246028B" w14:textId="77777777" w:rsidR="007F6C29" w:rsidRPr="00B40225" w:rsidRDefault="007F6C29" w:rsidP="00B40225">
      <w:pPr>
        <w:pStyle w:val="FirstParagraph"/>
      </w:pPr>
      <w:r w:rsidRPr="00B40225">
        <w:t xml:space="preserve">This formulation preserves relative scarcity weighting while placing the result on a scale directly comparable with the physical blue-water boundary. Because </w:t>
      </w:r>
      <m:oMath>
        <m:sSub>
          <m:sSubPr>
            <m:ctrlPr>
              <w:rPr>
                <w:rFonts w:ascii="Cambria Math" w:hAnsi="Cambria Math"/>
              </w:rPr>
            </m:ctrlPr>
          </m:sSubPr>
          <m:e>
            <m:bar>
              <m:barPr>
                <m:pos m:val="top"/>
                <m:ctrlPr>
                  <w:rPr>
                    <w:rFonts w:ascii="Cambria Math" w:hAnsi="Cambria Math"/>
                  </w:rPr>
                </m:ctrlPr>
              </m:barPr>
              <m:e>
                <m:r>
                  <w:rPr>
                    <w:rFonts w:ascii="Cambria Math" w:hAnsi="Cambria Math"/>
                  </w:rPr>
                  <m:t>CF</m:t>
                </m:r>
              </m:e>
            </m:bar>
          </m:e>
          <m:sub>
            <m:r>
              <m:rPr>
                <m:sty m:val="p"/>
              </m:rPr>
              <w:rPr>
                <w:rFonts w:ascii="Cambria Math" w:hAnsi="Cambria Math"/>
              </w:rPr>
              <m:t>AWARE</m:t>
            </m:r>
          </m:sub>
        </m:sSub>
      </m:oMath>
      <w:r w:rsidRPr="00B40225">
        <w:t xml:space="preserve"> is calculated from the same global inventory, the global AWARE-normalised total equals the physical global total by construction; deviations are informative for sectors, countries, products, or final-demand categories that are more or less scarcity-intensive than the global average.</w:t>
      </w:r>
    </w:p>
    <w:p w14:paraId="62DC706D" w14:textId="77777777" w:rsidR="007F6C29" w:rsidRPr="00B40225" w:rsidRDefault="007F6C29" w:rsidP="00B40225">
      <w:pPr>
        <w:pStyle w:val="FirstParagraph"/>
      </w:pPr>
      <w:bookmarkStart w:id="4" w:name="s3.-wsi-weighted-sensitivity"/>
      <w:bookmarkEnd w:id="3"/>
      <w:r w:rsidRPr="00B40225">
        <w:lastRenderedPageBreak/>
        <w:t>The Water Stress Index (WSI) is retained as an alternative scarcity-weighting sensitivity. The WSI-weighted result is:</w:t>
      </w:r>
    </w:p>
    <w:p w14:paraId="3DD1EEF3" w14:textId="03050615" w:rsidR="007F6C29" w:rsidRPr="00B40225" w:rsidRDefault="00483A3B" w:rsidP="00B40225">
      <w:pPr>
        <w:pStyle w:val="BodyText"/>
      </w:pPr>
      <m:oMathPara>
        <m:oMathParaPr>
          <m:jc m:val="center"/>
        </m:oMathParaPr>
        <m:oMath>
          <m:sSub>
            <m:sSubPr>
              <m:ctrlPr>
                <w:rPr>
                  <w:rFonts w:ascii="Cambria Math" w:hAnsi="Cambria Math"/>
                </w:rPr>
              </m:ctrlPr>
            </m:sSubPr>
            <m:e>
              <m:r>
                <w:rPr>
                  <w:rFonts w:ascii="Cambria Math" w:hAnsi="Cambria Math"/>
                </w:rPr>
                <m:t>W</m:t>
              </m:r>
            </m:e>
            <m:sub>
              <m:r>
                <m:rPr>
                  <m:sty m:val="p"/>
                </m:rPr>
                <w:rPr>
                  <w:rFonts w:ascii="Cambria Math" w:hAnsi="Cambria Math"/>
                </w:rPr>
                <m:t>WSI</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r,i</m:t>
              </m:r>
            </m:sub>
            <m:sup>
              <m:r>
                <w:rPr>
                  <w:rFonts w:ascii="Cambria Math" w:hAnsi="Cambria Math"/>
                </w:rPr>
                <m:t>​</m:t>
              </m:r>
            </m:sup>
            <m:e>
              <m:sSub>
                <m:sSubPr>
                  <m:ctrlPr>
                    <w:rPr>
                      <w:rFonts w:ascii="Cambria Math" w:hAnsi="Cambria Math"/>
                    </w:rPr>
                  </m:ctrlPr>
                </m:sSubPr>
                <m:e>
                  <m:r>
                    <w:rPr>
                      <w:rFonts w:ascii="Cambria Math" w:hAnsi="Cambria Math"/>
                    </w:rPr>
                    <m:t>W</m:t>
                  </m:r>
                </m:e>
                <m:sub>
                  <m:r>
                    <w:rPr>
                      <w:rFonts w:ascii="Cambria Math" w:hAnsi="Cambria Math"/>
                    </w:rPr>
                    <m:t>r,i</m:t>
                  </m:r>
                </m:sub>
              </m:sSub>
            </m:e>
          </m:nary>
          <m:r>
            <m:rPr>
              <m:sty m:val="p"/>
            </m:rPr>
            <w:rPr>
              <w:rFonts w:ascii="Cambria Math" w:hAnsi="Cambria Math"/>
            </w:rPr>
            <m:t>×</m:t>
          </m:r>
          <m:r>
            <w:rPr>
              <w:rFonts w:ascii="Cambria Math" w:hAnsi="Cambria Math"/>
            </w:rPr>
            <m:t>WS</m:t>
          </m:r>
          <m:sSub>
            <m:sSubPr>
              <m:ctrlPr>
                <w:rPr>
                  <w:rFonts w:ascii="Cambria Math" w:hAnsi="Cambria Math"/>
                </w:rPr>
              </m:ctrlPr>
            </m:sSubPr>
            <m:e>
              <m:r>
                <w:rPr>
                  <w:rFonts w:ascii="Cambria Math" w:hAnsi="Cambria Math"/>
                </w:rPr>
                <m:t>I</m:t>
              </m:r>
            </m:e>
            <m:sub>
              <m:r>
                <w:rPr>
                  <w:rFonts w:ascii="Cambria Math" w:hAnsi="Cambria Math"/>
                </w:rPr>
                <m:t>r,i</m:t>
              </m:r>
            </m:sub>
          </m:sSub>
        </m:oMath>
      </m:oMathPara>
    </w:p>
    <w:p w14:paraId="39C8A297" w14:textId="58F29CF3" w:rsidR="007F6C29" w:rsidRPr="00B40225" w:rsidRDefault="007F6C29" w:rsidP="00B40225">
      <w:pPr>
        <w:pStyle w:val="FirstParagraph"/>
      </w:pPr>
      <w:r w:rsidRPr="00B40225">
        <w:t xml:space="preserve">where </w:t>
      </w:r>
      <m:oMath>
        <m:sSub>
          <m:sSubPr>
            <m:ctrlPr>
              <w:rPr>
                <w:rFonts w:ascii="Cambria Math" w:hAnsi="Cambria Math"/>
              </w:rPr>
            </m:ctrlPr>
          </m:sSubPr>
          <m:e>
            <m:r>
              <w:rPr>
                <w:rFonts w:ascii="Cambria Math" w:hAnsi="Cambria Math"/>
              </w:rPr>
              <m:t>W</m:t>
            </m:r>
          </m:e>
          <m:sub>
            <m:r>
              <m:rPr>
                <m:sty m:val="p"/>
              </m:rPr>
              <w:rPr>
                <w:rFonts w:ascii="Cambria Math" w:hAnsi="Cambria Math"/>
              </w:rPr>
              <m:t>WSI</m:t>
            </m:r>
          </m:sub>
        </m:sSub>
      </m:oMath>
      <w:r w:rsidRPr="00B40225">
        <w:t xml:space="preserve"> is WSI-weighted blue-water consumption and </w:t>
      </w:r>
      <m:oMath>
        <m:r>
          <w:rPr>
            <w:rFonts w:ascii="Cambria Math" w:hAnsi="Cambria Math"/>
          </w:rPr>
          <m:t>WS</m:t>
        </m:r>
        <m:sSub>
          <m:sSubPr>
            <m:ctrlPr>
              <w:rPr>
                <w:rFonts w:ascii="Cambria Math" w:hAnsi="Cambria Math"/>
              </w:rPr>
            </m:ctrlPr>
          </m:sSubPr>
          <m:e>
            <m:r>
              <w:rPr>
                <w:rFonts w:ascii="Cambria Math" w:hAnsi="Cambria Math"/>
              </w:rPr>
              <m:t>I</m:t>
            </m:r>
          </m:e>
          <m:sub>
            <m:r>
              <w:rPr>
                <w:rFonts w:ascii="Cambria Math" w:hAnsi="Cambria Math"/>
              </w:rPr>
              <m:t>r,i</m:t>
            </m:r>
          </m:sub>
        </m:sSub>
      </m:oMath>
      <w:r w:rsidRPr="00B40225">
        <w:t xml:space="preserve"> is the WSI characterisation factor for location </w:t>
      </w:r>
      <w:r w:rsidR="002615C6" w:rsidRPr="002615C6">
        <w:rPr>
          <w:i/>
          <w:iCs/>
        </w:rPr>
        <w:t>r</w:t>
      </w:r>
      <w:r w:rsidR="002615C6">
        <w:t xml:space="preserve"> and</w:t>
      </w:r>
      <w:r w:rsidRPr="00B40225">
        <w:t xml:space="preserve"> production unit </w:t>
      </w:r>
      <m:oMath>
        <m:r>
          <w:rPr>
            <w:rFonts w:ascii="Cambria Math" w:hAnsi="Cambria Math"/>
          </w:rPr>
          <m:t>i</m:t>
        </m:r>
      </m:oMath>
      <w:r w:rsidRPr="00B40225">
        <w:t xml:space="preserve">. Using a global average WSI of </w:t>
      </w:r>
      <m:oMath>
        <m:bar>
          <m:barPr>
            <m:pos m:val="top"/>
            <m:ctrlPr>
              <w:rPr>
                <w:rFonts w:ascii="Cambria Math" w:hAnsi="Cambria Math"/>
              </w:rPr>
            </m:ctrlPr>
          </m:barPr>
          <m:e>
            <m:r>
              <w:rPr>
                <w:rFonts w:ascii="Cambria Math" w:hAnsi="Cambria Math"/>
              </w:rPr>
              <m:t>WSI</m:t>
            </m:r>
          </m:e>
        </m:bar>
        <m:r>
          <m:rPr>
            <m:sty m:val="p"/>
          </m:rPr>
          <w:rPr>
            <w:rFonts w:ascii="Cambria Math" w:hAnsi="Cambria Math"/>
          </w:rPr>
          <m:t>=</m:t>
        </m:r>
        <m:r>
          <w:rPr>
            <w:rFonts w:ascii="Cambria Math" w:hAnsi="Cambria Math"/>
          </w:rPr>
          <m:t>0.51</m:t>
        </m:r>
      </m:oMath>
      <w:r w:rsidRPr="00B40225">
        <w:t>, the WSI-weighted boundary reference is:</w:t>
      </w:r>
    </w:p>
    <w:p w14:paraId="61124B2D" w14:textId="77777777" w:rsidR="007F6C29" w:rsidRPr="00B40225" w:rsidRDefault="007F6C29" w:rsidP="00B40225">
      <w:pPr>
        <w:pStyle w:val="BodyText"/>
      </w:pPr>
      <m:oMathPara>
        <m:oMathParaPr>
          <m:jc m:val="center"/>
        </m:oMathParaPr>
        <m:oMath>
          <m:r>
            <w:rPr>
              <w:rFonts w:ascii="Cambria Math" w:hAnsi="Cambria Math"/>
            </w:rPr>
            <m:t>P</m:t>
          </m:r>
          <m:sSub>
            <m:sSubPr>
              <m:ctrlPr>
                <w:rPr>
                  <w:rFonts w:ascii="Cambria Math" w:hAnsi="Cambria Math"/>
                </w:rPr>
              </m:ctrlPr>
            </m:sSubPr>
            <m:e>
              <m:r>
                <w:rPr>
                  <w:rFonts w:ascii="Cambria Math" w:hAnsi="Cambria Math"/>
                </w:rPr>
                <m:t>B</m:t>
              </m:r>
            </m:e>
            <m:sub>
              <m:r>
                <m:rPr>
                  <m:sty m:val="p"/>
                </m:rPr>
                <w:rPr>
                  <w:rFonts w:ascii="Cambria Math" w:hAnsi="Cambria Math"/>
                </w:rPr>
                <m:t>WSI</m:t>
              </m:r>
            </m:sub>
          </m:sSub>
          <m:r>
            <m:rPr>
              <m:sty m:val="p"/>
            </m:rPr>
            <w:rPr>
              <w:rFonts w:ascii="Cambria Math" w:hAnsi="Cambria Math"/>
            </w:rPr>
            <m:t>=</m:t>
          </m:r>
          <m:r>
            <w:rPr>
              <w:rFonts w:ascii="Cambria Math" w:hAnsi="Cambria Math"/>
            </w:rPr>
            <m:t>P</m:t>
          </m:r>
          <m:sSub>
            <m:sSubPr>
              <m:ctrlPr>
                <w:rPr>
                  <w:rFonts w:ascii="Cambria Math" w:hAnsi="Cambria Math"/>
                </w:rPr>
              </m:ctrlPr>
            </m:sSubPr>
            <m:e>
              <m:r>
                <w:rPr>
                  <w:rFonts w:ascii="Cambria Math" w:hAnsi="Cambria Math"/>
                </w:rPr>
                <m:t>B</m:t>
              </m:r>
            </m:e>
            <m:sub>
              <m:r>
                <m:rPr>
                  <m:sty m:val="p"/>
                </m:rPr>
                <w:rPr>
                  <w:rFonts w:ascii="Cambria Math" w:hAnsi="Cambria Math"/>
                </w:rPr>
                <m:t>phys</m:t>
              </m:r>
            </m:sub>
          </m:sSub>
          <m:r>
            <m:rPr>
              <m:sty m:val="p"/>
            </m:rPr>
            <w:rPr>
              <w:rFonts w:ascii="Cambria Math" w:hAnsi="Cambria Math"/>
            </w:rPr>
            <m:t>×</m:t>
          </m:r>
          <m:bar>
            <m:barPr>
              <m:pos m:val="top"/>
              <m:ctrlPr>
                <w:rPr>
                  <w:rFonts w:ascii="Cambria Math" w:hAnsi="Cambria Math"/>
                </w:rPr>
              </m:ctrlPr>
            </m:barPr>
            <m:e>
              <m:r>
                <w:rPr>
                  <w:rFonts w:ascii="Cambria Math" w:hAnsi="Cambria Math"/>
                </w:rPr>
                <m:t>WSI</m:t>
              </m:r>
            </m:e>
          </m:bar>
        </m:oMath>
      </m:oMathPara>
    </w:p>
    <w:p w14:paraId="15DAF2C3" w14:textId="77777777" w:rsidR="007F6C29" w:rsidRDefault="007F6C29" w:rsidP="002615C6">
      <w:bookmarkStart w:id="5" w:name="s5.-global-aware-2.0-factor-stability"/>
      <w:bookmarkEnd w:id="4"/>
    </w:p>
    <w:p w14:paraId="79E4DCFF" w14:textId="77777777" w:rsidR="00FD0A2C" w:rsidRPr="00B40225" w:rsidRDefault="00FD0A2C" w:rsidP="00FD0A2C">
      <w:pPr>
        <w:pStyle w:val="BlockText"/>
      </w:pPr>
      <w:r w:rsidRPr="00B40225">
        <w:t xml:space="preserve">Table SI </w:t>
      </w:r>
      <w:r>
        <w:t>2.</w:t>
      </w:r>
      <w:r w:rsidRPr="00B40225">
        <w:t>1 AWARE global factors</w:t>
      </w:r>
    </w:p>
    <w:tbl>
      <w:tblPr>
        <w:tblStyle w:val="Table"/>
        <w:tblW w:w="5000" w:type="pct"/>
        <w:jc w:val="center"/>
        <w:tblLook w:val="0020" w:firstRow="1" w:lastRow="0" w:firstColumn="0" w:lastColumn="0" w:noHBand="0" w:noVBand="0"/>
      </w:tblPr>
      <w:tblGrid>
        <w:gridCol w:w="696"/>
        <w:gridCol w:w="3411"/>
        <w:gridCol w:w="2971"/>
        <w:gridCol w:w="2328"/>
      </w:tblGrid>
      <w:tr w:rsidR="007F6C29" w:rsidRPr="00B40225" w14:paraId="549C9A03" w14:textId="77777777" w:rsidTr="008A19F4">
        <w:trPr>
          <w:cnfStyle w:val="100000000000" w:firstRow="1" w:lastRow="0" w:firstColumn="0" w:lastColumn="0" w:oddVBand="0" w:evenVBand="0" w:oddHBand="0" w:evenHBand="0" w:firstRowFirstColumn="0" w:firstRowLastColumn="0" w:lastRowFirstColumn="0" w:lastRowLastColumn="0"/>
          <w:cantSplit/>
          <w:tblHeader/>
          <w:jc w:val="center"/>
        </w:trPr>
        <w:tc>
          <w:tcPr>
            <w:tcW w:w="0" w:type="auto"/>
            <w:tcBorders>
              <w:top w:val="single" w:sz="4" w:space="0" w:color="auto"/>
              <w:bottom w:val="single" w:sz="2" w:space="0" w:color="auto"/>
            </w:tcBorders>
            <w:vAlign w:val="top"/>
          </w:tcPr>
          <w:p w14:paraId="0B9FEE85" w14:textId="77777777" w:rsidR="007F6C29" w:rsidRPr="00B40225" w:rsidRDefault="007F6C29" w:rsidP="00B40225">
            <w:pPr>
              <w:pStyle w:val="Compact"/>
            </w:pPr>
            <w:r w:rsidRPr="00B40225">
              <w:t>Year</w:t>
            </w:r>
          </w:p>
        </w:tc>
        <w:tc>
          <w:tcPr>
            <w:tcW w:w="0" w:type="auto"/>
            <w:tcBorders>
              <w:top w:val="single" w:sz="4" w:space="0" w:color="auto"/>
              <w:bottom w:val="single" w:sz="2" w:space="0" w:color="auto"/>
            </w:tcBorders>
            <w:vAlign w:val="top"/>
          </w:tcPr>
          <w:p w14:paraId="118E2954" w14:textId="595E78E8" w:rsidR="007F6C29" w:rsidRPr="00B40225" w:rsidRDefault="007F6C29" w:rsidP="00B40225">
            <w:pPr>
              <w:pStyle w:val="Compact"/>
            </w:pPr>
            <w:r w:rsidRPr="00B40225">
              <w:t>AWARE 2.0-weighted blue water (km</w:t>
            </w:r>
            <w:r w:rsidR="007D447C" w:rsidRPr="007935BB">
              <w:rPr>
                <w:vertAlign w:val="superscript"/>
              </w:rPr>
              <w:t>3</w:t>
            </w:r>
            <w:r w:rsidRPr="00B40225">
              <w:t xml:space="preserve"> world-eq)</w:t>
            </w:r>
          </w:p>
        </w:tc>
        <w:tc>
          <w:tcPr>
            <w:tcW w:w="0" w:type="auto"/>
            <w:tcBorders>
              <w:top w:val="single" w:sz="4" w:space="0" w:color="auto"/>
              <w:bottom w:val="single" w:sz="2" w:space="0" w:color="auto"/>
            </w:tcBorders>
            <w:vAlign w:val="top"/>
          </w:tcPr>
          <w:p w14:paraId="15D43A29" w14:textId="01EEAE66" w:rsidR="007F6C29" w:rsidRPr="00B40225" w:rsidRDefault="007F6C29" w:rsidP="00B40225">
            <w:pPr>
              <w:pStyle w:val="Compact"/>
            </w:pPr>
            <w:r w:rsidRPr="00B40225">
              <w:t>Physical blue-water consumption (km</w:t>
            </w:r>
            <w:r w:rsidR="007D447C" w:rsidRPr="007935BB">
              <w:rPr>
                <w:vertAlign w:val="superscript"/>
              </w:rPr>
              <w:t>3</w:t>
            </w:r>
            <w:r w:rsidRPr="00B40225">
              <w:t>)</w:t>
            </w:r>
          </w:p>
        </w:tc>
        <w:tc>
          <w:tcPr>
            <w:tcW w:w="0" w:type="auto"/>
            <w:tcBorders>
              <w:top w:val="single" w:sz="4" w:space="0" w:color="auto"/>
              <w:bottom w:val="single" w:sz="2" w:space="0" w:color="auto"/>
            </w:tcBorders>
            <w:vAlign w:val="top"/>
          </w:tcPr>
          <w:p w14:paraId="09C7E4AE" w14:textId="77777777" w:rsidR="007F6C29" w:rsidRPr="00B40225" w:rsidRDefault="007F6C29" w:rsidP="00B40225">
            <w:pPr>
              <w:pStyle w:val="Compact"/>
            </w:pPr>
            <w:r w:rsidRPr="00B40225">
              <w:t>Implied global AWARE factor</w:t>
            </w:r>
          </w:p>
        </w:tc>
      </w:tr>
      <w:tr w:rsidR="007F6C29" w:rsidRPr="00B40225" w14:paraId="7BF80FEE" w14:textId="77777777" w:rsidTr="008A19F4">
        <w:trPr>
          <w:cantSplit/>
          <w:jc w:val="center"/>
        </w:trPr>
        <w:tc>
          <w:tcPr>
            <w:tcW w:w="0" w:type="auto"/>
            <w:tcBorders>
              <w:top w:val="single" w:sz="2" w:space="0" w:color="auto"/>
            </w:tcBorders>
          </w:tcPr>
          <w:p w14:paraId="16CD44C7" w14:textId="77777777" w:rsidR="007F6C29" w:rsidRPr="00B40225" w:rsidRDefault="007F6C29" w:rsidP="00B40225">
            <w:pPr>
              <w:pStyle w:val="Compact"/>
            </w:pPr>
            <w:r w:rsidRPr="00B40225">
              <w:t>2000</w:t>
            </w:r>
          </w:p>
        </w:tc>
        <w:tc>
          <w:tcPr>
            <w:tcW w:w="0" w:type="auto"/>
            <w:tcBorders>
              <w:top w:val="single" w:sz="2" w:space="0" w:color="auto"/>
            </w:tcBorders>
          </w:tcPr>
          <w:p w14:paraId="5BD4380B" w14:textId="77777777" w:rsidR="007F6C29" w:rsidRPr="00B40225" w:rsidRDefault="007F6C29" w:rsidP="00B40225">
            <w:pPr>
              <w:pStyle w:val="Compact"/>
            </w:pPr>
            <w:r w:rsidRPr="00B40225">
              <w:t>37,688</w:t>
            </w:r>
          </w:p>
        </w:tc>
        <w:tc>
          <w:tcPr>
            <w:tcW w:w="0" w:type="auto"/>
            <w:tcBorders>
              <w:top w:val="single" w:sz="2" w:space="0" w:color="auto"/>
            </w:tcBorders>
          </w:tcPr>
          <w:p w14:paraId="7776EF36" w14:textId="77777777" w:rsidR="007F6C29" w:rsidRPr="00B40225" w:rsidRDefault="007F6C29" w:rsidP="00B40225">
            <w:pPr>
              <w:pStyle w:val="Compact"/>
            </w:pPr>
            <w:r w:rsidRPr="00B40225">
              <w:t>1,099</w:t>
            </w:r>
          </w:p>
        </w:tc>
        <w:tc>
          <w:tcPr>
            <w:tcW w:w="0" w:type="auto"/>
            <w:tcBorders>
              <w:top w:val="single" w:sz="2" w:space="0" w:color="auto"/>
            </w:tcBorders>
          </w:tcPr>
          <w:p w14:paraId="28C3D611" w14:textId="77777777" w:rsidR="007F6C29" w:rsidRPr="00B40225" w:rsidRDefault="007F6C29" w:rsidP="00B40225">
            <w:pPr>
              <w:pStyle w:val="Compact"/>
            </w:pPr>
            <w:r w:rsidRPr="00B40225">
              <w:t>34.3</w:t>
            </w:r>
          </w:p>
        </w:tc>
      </w:tr>
      <w:tr w:rsidR="007F6C29" w:rsidRPr="00B40225" w14:paraId="05113C15" w14:textId="77777777" w:rsidTr="008A19F4">
        <w:trPr>
          <w:cantSplit/>
          <w:jc w:val="center"/>
        </w:trPr>
        <w:tc>
          <w:tcPr>
            <w:tcW w:w="0" w:type="auto"/>
          </w:tcPr>
          <w:p w14:paraId="768821C8" w14:textId="77777777" w:rsidR="007F6C29" w:rsidRPr="00B40225" w:rsidRDefault="007F6C29" w:rsidP="00B40225">
            <w:pPr>
              <w:pStyle w:val="Compact"/>
            </w:pPr>
            <w:r w:rsidRPr="00B40225">
              <w:t>2010</w:t>
            </w:r>
          </w:p>
        </w:tc>
        <w:tc>
          <w:tcPr>
            <w:tcW w:w="0" w:type="auto"/>
          </w:tcPr>
          <w:p w14:paraId="5F84ED77" w14:textId="77777777" w:rsidR="007F6C29" w:rsidRPr="00B40225" w:rsidRDefault="007F6C29" w:rsidP="00B40225">
            <w:pPr>
              <w:pStyle w:val="Compact"/>
            </w:pPr>
            <w:r w:rsidRPr="00B40225">
              <w:t>38,353</w:t>
            </w:r>
          </w:p>
        </w:tc>
        <w:tc>
          <w:tcPr>
            <w:tcW w:w="0" w:type="auto"/>
          </w:tcPr>
          <w:p w14:paraId="0996D928" w14:textId="77777777" w:rsidR="007F6C29" w:rsidRPr="00B40225" w:rsidRDefault="007F6C29" w:rsidP="00B40225">
            <w:pPr>
              <w:pStyle w:val="Compact"/>
            </w:pPr>
            <w:r w:rsidRPr="00B40225">
              <w:t>1,163</w:t>
            </w:r>
          </w:p>
        </w:tc>
        <w:tc>
          <w:tcPr>
            <w:tcW w:w="0" w:type="auto"/>
          </w:tcPr>
          <w:p w14:paraId="7B158EB9" w14:textId="77777777" w:rsidR="007F6C29" w:rsidRPr="00B40225" w:rsidRDefault="007F6C29" w:rsidP="00B40225">
            <w:pPr>
              <w:pStyle w:val="Compact"/>
            </w:pPr>
            <w:r w:rsidRPr="00B40225">
              <w:t>33.0</w:t>
            </w:r>
          </w:p>
        </w:tc>
      </w:tr>
      <w:tr w:rsidR="007F6C29" w:rsidRPr="00B40225" w14:paraId="785ACB01" w14:textId="77777777" w:rsidTr="008A19F4">
        <w:trPr>
          <w:cantSplit/>
          <w:jc w:val="center"/>
        </w:trPr>
        <w:tc>
          <w:tcPr>
            <w:tcW w:w="0" w:type="auto"/>
            <w:tcBorders>
              <w:bottom w:val="single" w:sz="4" w:space="0" w:color="auto"/>
            </w:tcBorders>
          </w:tcPr>
          <w:p w14:paraId="013AA243" w14:textId="77777777" w:rsidR="007F6C29" w:rsidRPr="00B40225" w:rsidRDefault="007F6C29" w:rsidP="00B40225">
            <w:pPr>
              <w:pStyle w:val="Compact"/>
            </w:pPr>
            <w:r w:rsidRPr="00B40225">
              <w:t>2020</w:t>
            </w:r>
          </w:p>
        </w:tc>
        <w:tc>
          <w:tcPr>
            <w:tcW w:w="0" w:type="auto"/>
            <w:tcBorders>
              <w:bottom w:val="single" w:sz="4" w:space="0" w:color="auto"/>
            </w:tcBorders>
          </w:tcPr>
          <w:p w14:paraId="416F9365" w14:textId="77777777" w:rsidR="007F6C29" w:rsidRPr="00B40225" w:rsidRDefault="007F6C29" w:rsidP="00B40225">
            <w:pPr>
              <w:pStyle w:val="Compact"/>
            </w:pPr>
            <w:r w:rsidRPr="00B40225">
              <w:t>40,766</w:t>
            </w:r>
          </w:p>
        </w:tc>
        <w:tc>
          <w:tcPr>
            <w:tcW w:w="0" w:type="auto"/>
            <w:tcBorders>
              <w:bottom w:val="single" w:sz="4" w:space="0" w:color="auto"/>
            </w:tcBorders>
          </w:tcPr>
          <w:p w14:paraId="7076663A" w14:textId="77777777" w:rsidR="007F6C29" w:rsidRPr="00B40225" w:rsidRDefault="007F6C29" w:rsidP="00B40225">
            <w:pPr>
              <w:pStyle w:val="Compact"/>
            </w:pPr>
            <w:r w:rsidRPr="00B40225">
              <w:t>1,234</w:t>
            </w:r>
          </w:p>
        </w:tc>
        <w:tc>
          <w:tcPr>
            <w:tcW w:w="0" w:type="auto"/>
            <w:tcBorders>
              <w:bottom w:val="single" w:sz="4" w:space="0" w:color="auto"/>
            </w:tcBorders>
          </w:tcPr>
          <w:p w14:paraId="093CB0E4" w14:textId="77777777" w:rsidR="007F6C29" w:rsidRPr="00B40225" w:rsidRDefault="007F6C29" w:rsidP="00B40225">
            <w:pPr>
              <w:pStyle w:val="Compact"/>
            </w:pPr>
            <w:r w:rsidRPr="00B40225">
              <w:t>33.0</w:t>
            </w:r>
          </w:p>
        </w:tc>
      </w:tr>
      <w:tr w:rsidR="007F6C29" w:rsidRPr="00B40225" w14:paraId="14F75BBE" w14:textId="77777777" w:rsidTr="008A19F4">
        <w:trPr>
          <w:cantSplit/>
          <w:jc w:val="center"/>
        </w:trPr>
        <w:tc>
          <w:tcPr>
            <w:tcW w:w="0" w:type="auto"/>
            <w:tcBorders>
              <w:top w:val="single" w:sz="4" w:space="0" w:color="auto"/>
            </w:tcBorders>
          </w:tcPr>
          <w:p w14:paraId="4E2ADDB3" w14:textId="77777777" w:rsidR="007F6C29" w:rsidRPr="00B40225" w:rsidRDefault="007F6C29" w:rsidP="00B40225">
            <w:pPr>
              <w:pStyle w:val="Compact"/>
            </w:pPr>
          </w:p>
        </w:tc>
        <w:tc>
          <w:tcPr>
            <w:tcW w:w="0" w:type="auto"/>
            <w:tcBorders>
              <w:top w:val="single" w:sz="4" w:space="0" w:color="auto"/>
            </w:tcBorders>
          </w:tcPr>
          <w:p w14:paraId="5D87EB13" w14:textId="77777777" w:rsidR="007F6C29" w:rsidRPr="00B40225" w:rsidRDefault="007F6C29" w:rsidP="00B40225">
            <w:pPr>
              <w:pStyle w:val="Compact"/>
            </w:pPr>
          </w:p>
        </w:tc>
        <w:tc>
          <w:tcPr>
            <w:tcW w:w="0" w:type="auto"/>
            <w:tcBorders>
              <w:top w:val="single" w:sz="4" w:space="0" w:color="auto"/>
            </w:tcBorders>
          </w:tcPr>
          <w:p w14:paraId="425229F2" w14:textId="77777777" w:rsidR="007F6C29" w:rsidRPr="00B40225" w:rsidRDefault="007F6C29" w:rsidP="00B40225">
            <w:pPr>
              <w:pStyle w:val="Compact"/>
            </w:pPr>
          </w:p>
        </w:tc>
        <w:tc>
          <w:tcPr>
            <w:tcW w:w="0" w:type="auto"/>
            <w:tcBorders>
              <w:top w:val="single" w:sz="4" w:space="0" w:color="auto"/>
            </w:tcBorders>
          </w:tcPr>
          <w:p w14:paraId="651FEDEC" w14:textId="77777777" w:rsidR="007F6C29" w:rsidRPr="00B40225" w:rsidRDefault="007F6C29" w:rsidP="00B40225">
            <w:pPr>
              <w:pStyle w:val="Compact"/>
            </w:pPr>
          </w:p>
        </w:tc>
      </w:tr>
    </w:tbl>
    <w:p w14:paraId="708735CD" w14:textId="76D82E1E" w:rsidR="007F6C29" w:rsidRDefault="007F6C29" w:rsidP="00B40225">
      <w:pPr>
        <w:pStyle w:val="BodyText"/>
      </w:pPr>
      <w:r w:rsidRPr="00B40225">
        <w:t>The implied global AWARE 2.0 factor is stable at approximately 33 m</w:t>
      </w:r>
      <w:r w:rsidR="007D447C" w:rsidRPr="007935BB">
        <w:rPr>
          <w:vertAlign w:val="superscript"/>
        </w:rPr>
        <w:t>3</w:t>
      </w:r>
      <w:r w:rsidRPr="00B40225">
        <w:t xml:space="preserve"> world-eq per m</w:t>
      </w:r>
      <w:r w:rsidR="007D447C" w:rsidRPr="007935BB">
        <w:rPr>
          <w:vertAlign w:val="superscript"/>
        </w:rPr>
        <w:t>3</w:t>
      </w:r>
      <w:r w:rsidRPr="00B40225">
        <w:t xml:space="preserve"> of blue water consumed across 2000-2020. This value is well above 1 because AWARE characterisation factors span 0.1-100 and because global blue-water consumption is dominated by irrigation in relatively water-scarce basins.</w:t>
      </w:r>
      <w:bookmarkStart w:id="6" w:name="s6.-boundary-comparison-for-2020"/>
      <w:bookmarkEnd w:id="5"/>
    </w:p>
    <w:p w14:paraId="2AF37BB2" w14:textId="77777777" w:rsidR="00FD0A2C" w:rsidRPr="00B40225" w:rsidRDefault="00FD0A2C" w:rsidP="00FD0A2C">
      <w:pPr>
        <w:pStyle w:val="BlockText"/>
      </w:pPr>
      <w:r w:rsidRPr="00B40225">
        <w:t xml:space="preserve">Table SI </w:t>
      </w:r>
      <w:r>
        <w:t>2.</w:t>
      </w:r>
      <w:r w:rsidRPr="00B40225">
        <w:t>2 Boundary comparison for 2020</w:t>
      </w:r>
    </w:p>
    <w:tbl>
      <w:tblPr>
        <w:tblStyle w:val="Table"/>
        <w:tblW w:w="5048" w:type="pct"/>
        <w:jc w:val="center"/>
        <w:tblLook w:val="0020" w:firstRow="1" w:lastRow="0" w:firstColumn="0" w:lastColumn="0" w:noHBand="0" w:noVBand="0"/>
      </w:tblPr>
      <w:tblGrid>
        <w:gridCol w:w="2134"/>
        <w:gridCol w:w="1694"/>
        <w:gridCol w:w="1706"/>
        <w:gridCol w:w="1784"/>
        <w:gridCol w:w="1262"/>
        <w:gridCol w:w="916"/>
      </w:tblGrid>
      <w:tr w:rsidR="007F6C29" w:rsidRPr="00B40225" w14:paraId="376077C0" w14:textId="77777777" w:rsidTr="007D447C">
        <w:trPr>
          <w:cnfStyle w:val="100000000000" w:firstRow="1" w:lastRow="0" w:firstColumn="0" w:lastColumn="0" w:oddVBand="0" w:evenVBand="0" w:oddHBand="0" w:evenHBand="0" w:firstRowFirstColumn="0" w:firstRowLastColumn="0" w:lastRowFirstColumn="0" w:lastRowLastColumn="0"/>
          <w:cantSplit/>
          <w:tblHeader/>
          <w:jc w:val="center"/>
        </w:trPr>
        <w:tc>
          <w:tcPr>
            <w:tcW w:w="0" w:type="auto"/>
            <w:tcBorders>
              <w:top w:val="single" w:sz="4" w:space="0" w:color="auto"/>
              <w:bottom w:val="single" w:sz="2" w:space="0" w:color="auto"/>
            </w:tcBorders>
            <w:vAlign w:val="top"/>
          </w:tcPr>
          <w:p w14:paraId="2E8854D6" w14:textId="77777777" w:rsidR="007F6C29" w:rsidRPr="00B40225" w:rsidRDefault="007F6C29" w:rsidP="00B40225">
            <w:pPr>
              <w:pStyle w:val="Compact"/>
            </w:pPr>
            <w:r w:rsidRPr="00B40225">
              <w:t>Indicator</w:t>
            </w:r>
          </w:p>
        </w:tc>
        <w:tc>
          <w:tcPr>
            <w:tcW w:w="892" w:type="pct"/>
            <w:tcBorders>
              <w:top w:val="single" w:sz="4" w:space="0" w:color="auto"/>
              <w:bottom w:val="single" w:sz="2" w:space="0" w:color="auto"/>
            </w:tcBorders>
            <w:vAlign w:val="top"/>
          </w:tcPr>
          <w:p w14:paraId="3F2B556E" w14:textId="77777777" w:rsidR="007F6C29" w:rsidRPr="00B40225" w:rsidRDefault="007F6C29" w:rsidP="00B40225">
            <w:pPr>
              <w:pStyle w:val="Compact"/>
            </w:pPr>
            <w:r w:rsidRPr="00B40225">
              <w:t>2020 result</w:t>
            </w:r>
          </w:p>
        </w:tc>
        <w:tc>
          <w:tcPr>
            <w:tcW w:w="0" w:type="auto"/>
            <w:tcBorders>
              <w:top w:val="single" w:sz="4" w:space="0" w:color="auto"/>
              <w:bottom w:val="single" w:sz="2" w:space="0" w:color="auto"/>
            </w:tcBorders>
            <w:vAlign w:val="top"/>
          </w:tcPr>
          <w:p w14:paraId="7C7945EF" w14:textId="7D3E2453" w:rsidR="007F6C29" w:rsidRPr="00B40225" w:rsidRDefault="007F6C29" w:rsidP="00B40225">
            <w:pPr>
              <w:pStyle w:val="Compact"/>
            </w:pPr>
            <w:r w:rsidRPr="00B40225">
              <w:t xml:space="preserve">Boundary reference, 4,000 </w:t>
            </w:r>
            <w:r w:rsidR="007935BB" w:rsidRPr="00B40225">
              <w:t>km</w:t>
            </w:r>
            <w:r w:rsidR="007935BB" w:rsidRPr="007935BB">
              <w:rPr>
                <w:vertAlign w:val="superscript"/>
              </w:rPr>
              <w:t>3</w:t>
            </w:r>
          </w:p>
        </w:tc>
        <w:tc>
          <w:tcPr>
            <w:tcW w:w="0" w:type="auto"/>
            <w:tcBorders>
              <w:top w:val="single" w:sz="4" w:space="0" w:color="auto"/>
              <w:bottom w:val="single" w:sz="2" w:space="0" w:color="auto"/>
            </w:tcBorders>
            <w:vAlign w:val="top"/>
          </w:tcPr>
          <w:p w14:paraId="537CCE05" w14:textId="4C6D67C5" w:rsidR="007F6C29" w:rsidRPr="00B40225" w:rsidRDefault="007F6C29" w:rsidP="00B40225">
            <w:pPr>
              <w:pStyle w:val="Compact"/>
            </w:pPr>
            <w:r w:rsidRPr="00B40225">
              <w:t xml:space="preserve">Upper sensitivity, 6,000 </w:t>
            </w:r>
            <w:r w:rsidR="007935BB" w:rsidRPr="00B40225">
              <w:t>km</w:t>
            </w:r>
            <w:r w:rsidR="007935BB" w:rsidRPr="007935BB">
              <w:rPr>
                <w:vertAlign w:val="superscript"/>
              </w:rPr>
              <w:t>3</w:t>
            </w:r>
          </w:p>
        </w:tc>
        <w:tc>
          <w:tcPr>
            <w:tcW w:w="0" w:type="auto"/>
            <w:tcBorders>
              <w:top w:val="single" w:sz="4" w:space="0" w:color="auto"/>
              <w:bottom w:val="single" w:sz="2" w:space="0" w:color="auto"/>
            </w:tcBorders>
            <w:vAlign w:val="top"/>
          </w:tcPr>
          <w:p w14:paraId="75F87ABE" w14:textId="77777777" w:rsidR="007F6C29" w:rsidRPr="00B40225" w:rsidRDefault="007F6C29" w:rsidP="00B40225">
            <w:pPr>
              <w:pStyle w:val="Compact"/>
            </w:pPr>
            <w:r w:rsidRPr="00B40225">
              <w:t>Share of reference</w:t>
            </w:r>
          </w:p>
        </w:tc>
        <w:tc>
          <w:tcPr>
            <w:tcW w:w="0" w:type="auto"/>
            <w:tcBorders>
              <w:top w:val="single" w:sz="4" w:space="0" w:color="auto"/>
              <w:bottom w:val="single" w:sz="2" w:space="0" w:color="auto"/>
            </w:tcBorders>
            <w:vAlign w:val="top"/>
          </w:tcPr>
          <w:p w14:paraId="5889BE90" w14:textId="77777777" w:rsidR="007F6C29" w:rsidRPr="00B40225" w:rsidRDefault="007F6C29" w:rsidP="00B40225">
            <w:pPr>
              <w:pStyle w:val="Compact"/>
            </w:pPr>
            <w:r w:rsidRPr="00B40225">
              <w:t>Share of upper</w:t>
            </w:r>
          </w:p>
        </w:tc>
      </w:tr>
      <w:tr w:rsidR="007F6C29" w:rsidRPr="00B40225" w14:paraId="7C6893CD" w14:textId="77777777" w:rsidTr="007D447C">
        <w:trPr>
          <w:cantSplit/>
          <w:jc w:val="center"/>
        </w:trPr>
        <w:tc>
          <w:tcPr>
            <w:tcW w:w="0" w:type="auto"/>
            <w:tcBorders>
              <w:top w:val="single" w:sz="2" w:space="0" w:color="auto"/>
            </w:tcBorders>
          </w:tcPr>
          <w:p w14:paraId="0ADEC7A3" w14:textId="77777777" w:rsidR="007F6C29" w:rsidRPr="00B40225" w:rsidRDefault="007F6C29" w:rsidP="00B40225">
            <w:pPr>
              <w:pStyle w:val="Compact"/>
            </w:pPr>
            <w:r w:rsidRPr="00B40225">
              <w:t>Physical blue-water consumption</w:t>
            </w:r>
          </w:p>
        </w:tc>
        <w:tc>
          <w:tcPr>
            <w:tcW w:w="892" w:type="pct"/>
            <w:tcBorders>
              <w:top w:val="single" w:sz="2" w:space="0" w:color="auto"/>
            </w:tcBorders>
          </w:tcPr>
          <w:p w14:paraId="1F9D6540" w14:textId="02A786D5" w:rsidR="007F6C29" w:rsidRPr="00B40225" w:rsidRDefault="007F6C29" w:rsidP="00B40225">
            <w:pPr>
              <w:pStyle w:val="Compact"/>
            </w:pPr>
            <w:r w:rsidRPr="00B40225">
              <w:t>1,234 km</w:t>
            </w:r>
            <w:r w:rsidR="007935BB" w:rsidRPr="007935BB">
              <w:rPr>
                <w:vertAlign w:val="superscript"/>
              </w:rPr>
              <w:t>3</w:t>
            </w:r>
            <w:r w:rsidRPr="00B40225">
              <w:t xml:space="preserve"> yr</w:t>
            </w:r>
            <w:r w:rsidR="007935BB">
              <w:rPr>
                <w:vertAlign w:val="superscript"/>
              </w:rPr>
              <w:t>-1</w:t>
            </w:r>
          </w:p>
        </w:tc>
        <w:tc>
          <w:tcPr>
            <w:tcW w:w="0" w:type="auto"/>
            <w:tcBorders>
              <w:top w:val="single" w:sz="2" w:space="0" w:color="auto"/>
            </w:tcBorders>
          </w:tcPr>
          <w:p w14:paraId="74420217" w14:textId="69B309A9" w:rsidR="007F6C29" w:rsidRPr="00B40225" w:rsidRDefault="007F6C29" w:rsidP="00B40225">
            <w:pPr>
              <w:pStyle w:val="Compact"/>
            </w:pPr>
            <w:r w:rsidRPr="00B40225">
              <w:t xml:space="preserve">4,000 </w:t>
            </w:r>
            <w:r w:rsidR="007935BB" w:rsidRPr="00B40225">
              <w:t>km</w:t>
            </w:r>
            <w:r w:rsidR="007935BB" w:rsidRPr="007935BB">
              <w:rPr>
                <w:vertAlign w:val="superscript"/>
              </w:rPr>
              <w:t>3</w:t>
            </w:r>
            <w:r w:rsidRPr="00B40225">
              <w:t xml:space="preserve"> yr</w:t>
            </w:r>
            <w:r w:rsidR="007935BB">
              <w:rPr>
                <w:vertAlign w:val="superscript"/>
              </w:rPr>
              <w:t>-1</w:t>
            </w:r>
          </w:p>
        </w:tc>
        <w:tc>
          <w:tcPr>
            <w:tcW w:w="0" w:type="auto"/>
            <w:tcBorders>
              <w:top w:val="single" w:sz="2" w:space="0" w:color="auto"/>
            </w:tcBorders>
          </w:tcPr>
          <w:p w14:paraId="23573540" w14:textId="337A4622" w:rsidR="007F6C29" w:rsidRPr="00B40225" w:rsidRDefault="007F6C29" w:rsidP="00B40225">
            <w:pPr>
              <w:pStyle w:val="Compact"/>
            </w:pPr>
            <w:r w:rsidRPr="00B40225">
              <w:t xml:space="preserve">6,000 </w:t>
            </w:r>
            <w:r w:rsidR="007935BB" w:rsidRPr="00B40225">
              <w:t>km</w:t>
            </w:r>
            <w:r w:rsidR="007935BB" w:rsidRPr="007935BB">
              <w:rPr>
                <w:vertAlign w:val="superscript"/>
              </w:rPr>
              <w:t>3</w:t>
            </w:r>
            <w:r w:rsidRPr="00B40225">
              <w:t xml:space="preserve"> yr</w:t>
            </w:r>
            <w:r w:rsidR="007935BB">
              <w:rPr>
                <w:vertAlign w:val="superscript"/>
              </w:rPr>
              <w:t>-1</w:t>
            </w:r>
          </w:p>
        </w:tc>
        <w:tc>
          <w:tcPr>
            <w:tcW w:w="0" w:type="auto"/>
            <w:tcBorders>
              <w:top w:val="single" w:sz="2" w:space="0" w:color="auto"/>
            </w:tcBorders>
          </w:tcPr>
          <w:p w14:paraId="63A2ACB1" w14:textId="77777777" w:rsidR="007F6C29" w:rsidRPr="00B40225" w:rsidRDefault="007F6C29" w:rsidP="00B40225">
            <w:pPr>
              <w:pStyle w:val="Compact"/>
            </w:pPr>
            <w:r w:rsidRPr="00B40225">
              <w:t>31%</w:t>
            </w:r>
          </w:p>
        </w:tc>
        <w:tc>
          <w:tcPr>
            <w:tcW w:w="0" w:type="auto"/>
            <w:tcBorders>
              <w:top w:val="single" w:sz="2" w:space="0" w:color="auto"/>
            </w:tcBorders>
          </w:tcPr>
          <w:p w14:paraId="72C7F756" w14:textId="77777777" w:rsidR="007F6C29" w:rsidRPr="00B40225" w:rsidRDefault="007F6C29" w:rsidP="00B40225">
            <w:pPr>
              <w:pStyle w:val="Compact"/>
            </w:pPr>
            <w:r w:rsidRPr="00B40225">
              <w:t>21%</w:t>
            </w:r>
          </w:p>
        </w:tc>
      </w:tr>
      <w:tr w:rsidR="007F6C29" w:rsidRPr="00B40225" w14:paraId="733372BC" w14:textId="77777777" w:rsidTr="007D447C">
        <w:trPr>
          <w:cantSplit/>
          <w:jc w:val="center"/>
        </w:trPr>
        <w:tc>
          <w:tcPr>
            <w:tcW w:w="0" w:type="auto"/>
          </w:tcPr>
          <w:p w14:paraId="52FB1F86" w14:textId="77777777" w:rsidR="007F6C29" w:rsidRPr="00B40225" w:rsidRDefault="007F6C29" w:rsidP="00B40225">
            <w:pPr>
              <w:pStyle w:val="Compact"/>
            </w:pPr>
            <w:r w:rsidRPr="00B40225">
              <w:t>Raw AWARE 2.0-weighted blue-water consumption</w:t>
            </w:r>
          </w:p>
        </w:tc>
        <w:tc>
          <w:tcPr>
            <w:tcW w:w="892" w:type="pct"/>
          </w:tcPr>
          <w:p w14:paraId="06F541DB" w14:textId="12C5993B" w:rsidR="007F6C29" w:rsidRPr="00B40225" w:rsidRDefault="007F6C29" w:rsidP="00B40225">
            <w:pPr>
              <w:pStyle w:val="Compact"/>
            </w:pPr>
            <w:r w:rsidRPr="00B40225">
              <w:t xml:space="preserve">40,766 </w:t>
            </w:r>
            <w:r w:rsidR="007935BB" w:rsidRPr="00B40225">
              <w:t>km</w:t>
            </w:r>
            <w:r w:rsidR="007935BB" w:rsidRPr="007935BB">
              <w:rPr>
                <w:vertAlign w:val="superscript"/>
              </w:rPr>
              <w:t>3</w:t>
            </w:r>
            <w:r w:rsidRPr="00B40225">
              <w:t xml:space="preserve"> world-eq yr</w:t>
            </w:r>
            <w:r w:rsidR="007935BB">
              <w:rPr>
                <w:vertAlign w:val="superscript"/>
              </w:rPr>
              <w:t>-1</w:t>
            </w:r>
          </w:p>
        </w:tc>
        <w:tc>
          <w:tcPr>
            <w:tcW w:w="0" w:type="auto"/>
          </w:tcPr>
          <w:p w14:paraId="09EC30CD" w14:textId="0831D2EF" w:rsidR="007F6C29" w:rsidRPr="00B40225" w:rsidRDefault="007F6C29" w:rsidP="00B40225">
            <w:pPr>
              <w:pStyle w:val="Compact"/>
            </w:pPr>
            <w:r w:rsidRPr="00B40225">
              <w:t xml:space="preserve">132,000 </w:t>
            </w:r>
            <w:r w:rsidR="007935BB" w:rsidRPr="00B40225">
              <w:t>km</w:t>
            </w:r>
            <w:r w:rsidR="007935BB" w:rsidRPr="007935BB">
              <w:rPr>
                <w:vertAlign w:val="superscript"/>
              </w:rPr>
              <w:t>3</w:t>
            </w:r>
            <w:r w:rsidRPr="00B40225">
              <w:t xml:space="preserve"> world-eq yr</w:t>
            </w:r>
            <w:r w:rsidR="007935BB">
              <w:rPr>
                <w:vertAlign w:val="superscript"/>
              </w:rPr>
              <w:t>-1</w:t>
            </w:r>
          </w:p>
        </w:tc>
        <w:tc>
          <w:tcPr>
            <w:tcW w:w="0" w:type="auto"/>
          </w:tcPr>
          <w:p w14:paraId="4518CB77" w14:textId="10028C6B" w:rsidR="007F6C29" w:rsidRPr="00B40225" w:rsidRDefault="007F6C29" w:rsidP="00B40225">
            <w:pPr>
              <w:pStyle w:val="Compact"/>
            </w:pPr>
            <w:r w:rsidRPr="00B40225">
              <w:t xml:space="preserve">198,000 </w:t>
            </w:r>
            <w:r w:rsidR="007935BB" w:rsidRPr="00B40225">
              <w:t>km</w:t>
            </w:r>
            <w:r w:rsidR="007935BB" w:rsidRPr="007935BB">
              <w:rPr>
                <w:vertAlign w:val="superscript"/>
              </w:rPr>
              <w:t>3</w:t>
            </w:r>
            <w:r w:rsidRPr="00B40225">
              <w:t xml:space="preserve"> world-eq yr</w:t>
            </w:r>
            <w:r w:rsidR="007935BB">
              <w:rPr>
                <w:vertAlign w:val="superscript"/>
              </w:rPr>
              <w:t>-1</w:t>
            </w:r>
          </w:p>
        </w:tc>
        <w:tc>
          <w:tcPr>
            <w:tcW w:w="0" w:type="auto"/>
          </w:tcPr>
          <w:p w14:paraId="63426766" w14:textId="77777777" w:rsidR="007F6C29" w:rsidRPr="00B40225" w:rsidRDefault="007F6C29" w:rsidP="00B40225">
            <w:pPr>
              <w:pStyle w:val="Compact"/>
            </w:pPr>
            <w:r w:rsidRPr="00B40225">
              <w:t>31%</w:t>
            </w:r>
          </w:p>
        </w:tc>
        <w:tc>
          <w:tcPr>
            <w:tcW w:w="0" w:type="auto"/>
          </w:tcPr>
          <w:p w14:paraId="0585A5BA" w14:textId="77777777" w:rsidR="007F6C29" w:rsidRPr="00B40225" w:rsidRDefault="007F6C29" w:rsidP="00B40225">
            <w:pPr>
              <w:pStyle w:val="Compact"/>
            </w:pPr>
            <w:r w:rsidRPr="00B40225">
              <w:t>21%</w:t>
            </w:r>
          </w:p>
        </w:tc>
      </w:tr>
      <w:tr w:rsidR="007F6C29" w:rsidRPr="00B40225" w14:paraId="322B0710" w14:textId="77777777" w:rsidTr="007D447C">
        <w:trPr>
          <w:cantSplit/>
          <w:jc w:val="center"/>
        </w:trPr>
        <w:tc>
          <w:tcPr>
            <w:tcW w:w="0" w:type="auto"/>
          </w:tcPr>
          <w:p w14:paraId="17C58FE9" w14:textId="77777777" w:rsidR="007F6C29" w:rsidRPr="00B40225" w:rsidRDefault="007F6C29" w:rsidP="00B40225">
            <w:pPr>
              <w:pStyle w:val="Compact"/>
            </w:pPr>
            <w:r w:rsidRPr="00B40225">
              <w:t>AWARE 2.0-normalised blue-water consumption</w:t>
            </w:r>
          </w:p>
        </w:tc>
        <w:tc>
          <w:tcPr>
            <w:tcW w:w="892" w:type="pct"/>
          </w:tcPr>
          <w:p w14:paraId="112E89A1" w14:textId="5D40B613" w:rsidR="007F6C29" w:rsidRPr="00B40225" w:rsidRDefault="007F6C29" w:rsidP="00B40225">
            <w:pPr>
              <w:pStyle w:val="Compact"/>
            </w:pPr>
            <w:r w:rsidRPr="00B40225">
              <w:t xml:space="preserve">1,234 </w:t>
            </w:r>
            <w:r w:rsidR="007935BB" w:rsidRPr="00B40225">
              <w:t>km</w:t>
            </w:r>
            <w:r w:rsidR="007935BB" w:rsidRPr="007935BB">
              <w:rPr>
                <w:vertAlign w:val="superscript"/>
              </w:rPr>
              <w:t>3</w:t>
            </w:r>
            <w:r w:rsidRPr="00B40225">
              <w:t xml:space="preserve"> global-average-scarcity-eq yr</w:t>
            </w:r>
            <w:r w:rsidR="007935BB">
              <w:rPr>
                <w:vertAlign w:val="superscript"/>
              </w:rPr>
              <w:t>-1</w:t>
            </w:r>
          </w:p>
        </w:tc>
        <w:tc>
          <w:tcPr>
            <w:tcW w:w="0" w:type="auto"/>
          </w:tcPr>
          <w:p w14:paraId="4162B0DE" w14:textId="1455B333" w:rsidR="007F6C29" w:rsidRPr="00B40225" w:rsidRDefault="007F6C29" w:rsidP="00B40225">
            <w:pPr>
              <w:pStyle w:val="Compact"/>
            </w:pPr>
            <w:r w:rsidRPr="00B40225">
              <w:t>4,000 km</w:t>
            </w:r>
            <w:r w:rsidR="007935BB" w:rsidRPr="007935BB">
              <w:rPr>
                <w:vertAlign w:val="superscript"/>
              </w:rPr>
              <w:t>3</w:t>
            </w:r>
            <w:r w:rsidRPr="00B40225">
              <w:t xml:space="preserve"> global-average-scarcity-eq yr</w:t>
            </w:r>
            <w:r w:rsidR="007935BB">
              <w:rPr>
                <w:vertAlign w:val="superscript"/>
              </w:rPr>
              <w:t>-1</w:t>
            </w:r>
          </w:p>
        </w:tc>
        <w:tc>
          <w:tcPr>
            <w:tcW w:w="0" w:type="auto"/>
          </w:tcPr>
          <w:p w14:paraId="02280427" w14:textId="47D44775" w:rsidR="007F6C29" w:rsidRPr="00B40225" w:rsidRDefault="007F6C29" w:rsidP="00B40225">
            <w:pPr>
              <w:pStyle w:val="Compact"/>
            </w:pPr>
            <w:r w:rsidRPr="00B40225">
              <w:t xml:space="preserve">6,000 </w:t>
            </w:r>
            <w:r w:rsidR="007935BB" w:rsidRPr="00B40225">
              <w:t>km</w:t>
            </w:r>
            <w:r w:rsidR="007935BB" w:rsidRPr="007935BB">
              <w:rPr>
                <w:vertAlign w:val="superscript"/>
              </w:rPr>
              <w:t>3</w:t>
            </w:r>
            <w:r w:rsidRPr="00B40225">
              <w:t xml:space="preserve"> global-average-scarcity-eq yr</w:t>
            </w:r>
            <w:r w:rsidR="007935BB">
              <w:rPr>
                <w:vertAlign w:val="superscript"/>
              </w:rPr>
              <w:t>-1</w:t>
            </w:r>
          </w:p>
        </w:tc>
        <w:tc>
          <w:tcPr>
            <w:tcW w:w="0" w:type="auto"/>
          </w:tcPr>
          <w:p w14:paraId="5433F4EE" w14:textId="77777777" w:rsidR="007F6C29" w:rsidRPr="00B40225" w:rsidRDefault="007F6C29" w:rsidP="00B40225">
            <w:pPr>
              <w:pStyle w:val="Compact"/>
            </w:pPr>
            <w:r w:rsidRPr="00B40225">
              <w:t>31%</w:t>
            </w:r>
          </w:p>
        </w:tc>
        <w:tc>
          <w:tcPr>
            <w:tcW w:w="0" w:type="auto"/>
          </w:tcPr>
          <w:p w14:paraId="6848211B" w14:textId="77777777" w:rsidR="007F6C29" w:rsidRPr="00B40225" w:rsidRDefault="007F6C29" w:rsidP="00B40225">
            <w:pPr>
              <w:pStyle w:val="Compact"/>
            </w:pPr>
            <w:r w:rsidRPr="00B40225">
              <w:t>21%</w:t>
            </w:r>
          </w:p>
        </w:tc>
      </w:tr>
      <w:tr w:rsidR="007F6C29" w:rsidRPr="00B40225" w14:paraId="1C2847BB" w14:textId="77777777" w:rsidTr="007D447C">
        <w:trPr>
          <w:cantSplit/>
          <w:jc w:val="center"/>
        </w:trPr>
        <w:tc>
          <w:tcPr>
            <w:tcW w:w="0" w:type="auto"/>
            <w:tcBorders>
              <w:bottom w:val="single" w:sz="4" w:space="0" w:color="auto"/>
            </w:tcBorders>
          </w:tcPr>
          <w:p w14:paraId="37BACD20" w14:textId="77777777" w:rsidR="007F6C29" w:rsidRPr="00B40225" w:rsidRDefault="007F6C29" w:rsidP="00B40225">
            <w:pPr>
              <w:pStyle w:val="Compact"/>
            </w:pPr>
            <w:r w:rsidRPr="00B40225">
              <w:t>WSI-weighted blue-water consumption</w:t>
            </w:r>
          </w:p>
        </w:tc>
        <w:tc>
          <w:tcPr>
            <w:tcW w:w="892" w:type="pct"/>
            <w:tcBorders>
              <w:bottom w:val="single" w:sz="4" w:space="0" w:color="auto"/>
            </w:tcBorders>
          </w:tcPr>
          <w:p w14:paraId="145C1613" w14:textId="61A0402D" w:rsidR="007F6C29" w:rsidRPr="00B40225" w:rsidRDefault="007F6C29" w:rsidP="00B40225">
            <w:pPr>
              <w:pStyle w:val="Compact"/>
            </w:pPr>
            <w:r w:rsidRPr="00B40225">
              <w:t xml:space="preserve">588 </w:t>
            </w:r>
            <w:r w:rsidR="007935BB" w:rsidRPr="00B40225">
              <w:t>km</w:t>
            </w:r>
            <w:r w:rsidR="007935BB" w:rsidRPr="007935BB">
              <w:rPr>
                <w:vertAlign w:val="superscript"/>
              </w:rPr>
              <w:t>3</w:t>
            </w:r>
            <w:r w:rsidRPr="00B40225">
              <w:t xml:space="preserve"> WSI-eq yr</w:t>
            </w:r>
            <w:r w:rsidR="007935BB">
              <w:rPr>
                <w:vertAlign w:val="superscript"/>
              </w:rPr>
              <w:t>-1</w:t>
            </w:r>
          </w:p>
        </w:tc>
        <w:tc>
          <w:tcPr>
            <w:tcW w:w="0" w:type="auto"/>
            <w:tcBorders>
              <w:bottom w:val="single" w:sz="4" w:space="0" w:color="auto"/>
            </w:tcBorders>
          </w:tcPr>
          <w:p w14:paraId="2BC79B63" w14:textId="418F686A" w:rsidR="007F6C29" w:rsidRPr="00B40225" w:rsidRDefault="007F6C29" w:rsidP="00B40225">
            <w:pPr>
              <w:pStyle w:val="Compact"/>
            </w:pPr>
            <w:r w:rsidRPr="00B40225">
              <w:t>2,040 km</w:t>
            </w:r>
            <w:r w:rsidR="007935BB" w:rsidRPr="007935BB">
              <w:rPr>
                <w:vertAlign w:val="superscript"/>
              </w:rPr>
              <w:t>3</w:t>
            </w:r>
            <w:r w:rsidRPr="00B40225">
              <w:t xml:space="preserve"> WSI-eq yr</w:t>
            </w:r>
            <w:r w:rsidR="007935BB">
              <w:rPr>
                <w:vertAlign w:val="superscript"/>
              </w:rPr>
              <w:t>-1</w:t>
            </w:r>
          </w:p>
        </w:tc>
        <w:tc>
          <w:tcPr>
            <w:tcW w:w="0" w:type="auto"/>
            <w:tcBorders>
              <w:bottom w:val="single" w:sz="4" w:space="0" w:color="auto"/>
            </w:tcBorders>
          </w:tcPr>
          <w:p w14:paraId="23A0FF8E" w14:textId="270FFBD2" w:rsidR="007F6C29" w:rsidRPr="00B40225" w:rsidRDefault="007F6C29" w:rsidP="00B40225">
            <w:pPr>
              <w:pStyle w:val="Compact"/>
            </w:pPr>
            <w:r w:rsidRPr="00B40225">
              <w:t xml:space="preserve">3,060 </w:t>
            </w:r>
            <w:r w:rsidR="007935BB" w:rsidRPr="00B40225">
              <w:t>km</w:t>
            </w:r>
            <w:r w:rsidR="007935BB" w:rsidRPr="007935BB">
              <w:rPr>
                <w:vertAlign w:val="superscript"/>
              </w:rPr>
              <w:t>3</w:t>
            </w:r>
            <w:r w:rsidRPr="00B40225">
              <w:t xml:space="preserve"> WSI-eq yr</w:t>
            </w:r>
            <w:r w:rsidR="007935BB">
              <w:rPr>
                <w:vertAlign w:val="superscript"/>
              </w:rPr>
              <w:t>-1</w:t>
            </w:r>
          </w:p>
        </w:tc>
        <w:tc>
          <w:tcPr>
            <w:tcW w:w="0" w:type="auto"/>
            <w:tcBorders>
              <w:bottom w:val="single" w:sz="4" w:space="0" w:color="auto"/>
            </w:tcBorders>
          </w:tcPr>
          <w:p w14:paraId="7278B536" w14:textId="77777777" w:rsidR="007F6C29" w:rsidRPr="00B40225" w:rsidRDefault="007F6C29" w:rsidP="00B40225">
            <w:pPr>
              <w:pStyle w:val="Compact"/>
            </w:pPr>
            <w:r w:rsidRPr="00B40225">
              <w:t>29%</w:t>
            </w:r>
          </w:p>
        </w:tc>
        <w:tc>
          <w:tcPr>
            <w:tcW w:w="0" w:type="auto"/>
            <w:tcBorders>
              <w:bottom w:val="single" w:sz="4" w:space="0" w:color="auto"/>
            </w:tcBorders>
          </w:tcPr>
          <w:p w14:paraId="1BCCD586" w14:textId="77777777" w:rsidR="007F6C29" w:rsidRPr="00B40225" w:rsidRDefault="007F6C29" w:rsidP="00B40225">
            <w:pPr>
              <w:pStyle w:val="Compact"/>
            </w:pPr>
            <w:r w:rsidRPr="00B40225">
              <w:t>19%</w:t>
            </w:r>
          </w:p>
        </w:tc>
      </w:tr>
    </w:tbl>
    <w:p w14:paraId="54D028AB" w14:textId="77777777" w:rsidR="007F6C29" w:rsidRDefault="007F6C29" w:rsidP="00B40225">
      <w:pPr>
        <w:pStyle w:val="BodyText"/>
      </w:pPr>
      <w:r w:rsidRPr="00B40225">
        <w:lastRenderedPageBreak/>
        <w:t>The raw AWARE 2.0 result is included for transparency, but the AWARE 2.0-normalised result is the preferred scarcity-weighted indicator for comparison with the legacy blue-water boundary. The normalised AWARE result preserves relative scarcity weighting while avoiding the misleading comparison of world-equivalent water directly with a physical water boundary.</w:t>
      </w:r>
    </w:p>
    <w:p w14:paraId="4B24B079" w14:textId="77777777" w:rsidR="00F02827" w:rsidRDefault="00F02827" w:rsidP="00F02827">
      <w:r>
        <w:rPr>
          <w:noProof/>
        </w:rPr>
        <w:drawing>
          <wp:inline distT="0" distB="0" distL="0" distR="0" wp14:anchorId="74E85D38" wp14:editId="114D1559">
            <wp:extent cx="5972810" cy="4615180"/>
            <wp:effectExtent l="0" t="0" r="8890" b="0"/>
            <wp:docPr id="20642513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51356"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72810" cy="4615180"/>
                    </a:xfrm>
                    <a:prstGeom prst="rect">
                      <a:avLst/>
                    </a:prstGeom>
                  </pic:spPr>
                </pic:pic>
              </a:graphicData>
            </a:graphic>
          </wp:inline>
        </w:drawing>
      </w:r>
    </w:p>
    <w:p w14:paraId="5992EF04" w14:textId="1CDFAB07" w:rsidR="00F02827" w:rsidRPr="00B40225" w:rsidRDefault="00F02827" w:rsidP="00F02827">
      <w:pPr>
        <w:pStyle w:val="BlockText"/>
      </w:pPr>
      <w:r w:rsidRPr="00B40225">
        <w:t>Figure S</w:t>
      </w:r>
      <w:r>
        <w:t xml:space="preserve">I </w:t>
      </w:r>
      <w:r w:rsidR="002C0411">
        <w:t>2.</w:t>
      </w:r>
      <w:r>
        <w:t>1</w:t>
      </w:r>
      <w:r w:rsidRPr="00B40225">
        <w:t xml:space="preserve">. </w:t>
      </w:r>
      <w:r>
        <w:t>Comparison of results across unweighted blue water consumption, versus use of AWARE scarcity index and the original water stress index</w:t>
      </w:r>
      <w:r w:rsidRPr="00B40225">
        <w:t>.</w:t>
      </w:r>
    </w:p>
    <w:p w14:paraId="1DE4C81C" w14:textId="77777777" w:rsidR="00F02827" w:rsidRPr="00B40225" w:rsidRDefault="00F02827" w:rsidP="00B40225">
      <w:pPr>
        <w:pStyle w:val="BodyText"/>
      </w:pPr>
    </w:p>
    <w:bookmarkEnd w:id="0"/>
    <w:bookmarkEnd w:id="6"/>
    <w:p w14:paraId="0BE769E5" w14:textId="5F28A94B" w:rsidR="00E62AE4" w:rsidRPr="00B40225" w:rsidRDefault="00E62AE4" w:rsidP="00B40225">
      <w:pPr>
        <w:pStyle w:val="Heading2"/>
      </w:pPr>
      <w:r w:rsidRPr="00B40225">
        <w:t xml:space="preserve">SI </w:t>
      </w:r>
      <w:r w:rsidR="002C0411">
        <w:t>3</w:t>
      </w:r>
      <w:r w:rsidRPr="00B40225">
        <w:t>: Trade-channel decomposition</w:t>
      </w:r>
    </w:p>
    <w:p w14:paraId="47D62ACA" w14:textId="2CA37A2E" w:rsidR="00E62AE4" w:rsidRPr="00B40225" w:rsidRDefault="00E62AE4" w:rsidP="00B40225">
      <w:r w:rsidRPr="00B40225">
        <w:t xml:space="preserve">We isolate the contribution of trade by decomposing the total consumption-based footprint </w:t>
      </w:r>
      <w:r w:rsidRPr="00B40225">
        <w:rPr>
          <w:i/>
          <w:iCs/>
        </w:rPr>
        <w:t xml:space="preserve">I </w:t>
      </w:r>
      <w:r w:rsidRPr="00B40225">
        <w:t xml:space="preserve">by supply channel as </w:t>
      </w:r>
      <w:r w:rsidRPr="00B40225">
        <w:rPr>
          <w:i/>
          <w:iCs/>
        </w:rPr>
        <w:t>I</w:t>
      </w:r>
      <w:r w:rsidRPr="00B40225">
        <w:t xml:space="preserve"> = </w:t>
      </w:r>
      <w:r w:rsidRPr="00B40225">
        <w:rPr>
          <w:i/>
          <w:iCs/>
        </w:rPr>
        <w:t>I</w:t>
      </w:r>
      <w:r w:rsidRPr="00B40225">
        <w:rPr>
          <w:vertAlign w:val="subscript"/>
        </w:rPr>
        <w:t>d</w:t>
      </w:r>
      <w:r w:rsidRPr="00B40225">
        <w:t xml:space="preserve"> + </w:t>
      </w:r>
      <w:r w:rsidRPr="00B40225">
        <w:rPr>
          <w:i/>
          <w:iCs/>
        </w:rPr>
        <w:t>I</w:t>
      </w:r>
      <w:r w:rsidRPr="00B40225">
        <w:rPr>
          <w:vertAlign w:val="subscript"/>
        </w:rPr>
        <w:t>m</w:t>
      </w:r>
      <w:r w:rsidRPr="00B40225">
        <w:t xml:space="preserve">, where </w:t>
      </w:r>
      <w:r w:rsidRPr="00B40225">
        <w:rPr>
          <w:i/>
          <w:iCs/>
        </w:rPr>
        <w:t>I</w:t>
      </w:r>
      <w:r w:rsidRPr="00B40225">
        <w:rPr>
          <w:vertAlign w:val="subscript"/>
        </w:rPr>
        <w:t>d</w:t>
      </w:r>
      <w:r w:rsidRPr="00B40225">
        <w:t xml:space="preserve"> and </w:t>
      </w:r>
      <w:r w:rsidRPr="00B40225">
        <w:rPr>
          <w:i/>
          <w:iCs/>
        </w:rPr>
        <w:t>I</w:t>
      </w:r>
      <w:r w:rsidRPr="00B40225">
        <w:rPr>
          <w:vertAlign w:val="subscript"/>
        </w:rPr>
        <w:t>m</w:t>
      </w:r>
      <w:r w:rsidRPr="00B40225">
        <w:t xml:space="preserve"> are the within-group (</w:t>
      </w:r>
      <w:r w:rsidRPr="00B40225">
        <w:rPr>
          <w:i/>
          <w:iCs/>
        </w:rPr>
        <w:t>d</w:t>
      </w:r>
      <w:r w:rsidRPr="00B40225">
        <w:t>=domestic) and cross-group (</w:t>
      </w:r>
      <w:r w:rsidRPr="00B40225">
        <w:rPr>
          <w:i/>
          <w:iCs/>
        </w:rPr>
        <w:t>m</w:t>
      </w:r>
      <w:r w:rsidRPr="00B40225">
        <w:t>=imports) block sums of the producer</w:t>
      </w:r>
      <w:r w:rsidR="008A19F4">
        <w:t>-</w:t>
      </w:r>
      <w:r w:rsidRPr="00B40225">
        <w:t xml:space="preserve">consumer impact matrix </w:t>
      </w:r>
      <w:r w:rsidRPr="00B40225">
        <w:rPr>
          <w:i/>
          <w:iCs/>
        </w:rPr>
        <w:t>S·L·Y</w:t>
      </w:r>
      <w:r w:rsidRPr="00B40225">
        <w:t xml:space="preserve"> derived from EXIOBASE; this captures the full upstream supply chain. We write the structural identity below, in which </w:t>
      </w:r>
      <w:r w:rsidRPr="00B40225">
        <w:rPr>
          <w:i/>
          <w:iCs/>
        </w:rPr>
        <w:t xml:space="preserve">P is population, A </w:t>
      </w:r>
      <w:r w:rsidRPr="00B40225">
        <w:t>is affluence (GDP per capita in constant 2015 PPP)</w:t>
      </w:r>
      <w:r w:rsidR="00F74821" w:rsidRPr="00B40225">
        <w:rPr>
          <w:i/>
          <w:iCs/>
        </w:rPr>
        <w:t xml:space="preserve"> </w:t>
      </w:r>
      <w:r w:rsidRPr="00B40225">
        <w:rPr>
          <w:i/>
          <w:iCs/>
        </w:rPr>
        <w:t>·Y</w:t>
      </w:r>
      <w:r w:rsidRPr="00B40225">
        <w:t xml:space="preserve">. </w:t>
      </w:r>
      <w:r w:rsidR="00F74821" w:rsidRPr="0D5CF201">
        <w:rPr>
          <w:i/>
          <w:iCs/>
        </w:rPr>
        <w:t>α</w:t>
      </w:r>
      <w:r w:rsidR="00F74821" w:rsidRPr="0D5CF201">
        <w:t xml:space="preserve"> is  the gross-output share sourced within the region group, computed from the column-block partition of </w:t>
      </w:r>
      <w:r w:rsidR="00F74821" w:rsidRPr="0D5CF201">
        <w:rPr>
          <w:i/>
          <w:iCs/>
        </w:rPr>
        <w:t>L</w:t>
      </w:r>
      <w:r w:rsidR="00F74821" w:rsidRPr="0D5CF201">
        <w:t xml:space="preserve"> · </w:t>
      </w:r>
      <w:r w:rsidR="00F74821" w:rsidRPr="0D5CF201">
        <w:rPr>
          <w:i/>
          <w:iCs/>
        </w:rPr>
        <w:t>Y</w:t>
      </w:r>
      <w:r w:rsidR="00F74821" w:rsidRPr="0D5CF201">
        <w:t xml:space="preserve">: </w:t>
      </w:r>
      <w:r w:rsidR="00F74821" w:rsidRPr="0D5CF201">
        <w:rPr>
          <w:i/>
          <w:iCs/>
        </w:rPr>
        <w:t>α</w:t>
      </w:r>
      <w:r w:rsidR="00F74821" w:rsidRPr="0D5CF201">
        <w:t xml:space="preserve"> = ∑ (</w:t>
      </w:r>
      <w:r w:rsidR="00F74821" w:rsidRPr="0D5CF201">
        <w:rPr>
          <w:i/>
          <w:iCs/>
        </w:rPr>
        <w:t>L</w:t>
      </w:r>
      <w:r w:rsidR="00F74821" w:rsidRPr="0D5CF201">
        <w:t xml:space="preserve"> · </w:t>
      </w:r>
      <w:r w:rsidR="00F74821" w:rsidRPr="0D5CF201">
        <w:rPr>
          <w:i/>
          <w:iCs/>
        </w:rPr>
        <w:t>Y</w:t>
      </w:r>
      <w:r w:rsidR="00F74821" w:rsidRPr="0D5CF201">
        <w:t>)</w:t>
      </w:r>
      <w:r w:rsidR="00F74821" w:rsidRPr="0D5CF201">
        <w:rPr>
          <w:i/>
          <w:iCs/>
          <w:vertAlign w:val="subscript"/>
        </w:rPr>
        <w:t>c,c</w:t>
      </w:r>
      <w:r w:rsidR="00F74821" w:rsidRPr="0D5CF201">
        <w:t xml:space="preserve"> / ∑</w:t>
      </w:r>
      <w:r w:rsidR="00F74821" w:rsidRPr="0D5CF201">
        <w:rPr>
          <w:i/>
          <w:iCs/>
          <w:vertAlign w:val="subscript"/>
        </w:rPr>
        <w:t>p</w:t>
      </w:r>
      <w:r w:rsidR="00F74821" w:rsidRPr="0D5CF201">
        <w:t xml:space="preserve"> ∑ (</w:t>
      </w:r>
      <w:r w:rsidR="00F74821" w:rsidRPr="0D5CF201">
        <w:rPr>
          <w:i/>
          <w:iCs/>
        </w:rPr>
        <w:t>L</w:t>
      </w:r>
      <w:r w:rsidR="00F74821" w:rsidRPr="0D5CF201">
        <w:t xml:space="preserve"> · </w:t>
      </w:r>
      <w:r w:rsidR="00F74821" w:rsidRPr="0D5CF201">
        <w:rPr>
          <w:i/>
          <w:iCs/>
        </w:rPr>
        <w:t>Y</w:t>
      </w:r>
      <w:r w:rsidR="00F74821" w:rsidRPr="0D5CF201">
        <w:t>)</w:t>
      </w:r>
      <w:r w:rsidR="00F74821" w:rsidRPr="0D5CF201">
        <w:rPr>
          <w:i/>
          <w:iCs/>
          <w:vertAlign w:val="subscript"/>
        </w:rPr>
        <w:t>p,c</w:t>
      </w:r>
      <w:r w:rsidR="00F74821">
        <w:rPr>
          <w:vertAlign w:val="subscript"/>
        </w:rPr>
        <w:t xml:space="preserve"> </w:t>
      </w:r>
      <w:r w:rsidR="00F74821">
        <w:t xml:space="preserve">(where </w:t>
      </w:r>
      <w:r w:rsidR="00F74821">
        <w:rPr>
          <w:i/>
          <w:iCs/>
        </w:rPr>
        <w:t>p=</w:t>
      </w:r>
      <w:r w:rsidR="00F74821">
        <w:t xml:space="preserve">producing region, </w:t>
      </w:r>
      <w:r w:rsidR="00F74821" w:rsidRPr="0054473F">
        <w:rPr>
          <w:i/>
          <w:iCs/>
        </w:rPr>
        <w:t>c</w:t>
      </w:r>
      <w:r w:rsidR="00F74821">
        <w:t xml:space="preserve">=consuming region). </w:t>
      </w:r>
      <w:r w:rsidRPr="00B40225">
        <w:t xml:space="preserve">Given </w:t>
      </w:r>
      <w:r w:rsidRPr="00B40225">
        <w:rPr>
          <w:i/>
          <w:iCs/>
        </w:rPr>
        <w:t>α</w:t>
      </w:r>
      <w:r w:rsidRPr="00B40225">
        <w:t xml:space="preserve">, the channel intensities </w:t>
      </w:r>
      <w:r w:rsidRPr="00B40225">
        <w:rPr>
          <w:i/>
          <w:iCs/>
        </w:rPr>
        <w:t>t</w:t>
      </w:r>
      <w:r w:rsidRPr="00B40225">
        <w:rPr>
          <w:vertAlign w:val="subscript"/>
        </w:rPr>
        <w:t>d</w:t>
      </w:r>
      <w:r w:rsidRPr="00B40225">
        <w:t xml:space="preserve"> and </w:t>
      </w:r>
      <w:r w:rsidRPr="00B40225">
        <w:rPr>
          <w:i/>
          <w:iCs/>
        </w:rPr>
        <w:t>t</w:t>
      </w:r>
      <w:r w:rsidRPr="00B40225">
        <w:rPr>
          <w:vertAlign w:val="subscript"/>
        </w:rPr>
        <w:t>m</w:t>
      </w:r>
      <w:r w:rsidRPr="00B40225">
        <w:t xml:space="preserve"> follow as residual definitions that satisfy the identity by construction.</w:t>
      </w:r>
    </w:p>
    <w:p w14:paraId="7E3474D9" w14:textId="77777777" w:rsidR="00E62AE4" w:rsidRPr="00B40225" w:rsidRDefault="00E62AE4" w:rsidP="008A19F4">
      <w:pPr>
        <w:jc w:val="center"/>
      </w:pPr>
      <w:r w:rsidRPr="00B40225">
        <w:rPr>
          <w:i/>
          <w:iCs/>
        </w:rPr>
        <w:t>I</w:t>
      </w:r>
      <w:r w:rsidRPr="00B40225">
        <w:t xml:space="preserve"> = </w:t>
      </w:r>
      <w:r w:rsidRPr="00B40225">
        <w:rPr>
          <w:i/>
          <w:iCs/>
        </w:rPr>
        <w:t>I</w:t>
      </w:r>
      <w:r w:rsidRPr="00B40225">
        <w:rPr>
          <w:i/>
          <w:iCs/>
          <w:vertAlign w:val="subscript"/>
        </w:rPr>
        <w:t>d</w:t>
      </w:r>
      <w:r w:rsidRPr="00B40225">
        <w:t xml:space="preserve"> + </w:t>
      </w:r>
      <w:r w:rsidRPr="00B40225">
        <w:rPr>
          <w:i/>
          <w:iCs/>
        </w:rPr>
        <w:t>I</w:t>
      </w:r>
      <w:r w:rsidRPr="00B40225">
        <w:rPr>
          <w:i/>
          <w:iCs/>
          <w:vertAlign w:val="subscript"/>
        </w:rPr>
        <w:t>m</w:t>
      </w:r>
    </w:p>
    <w:p w14:paraId="3D73B77F" w14:textId="77777777" w:rsidR="00E62AE4" w:rsidRPr="00B40225" w:rsidRDefault="00E62AE4" w:rsidP="008A19F4">
      <w:pPr>
        <w:jc w:val="center"/>
      </w:pPr>
      <w:r w:rsidRPr="00B40225">
        <w:rPr>
          <w:i/>
          <w:iCs/>
        </w:rPr>
        <w:lastRenderedPageBreak/>
        <w:t>I</w:t>
      </w:r>
      <w:r w:rsidRPr="00B40225">
        <w:rPr>
          <w:i/>
          <w:iCs/>
          <w:vertAlign w:val="subscript"/>
        </w:rPr>
        <w:t>d</w:t>
      </w:r>
      <w:r w:rsidRPr="00B40225">
        <w:t xml:space="preserve"> = </w:t>
      </w:r>
      <w:r w:rsidRPr="00B40225">
        <w:rPr>
          <w:i/>
          <w:iCs/>
        </w:rPr>
        <w:t>P</w:t>
      </w:r>
      <w:r w:rsidRPr="00B40225">
        <w:t xml:space="preserve"> · </w:t>
      </w:r>
      <w:r w:rsidRPr="00B40225">
        <w:rPr>
          <w:i/>
          <w:iCs/>
        </w:rPr>
        <w:t>A</w:t>
      </w:r>
      <w:r w:rsidRPr="00B40225">
        <w:t xml:space="preserve"> · </w:t>
      </w:r>
      <w:r w:rsidRPr="00B40225">
        <w:rPr>
          <w:i/>
          <w:iCs/>
        </w:rPr>
        <w:t>α</w:t>
      </w:r>
      <w:r w:rsidRPr="00B40225">
        <w:t xml:space="preserve"> · </w:t>
      </w:r>
      <w:r w:rsidRPr="00B40225">
        <w:rPr>
          <w:i/>
          <w:iCs/>
        </w:rPr>
        <w:t>t</w:t>
      </w:r>
      <w:r w:rsidRPr="00B40225">
        <w:rPr>
          <w:i/>
          <w:iCs/>
          <w:vertAlign w:val="subscript"/>
        </w:rPr>
        <w:t>d</w:t>
      </w:r>
    </w:p>
    <w:p w14:paraId="1B5356FC" w14:textId="77777777" w:rsidR="00E62AE4" w:rsidRPr="00B40225" w:rsidRDefault="00E62AE4" w:rsidP="008A19F4">
      <w:pPr>
        <w:jc w:val="center"/>
      </w:pPr>
      <w:r w:rsidRPr="00B40225">
        <w:rPr>
          <w:i/>
          <w:iCs/>
        </w:rPr>
        <w:t>I</w:t>
      </w:r>
      <w:r w:rsidRPr="00B40225">
        <w:rPr>
          <w:i/>
          <w:iCs/>
          <w:vertAlign w:val="subscript"/>
        </w:rPr>
        <w:t>m</w:t>
      </w:r>
      <w:r w:rsidRPr="00B40225">
        <w:t xml:space="preserve"> = </w:t>
      </w:r>
      <w:r w:rsidRPr="00B40225">
        <w:rPr>
          <w:i/>
          <w:iCs/>
        </w:rPr>
        <w:t>P</w:t>
      </w:r>
      <w:r w:rsidRPr="00B40225">
        <w:t xml:space="preserve"> · </w:t>
      </w:r>
      <w:r w:rsidRPr="00B40225">
        <w:rPr>
          <w:i/>
          <w:iCs/>
        </w:rPr>
        <w:t>A</w:t>
      </w:r>
      <w:r w:rsidRPr="00B40225">
        <w:t xml:space="preserve"> · (1 − </w:t>
      </w:r>
      <w:r w:rsidRPr="00B40225">
        <w:rPr>
          <w:i/>
          <w:iCs/>
        </w:rPr>
        <w:t>α</w:t>
      </w:r>
      <w:r w:rsidRPr="00B40225">
        <w:t xml:space="preserve">) · </w:t>
      </w:r>
      <w:r w:rsidRPr="00B40225">
        <w:rPr>
          <w:i/>
          <w:iCs/>
        </w:rPr>
        <w:t>t</w:t>
      </w:r>
      <w:r w:rsidRPr="00B40225">
        <w:rPr>
          <w:i/>
          <w:iCs/>
          <w:vertAlign w:val="subscript"/>
        </w:rPr>
        <w:t>m</w:t>
      </w:r>
    </w:p>
    <w:p w14:paraId="673CBED6" w14:textId="77777777" w:rsidR="00E62AE4" w:rsidRPr="00B40225" w:rsidRDefault="00E62AE4" w:rsidP="008A19F4">
      <w:pPr>
        <w:jc w:val="center"/>
      </w:pPr>
      <w:r w:rsidRPr="00B40225">
        <w:rPr>
          <w:i/>
          <w:iCs/>
        </w:rPr>
        <w:t>α</w:t>
      </w:r>
      <w:r w:rsidRPr="00B40225">
        <w:t xml:space="preserve"> = Σ (</w:t>
      </w:r>
      <w:r w:rsidRPr="00B40225">
        <w:rPr>
          <w:i/>
          <w:iCs/>
        </w:rPr>
        <w:t>L·Y</w:t>
      </w:r>
      <w:r w:rsidRPr="00B40225">
        <w:t>)</w:t>
      </w:r>
      <w:r w:rsidRPr="00B40225">
        <w:rPr>
          <w:i/>
          <w:iCs/>
          <w:vertAlign w:val="subscript"/>
        </w:rPr>
        <w:t>c,c</w:t>
      </w:r>
      <w:r w:rsidRPr="00B40225">
        <w:t xml:space="preserve"> / Σ</w:t>
      </w:r>
      <w:r w:rsidRPr="00B40225">
        <w:rPr>
          <w:i/>
          <w:iCs/>
          <w:vertAlign w:val="subscript"/>
        </w:rPr>
        <w:t>p</w:t>
      </w:r>
      <w:r w:rsidRPr="00B40225">
        <w:t xml:space="preserve"> Σ (</w:t>
      </w:r>
      <w:r w:rsidRPr="00B40225">
        <w:rPr>
          <w:i/>
          <w:iCs/>
        </w:rPr>
        <w:t>L·Y</w:t>
      </w:r>
      <w:r w:rsidRPr="00B40225">
        <w:t>)</w:t>
      </w:r>
      <w:r w:rsidRPr="00B40225">
        <w:rPr>
          <w:i/>
          <w:iCs/>
          <w:vertAlign w:val="subscript"/>
        </w:rPr>
        <w:t>p,c</w:t>
      </w:r>
    </w:p>
    <w:p w14:paraId="207207E9" w14:textId="51EBF249" w:rsidR="00E62AE4" w:rsidRPr="00B40225" w:rsidRDefault="00E62AE4" w:rsidP="00B40225">
      <w:r w:rsidRPr="00B40225">
        <w:t xml:space="preserve">α defined on direct final demand Y captures only the share of consumer-side purchases sourced domestically, and so misses intermediate-trade composition (for example, domestically assembled goods whose components were imported). Because </w:t>
      </w:r>
      <w:r w:rsidRPr="00B40225">
        <w:rPr>
          <w:i/>
          <w:iCs/>
          <w:sz w:val="22"/>
          <w:szCs w:val="22"/>
        </w:rPr>
        <w:t>I</w:t>
      </w:r>
      <w:r w:rsidRPr="00B40225">
        <w:rPr>
          <w:i/>
          <w:iCs/>
          <w:sz w:val="22"/>
          <w:szCs w:val="22"/>
          <w:vertAlign w:val="subscript"/>
        </w:rPr>
        <w:t>d</w:t>
      </w:r>
      <w:r w:rsidRPr="00B40225">
        <w:t xml:space="preserve"> and </w:t>
      </w:r>
      <w:r w:rsidRPr="00B40225">
        <w:rPr>
          <w:i/>
          <w:iCs/>
          <w:sz w:val="22"/>
          <w:szCs w:val="22"/>
        </w:rPr>
        <w:t>I</w:t>
      </w:r>
      <w:r w:rsidRPr="00B40225">
        <w:rPr>
          <w:i/>
          <w:iCs/>
          <w:sz w:val="22"/>
          <w:szCs w:val="22"/>
          <w:vertAlign w:val="subscript"/>
        </w:rPr>
        <w:t>m</w:t>
      </w:r>
      <w:r w:rsidRPr="00B40225">
        <w:t xml:space="preserve"> derive from S·L·Y, they include intermediate trade; defining α on the gross-output (L·Y) basis partitions the same upstream scope as the impact split, so intermediate-trade composition enters the Δα term rather than being absorbed into Δ</w:t>
      </w:r>
      <w:r w:rsidRPr="00B40225">
        <w:rPr>
          <w:i/>
          <w:iCs/>
        </w:rPr>
        <w:t>t</w:t>
      </w:r>
      <w:r w:rsidRPr="00B40225">
        <w:rPr>
          <w:i/>
          <w:iCs/>
          <w:sz w:val="22"/>
          <w:szCs w:val="22"/>
          <w:vertAlign w:val="subscript"/>
        </w:rPr>
        <w:t>d</w:t>
      </w:r>
      <w:r w:rsidRPr="00B40225">
        <w:t xml:space="preserve"> or Δ</w:t>
      </w:r>
      <w:r w:rsidRPr="00B40225">
        <w:rPr>
          <w:i/>
          <w:iCs/>
        </w:rPr>
        <w:t>t</w:t>
      </w:r>
      <w:r w:rsidRPr="00B40225">
        <w:rPr>
          <w:i/>
          <w:iCs/>
          <w:sz w:val="22"/>
          <w:szCs w:val="22"/>
          <w:vertAlign w:val="subscript"/>
        </w:rPr>
        <w:t>m</w:t>
      </w:r>
      <w:r w:rsidRPr="00B40225">
        <w:t>. Empirically α on the L·Y basis is materially smaller than on the Y basis (advanced economies 0.95 vs 0.98 in 2000; emerging-developing 0.82 vs 0.90) and its 2000</w:t>
      </w:r>
      <w:r w:rsidR="001970BD">
        <w:t>-</w:t>
      </w:r>
      <w:r w:rsidRPr="00B40225">
        <w:t>2020 change is roughly twice as large.</w:t>
      </w:r>
    </w:p>
    <w:p w14:paraId="51A64C43" w14:textId="36B636F6" w:rsidR="00E62AE4" w:rsidRPr="00B40225" w:rsidRDefault="00E62AE4" w:rsidP="00B40225">
      <w:r w:rsidRPr="00B40225">
        <w:t>Applying additive LMDI</w:t>
      </w:r>
      <w:r w:rsidRPr="00B40225">
        <w:fldChar w:fldCharType="begin"/>
      </w:r>
      <w:r w:rsidR="00C75B8B">
        <w:instrText xml:space="preserve"> ADDIN ZOTERO_ITEM CSL_CITATION {"citationID":"prjsG1Ki","properties":{"unsorted":false,"formattedCitation":"\\super 7,8\\nosupersub{}","plainCitation":"7,8","noteIndex":0},"citationItems":[{"id":3464,"uris":["http://zotero.org/users/1337054/items/FD8NZZU8"],"itemData":{"id":3464,"type":"article-journal","container-title":"Energy Policy","page":"in-press","title":"The LMDI approach to decomposition analysis: a practical guide","title-short":"The LMDI approach to decomposition analysis: a practical guide","author":[{"family":"Ang","given":"B. W."}],"issued":{"date-parts":[["2004"]]}}},{"id":3467,"uris":["http://zotero.org/users/1337054/items/MV28FLGU"],"itemData":{"id":3467,"type":"article-journal","abstract":"An issue that has not been fully resolved in the Logarithmic Mean Divisia Index (LMDI) decomposition approach is how to deal with negative values in the data set. We provide an analytical solution to this problem and illustrate with an example. With the issue resolved, the LMDI approach can now be generally applied to any decomposition situation.","container-title":"Energy Policy","issue":"1","page":"739-742","title":"Negative-value problems of the logarithmic mean Divisia index decomposition approach","volume":"35","author":[{"family":"Ang","given":"B. W."},{"family":"Liu","given":"Na"}],"issued":{"date-parts":[["2007"]]}}}],"schema":"https://github.com/citation-style-language/schema/raw/master/csl-citation.json"} </w:instrText>
      </w:r>
      <w:r w:rsidRPr="00B40225">
        <w:fldChar w:fldCharType="separate"/>
      </w:r>
      <w:r w:rsidR="00C75B8B" w:rsidRPr="00C75B8B">
        <w:rPr>
          <w:vertAlign w:val="superscript"/>
        </w:rPr>
        <w:t>7,8</w:t>
      </w:r>
      <w:r w:rsidRPr="00B40225">
        <w:fldChar w:fldCharType="end"/>
      </w:r>
      <w:r w:rsidRPr="00B40225">
        <w:t xml:space="preserve"> to </w:t>
      </w:r>
      <w:r w:rsidRPr="00B40225">
        <w:rPr>
          <w:i/>
          <w:iCs/>
        </w:rPr>
        <w:t>I</w:t>
      </w:r>
      <w:r w:rsidRPr="00B40225">
        <w:t xml:space="preserve"> = </w:t>
      </w:r>
      <w:r w:rsidRPr="00B40225">
        <w:rPr>
          <w:i/>
          <w:iCs/>
        </w:rPr>
        <w:t>I</w:t>
      </w:r>
      <w:r w:rsidRPr="00B40225">
        <w:rPr>
          <w:vertAlign w:val="subscript"/>
        </w:rPr>
        <w:t>d</w:t>
      </w:r>
      <w:r w:rsidRPr="00B40225">
        <w:t xml:space="preserve"> + </w:t>
      </w:r>
      <w:r w:rsidRPr="00B40225">
        <w:rPr>
          <w:i/>
          <w:iCs/>
        </w:rPr>
        <w:t>I</w:t>
      </w:r>
      <w:r w:rsidRPr="00B40225">
        <w:rPr>
          <w:vertAlign w:val="subscript"/>
        </w:rPr>
        <w:t>m</w:t>
      </w:r>
      <w:r w:rsidRPr="00B40225">
        <w:t xml:space="preserve"> yields five drivers that sum exactly to Δ</w:t>
      </w:r>
      <w:r w:rsidRPr="00B40225">
        <w:rPr>
          <w:i/>
          <w:iCs/>
        </w:rPr>
        <w:t>I</w:t>
      </w:r>
      <w:r w:rsidRPr="00B40225">
        <w:t>: population, affluence, trade composition (</w:t>
      </w:r>
      <w:r w:rsidRPr="00B40225">
        <w:rPr>
          <w:i/>
          <w:iCs/>
        </w:rPr>
        <w:t>α</w:t>
      </w:r>
      <w:r w:rsidRPr="00B40225">
        <w:t>), domestic technology (</w:t>
      </w:r>
      <w:r w:rsidRPr="00B40225">
        <w:rPr>
          <w:i/>
          <w:iCs/>
        </w:rPr>
        <w:t>t</w:t>
      </w:r>
      <w:r w:rsidRPr="00B40225">
        <w:rPr>
          <w:vertAlign w:val="subscript"/>
        </w:rPr>
        <w:t>d</w:t>
      </w:r>
      <w:r w:rsidRPr="00B40225">
        <w:t>) and embodied foreign technology (</w:t>
      </w:r>
      <w:r w:rsidRPr="00B40225">
        <w:rPr>
          <w:i/>
          <w:iCs/>
        </w:rPr>
        <w:t>t</w:t>
      </w:r>
      <w:r w:rsidRPr="00B40225">
        <w:rPr>
          <w:vertAlign w:val="subscript"/>
        </w:rPr>
        <w:t>m</w:t>
      </w:r>
      <w:r w:rsidRPr="00B40225">
        <w:t>). With logarithmic-mean weights</w:t>
      </w:r>
      <w:r w:rsidR="008B3D5D">
        <w:t xml:space="preserve"> (where 0=base year, 1=end year)</w:t>
      </w:r>
      <w:r w:rsidRPr="00B40225">
        <w:t xml:space="preserve"> </w:t>
      </w:r>
      <w:r w:rsidRPr="00B40225">
        <w:rPr>
          <w:i/>
          <w:iCs/>
        </w:rPr>
        <w:t>L</w:t>
      </w:r>
      <w:r w:rsidRPr="00B40225">
        <w:t>(</w:t>
      </w:r>
      <w:r w:rsidRPr="00B40225">
        <w:rPr>
          <w:i/>
          <w:iCs/>
        </w:rPr>
        <w:t>x</w:t>
      </w:r>
      <w:r w:rsidRPr="00B40225">
        <w:t xml:space="preserve">⁰, </w:t>
      </w:r>
      <w:r w:rsidRPr="00B40225">
        <w:rPr>
          <w:i/>
          <w:iCs/>
        </w:rPr>
        <w:t>x</w:t>
      </w:r>
      <w:r w:rsidRPr="00B40225">
        <w:t>¹) = (</w:t>
      </w:r>
      <w:r w:rsidRPr="00B40225">
        <w:rPr>
          <w:i/>
          <w:iCs/>
        </w:rPr>
        <w:t>x</w:t>
      </w:r>
      <w:r w:rsidRPr="00B40225">
        <w:t xml:space="preserve">¹ − </w:t>
      </w:r>
      <w:r w:rsidRPr="00B40225">
        <w:rPr>
          <w:i/>
          <w:iCs/>
        </w:rPr>
        <w:t>x</w:t>
      </w:r>
      <w:r w:rsidRPr="00B40225">
        <w:t>⁰)/ln(</w:t>
      </w:r>
      <w:r w:rsidRPr="00B40225">
        <w:rPr>
          <w:i/>
          <w:iCs/>
        </w:rPr>
        <w:t>x</w:t>
      </w:r>
      <w:r w:rsidRPr="00B40225">
        <w:t>¹/</w:t>
      </w:r>
      <w:r w:rsidRPr="00B40225">
        <w:rPr>
          <w:i/>
          <w:iCs/>
        </w:rPr>
        <w:t>x</w:t>
      </w:r>
      <w:r w:rsidRPr="00B40225">
        <w:t>⁰):</w:t>
      </w:r>
    </w:p>
    <w:p w14:paraId="73C87F47" w14:textId="77777777" w:rsidR="00E62AE4" w:rsidRPr="00B40225" w:rsidRDefault="00E62AE4" w:rsidP="008B3D5D">
      <w:pPr>
        <w:jc w:val="center"/>
      </w:pPr>
      <w:r w:rsidRPr="00B40225">
        <w:t>Δ</w:t>
      </w:r>
      <w:r w:rsidRPr="00B40225">
        <w:rPr>
          <w:i/>
          <w:iCs/>
        </w:rPr>
        <w:t>P</w:t>
      </w:r>
      <w:r w:rsidRPr="00B40225">
        <w:t xml:space="preserve"> = [ </w:t>
      </w:r>
      <w:r w:rsidRPr="00B40225">
        <w:rPr>
          <w:i/>
          <w:iCs/>
        </w:rPr>
        <w:t>L</w:t>
      </w:r>
      <w:r w:rsidRPr="00B40225">
        <w:t>(</w:t>
      </w:r>
      <w:r w:rsidRPr="00B40225">
        <w:rPr>
          <w:i/>
          <w:iCs/>
        </w:rPr>
        <w:t>I</w:t>
      </w:r>
      <w:r w:rsidRPr="00B40225">
        <w:rPr>
          <w:i/>
          <w:iCs/>
          <w:vertAlign w:val="subscript"/>
        </w:rPr>
        <w:t>d</w:t>
      </w:r>
      <w:r w:rsidRPr="00B40225">
        <w:t xml:space="preserve">) + </w:t>
      </w:r>
      <w:r w:rsidRPr="00B40225">
        <w:rPr>
          <w:i/>
          <w:iCs/>
        </w:rPr>
        <w:t>L</w:t>
      </w:r>
      <w:r w:rsidRPr="00B40225">
        <w:t>(</w:t>
      </w:r>
      <w:r w:rsidRPr="00B40225">
        <w:rPr>
          <w:i/>
          <w:iCs/>
        </w:rPr>
        <w:t>I</w:t>
      </w:r>
      <w:r w:rsidRPr="00B40225">
        <w:rPr>
          <w:i/>
          <w:iCs/>
          <w:vertAlign w:val="subscript"/>
        </w:rPr>
        <w:t>m</w:t>
      </w:r>
      <w:r w:rsidRPr="00B40225">
        <w:t>) ] · ln(</w:t>
      </w:r>
      <w:r w:rsidRPr="00B40225">
        <w:rPr>
          <w:i/>
          <w:iCs/>
        </w:rPr>
        <w:t>P</w:t>
      </w:r>
      <w:r w:rsidRPr="00B40225">
        <w:t>¹/</w:t>
      </w:r>
      <w:r w:rsidRPr="00B40225">
        <w:rPr>
          <w:i/>
          <w:iCs/>
        </w:rPr>
        <w:t>P</w:t>
      </w:r>
      <w:r w:rsidRPr="00B40225">
        <w:t>⁰)</w:t>
      </w:r>
    </w:p>
    <w:p w14:paraId="6DC7B7EF" w14:textId="77777777" w:rsidR="00E62AE4" w:rsidRPr="00B40225" w:rsidRDefault="00E62AE4" w:rsidP="008B3D5D">
      <w:pPr>
        <w:jc w:val="center"/>
      </w:pPr>
      <w:r w:rsidRPr="00B40225">
        <w:t>Δ</w:t>
      </w:r>
      <w:r w:rsidRPr="00B40225">
        <w:rPr>
          <w:i/>
          <w:iCs/>
        </w:rPr>
        <w:t>A</w:t>
      </w:r>
      <w:r w:rsidRPr="00B40225">
        <w:t xml:space="preserve"> = [ </w:t>
      </w:r>
      <w:r w:rsidRPr="00B40225">
        <w:rPr>
          <w:i/>
          <w:iCs/>
        </w:rPr>
        <w:t>L</w:t>
      </w:r>
      <w:r w:rsidRPr="00B40225">
        <w:t>(</w:t>
      </w:r>
      <w:r w:rsidRPr="00B40225">
        <w:rPr>
          <w:i/>
          <w:iCs/>
        </w:rPr>
        <w:t>I</w:t>
      </w:r>
      <w:r w:rsidRPr="00B40225">
        <w:rPr>
          <w:i/>
          <w:iCs/>
          <w:vertAlign w:val="subscript"/>
        </w:rPr>
        <w:t>d</w:t>
      </w:r>
      <w:r w:rsidRPr="00B40225">
        <w:t xml:space="preserve">) + </w:t>
      </w:r>
      <w:r w:rsidRPr="00B40225">
        <w:rPr>
          <w:i/>
          <w:iCs/>
        </w:rPr>
        <w:t>L</w:t>
      </w:r>
      <w:r w:rsidRPr="00B40225">
        <w:t>(</w:t>
      </w:r>
      <w:r w:rsidRPr="00B40225">
        <w:rPr>
          <w:i/>
          <w:iCs/>
        </w:rPr>
        <w:t>I</w:t>
      </w:r>
      <w:r w:rsidRPr="00B40225">
        <w:rPr>
          <w:i/>
          <w:iCs/>
          <w:vertAlign w:val="subscript"/>
        </w:rPr>
        <w:t>m</w:t>
      </w:r>
      <w:r w:rsidRPr="00B40225">
        <w:t>) ] · ln(</w:t>
      </w:r>
      <w:r w:rsidRPr="00B40225">
        <w:rPr>
          <w:i/>
          <w:iCs/>
        </w:rPr>
        <w:t>A</w:t>
      </w:r>
      <w:r w:rsidRPr="00B40225">
        <w:t>¹/</w:t>
      </w:r>
      <w:r w:rsidRPr="00B40225">
        <w:rPr>
          <w:i/>
          <w:iCs/>
        </w:rPr>
        <w:t>A</w:t>
      </w:r>
      <w:r w:rsidRPr="00B40225">
        <w:t>⁰)</w:t>
      </w:r>
    </w:p>
    <w:p w14:paraId="21E83075" w14:textId="77777777" w:rsidR="00E62AE4" w:rsidRPr="00B40225" w:rsidRDefault="00E62AE4" w:rsidP="008B3D5D">
      <w:pPr>
        <w:jc w:val="center"/>
      </w:pPr>
      <w:r w:rsidRPr="00B40225">
        <w:t>Δ</w:t>
      </w:r>
      <w:r w:rsidRPr="00B40225">
        <w:rPr>
          <w:i/>
          <w:iCs/>
        </w:rPr>
        <w:t>α</w:t>
      </w:r>
      <w:r w:rsidRPr="00B40225">
        <w:t xml:space="preserve"> = </w:t>
      </w:r>
      <w:r w:rsidRPr="00B40225">
        <w:rPr>
          <w:i/>
          <w:iCs/>
        </w:rPr>
        <w:t>L</w:t>
      </w:r>
      <w:r w:rsidRPr="00B40225">
        <w:t>(</w:t>
      </w:r>
      <w:r w:rsidRPr="00B40225">
        <w:rPr>
          <w:i/>
          <w:iCs/>
        </w:rPr>
        <w:t>I</w:t>
      </w:r>
      <w:r w:rsidRPr="00B40225">
        <w:rPr>
          <w:i/>
          <w:iCs/>
          <w:vertAlign w:val="subscript"/>
        </w:rPr>
        <w:t>d</w:t>
      </w:r>
      <w:r w:rsidRPr="00B40225">
        <w:t>) · ln(</w:t>
      </w:r>
      <w:r w:rsidRPr="00B40225">
        <w:rPr>
          <w:i/>
          <w:iCs/>
        </w:rPr>
        <w:t>α</w:t>
      </w:r>
      <w:r w:rsidRPr="00B40225">
        <w:t>¹/</w:t>
      </w:r>
      <w:r w:rsidRPr="00B40225">
        <w:rPr>
          <w:i/>
          <w:iCs/>
        </w:rPr>
        <w:t>α</w:t>
      </w:r>
      <w:r w:rsidRPr="00B40225">
        <w:t xml:space="preserve">⁰) + </w:t>
      </w:r>
      <w:r w:rsidRPr="00B40225">
        <w:rPr>
          <w:i/>
          <w:iCs/>
        </w:rPr>
        <w:t>L</w:t>
      </w:r>
      <w:r w:rsidRPr="00B40225">
        <w:t>(</w:t>
      </w:r>
      <w:r w:rsidRPr="00B40225">
        <w:rPr>
          <w:i/>
          <w:iCs/>
        </w:rPr>
        <w:t>I</w:t>
      </w:r>
      <w:r w:rsidRPr="00B40225">
        <w:rPr>
          <w:i/>
          <w:iCs/>
          <w:vertAlign w:val="subscript"/>
        </w:rPr>
        <w:t>m</w:t>
      </w:r>
      <w:r w:rsidRPr="00B40225">
        <w:t>) · ln((1−</w:t>
      </w:r>
      <w:r w:rsidRPr="00B40225">
        <w:rPr>
          <w:i/>
          <w:iCs/>
        </w:rPr>
        <w:t>α</w:t>
      </w:r>
      <w:r w:rsidRPr="00B40225">
        <w:t>¹)/(1−</w:t>
      </w:r>
      <w:r w:rsidRPr="00B40225">
        <w:rPr>
          <w:i/>
          <w:iCs/>
        </w:rPr>
        <w:t>α</w:t>
      </w:r>
      <w:r w:rsidRPr="00B40225">
        <w:t>⁰))</w:t>
      </w:r>
    </w:p>
    <w:p w14:paraId="6397A9E1" w14:textId="4A3D04B3" w:rsidR="00E62AE4" w:rsidRPr="00B40225" w:rsidRDefault="00E62AE4" w:rsidP="008B3D5D">
      <w:pPr>
        <w:jc w:val="center"/>
      </w:pPr>
      <w:r w:rsidRPr="00B40225">
        <w:t>Δ</w:t>
      </w:r>
      <w:r w:rsidRPr="00B40225">
        <w:rPr>
          <w:i/>
          <w:iCs/>
        </w:rPr>
        <w:t>t</w:t>
      </w:r>
      <w:r w:rsidRPr="00B40225">
        <w:rPr>
          <w:i/>
          <w:iCs/>
          <w:vertAlign w:val="subscript"/>
        </w:rPr>
        <w:t>d</w:t>
      </w:r>
      <w:r w:rsidRPr="00B40225">
        <w:t xml:space="preserve"> = </w:t>
      </w:r>
      <w:r w:rsidRPr="00B40225">
        <w:rPr>
          <w:i/>
          <w:iCs/>
        </w:rPr>
        <w:t>L</w:t>
      </w:r>
      <w:r w:rsidRPr="00B40225">
        <w:t>(</w:t>
      </w:r>
      <w:r w:rsidRPr="00B40225">
        <w:rPr>
          <w:i/>
          <w:iCs/>
        </w:rPr>
        <w:t>I</w:t>
      </w:r>
      <w:r w:rsidRPr="00B40225">
        <w:rPr>
          <w:i/>
          <w:iCs/>
          <w:vertAlign w:val="subscript"/>
        </w:rPr>
        <w:t>d</w:t>
      </w:r>
      <w:r w:rsidRPr="00B40225">
        <w:t>) · ln(</w:t>
      </w:r>
      <w:r w:rsidRPr="00B40225">
        <w:rPr>
          <w:i/>
          <w:iCs/>
        </w:rPr>
        <w:t>t</w:t>
      </w:r>
      <w:r w:rsidRPr="00B40225">
        <w:rPr>
          <w:i/>
          <w:iCs/>
          <w:vertAlign w:val="subscript"/>
        </w:rPr>
        <w:t>d</w:t>
      </w:r>
      <w:r w:rsidRPr="00B40225">
        <w:t>¹/</w:t>
      </w:r>
      <w:r w:rsidRPr="00B40225">
        <w:rPr>
          <w:i/>
          <w:iCs/>
        </w:rPr>
        <w:t>t</w:t>
      </w:r>
      <w:r w:rsidRPr="00B40225">
        <w:rPr>
          <w:i/>
          <w:iCs/>
          <w:vertAlign w:val="subscript"/>
        </w:rPr>
        <w:t>d</w:t>
      </w:r>
      <w:r w:rsidRPr="00B40225">
        <w:t>⁰)</w:t>
      </w:r>
    </w:p>
    <w:p w14:paraId="4C5D117A" w14:textId="21EA1F85" w:rsidR="00E62AE4" w:rsidRPr="00B40225" w:rsidRDefault="00E62AE4" w:rsidP="008B3D5D">
      <w:pPr>
        <w:jc w:val="center"/>
      </w:pPr>
      <w:r w:rsidRPr="00B40225">
        <w:t>Δ</w:t>
      </w:r>
      <w:r w:rsidRPr="00B40225">
        <w:rPr>
          <w:i/>
          <w:iCs/>
        </w:rPr>
        <w:t>t</w:t>
      </w:r>
      <w:r w:rsidRPr="00B40225">
        <w:rPr>
          <w:i/>
          <w:iCs/>
          <w:vertAlign w:val="subscript"/>
        </w:rPr>
        <w:t>m</w:t>
      </w:r>
      <w:r w:rsidRPr="00B40225">
        <w:t xml:space="preserve"> = </w:t>
      </w:r>
      <w:r w:rsidRPr="00B40225">
        <w:rPr>
          <w:i/>
          <w:iCs/>
        </w:rPr>
        <w:t>L</w:t>
      </w:r>
      <w:r w:rsidRPr="00B40225">
        <w:t>(</w:t>
      </w:r>
      <w:r w:rsidRPr="00B40225">
        <w:rPr>
          <w:i/>
          <w:iCs/>
        </w:rPr>
        <w:t>I</w:t>
      </w:r>
      <w:r w:rsidRPr="00B40225">
        <w:rPr>
          <w:i/>
          <w:iCs/>
          <w:vertAlign w:val="subscript"/>
        </w:rPr>
        <w:t>m</w:t>
      </w:r>
      <w:r w:rsidRPr="00B40225">
        <w:t>) · ln(</w:t>
      </w:r>
      <w:r w:rsidRPr="00B40225">
        <w:rPr>
          <w:i/>
          <w:iCs/>
        </w:rPr>
        <w:t>t</w:t>
      </w:r>
      <w:r w:rsidRPr="00B40225">
        <w:rPr>
          <w:i/>
          <w:iCs/>
          <w:vertAlign w:val="subscript"/>
        </w:rPr>
        <w:t>m</w:t>
      </w:r>
      <w:r w:rsidRPr="00B40225">
        <w:t>¹/</w:t>
      </w:r>
      <w:r w:rsidRPr="00B40225">
        <w:rPr>
          <w:i/>
          <w:iCs/>
        </w:rPr>
        <w:t>t</w:t>
      </w:r>
      <w:r w:rsidRPr="00B40225">
        <w:rPr>
          <w:i/>
          <w:iCs/>
          <w:vertAlign w:val="subscript"/>
        </w:rPr>
        <w:t>m</w:t>
      </w:r>
      <w:r w:rsidRPr="00B40225">
        <w:t>⁰)</w:t>
      </w:r>
    </w:p>
    <w:p w14:paraId="29744F03" w14:textId="3909FB47" w:rsidR="00E62AE4" w:rsidRPr="00B40225" w:rsidRDefault="00E62AE4" w:rsidP="00B40225">
      <w:r w:rsidRPr="00B40225">
        <w:t xml:space="preserve">This is an index decomposition applied to MRIO-derived aggregates (the aggregate-embodied-intensity tradition of </w:t>
      </w:r>
      <w:r w:rsidRPr="00B40225">
        <w:fldChar w:fldCharType="begin"/>
      </w:r>
      <w:r w:rsidR="00C75B8B">
        <w:instrText xml:space="preserve"> ADDIN ZOTERO_ITEM CSL_CITATION {"citationID":"3KWzbZQ9","properties":{"unsorted":false,"formattedCitation":"\\super 9,10\\nosupersub{}","plainCitation":"9,10","noteIndex":0},"citationItems":[{"id":17227,"uris":["http://zotero.org/users/1337054/items/MJSDA5KP"],"itemData":{"id":17227,"type":"article-journal","abstract":"Aggregate intensity indicators, such as the ratio of a country's energy and emissions to its GDP, are often used by researchers and policymakers to study energy and environmental performance. This paper analyzes the relationship between energy (or emissions) and value added (or GDP) from a different viewpoint, namely from the demand rather than the production perspective, using the input–output (I–O) framework. The aggregate embodied intensity (AEI), defined as the ratio of embodied energy (or emissions) to embodied value added, can be defined at the aggregate, final demand category and sectoral levels. The total aggregate intensity can be presented as a weighted sum of the AEIs at the final demand category or sectoral level. Changes of the AEI at different levels can be decomposed to identify the driving forces using multiplicative SDA. A study using the latest 2007 and 2012 datasets of China indicates that (a) its aggregate intensity of CO2 emissions was mainly determined by the AEI in investment and (b) the emission intensity effect generally contributed the most to the AEI ratio changes at different levels. The proposed framework can be applied to other aggregate intensity indicators and extended to multi-country/region analysis.","container-title":"Energy Economics","DOI":"10.1016/j.eneco.2017.05.002","ISSN":"0140-9883","journalAbbreviation":"Energy Economics","page":"137-147","source":"ScienceDirect","title":"Multiplicative structural decomposition analysis of aggregate embodied energy and emission intensities","volume":"65","author":[{"family":"Su","given":"Bin"},{"family":"Ang","given":"B. W."}],"issued":{"date-parts":[["2017",6,1]]}}},{"id":17231,"uris":["http://zotero.org/users/1337054/items/DC5KRHUT"],"itemData":{"id":17231,"type":"article-journal","abstract":"The striking disparities among China’s provinces suggest the need for regionalized carbon emission intensity mitigation measures. This study extends the aggregate embodied energy/emission intensity measures proposed by Su and Ang (2017) to a national multi-region setting, defines the aggregate embodied CO2 emission intensity (AECI) indicators at the aggregate, provincial, and final demand category levels from the demand perspective, and adopts multiplicative structural decomposition analysis (SDA) to identify the driving factors of the historical changes over the 2007–2012 period in China. On the basis of China’s latest multiregion input-output tables, we find that (a) the AECIs show heterogeneities across the provinces and final demand categories, with the AECIs of inland provinces higher than those of coastal provinces and the AECIs of investment and export higher than those of consumption; (b) the generally downward trends of the AECIs hold at different levels, and the improvements in carbon emission performances are more pronounced in inland provinces, presenting a convergence toward the levels of developed coastal provinces; (c) according to the multiplicative SDA results, the input structure effect and the emission intensity effect generally contribute to the decline of AECIs. By providing a deeper understanding of carbon emission performance and its driving factors at the subnational level, our study finally proposes some policy recommendations.","container-title":"Energy Economics","DOI":"10.1016/j.eneco.2019.104568","ISSN":"0140-9883","journalAbbreviation":"Energy Economics","page":"104568","source":"ScienceDirect","title":"China’s aggregate embodied CO2 emission intensity from 2007 to 2012: A multi-region multiplicative structural decomposition analysis","title-short":"China’s aggregate embodied CO2 emission intensity from 2007 to 2012","volume":"85","author":[{"family":"Wang","given":"Zhenguo"},{"family":"Su","given":"Bin"},{"family":"Xie","given":"Rui"},{"family":"Long","given":"Haiyu"}],"issued":{"date-parts":[["2020",1,1]]}}}],"schema":"https://github.com/citation-style-language/schema/raw/master/csl-citation.json"} </w:instrText>
      </w:r>
      <w:r w:rsidRPr="00B40225">
        <w:fldChar w:fldCharType="separate"/>
      </w:r>
      <w:r w:rsidR="00C75B8B" w:rsidRPr="00C75B8B">
        <w:rPr>
          <w:vertAlign w:val="superscript"/>
        </w:rPr>
        <w:t>9,10</w:t>
      </w:r>
      <w:r w:rsidRPr="00B40225">
        <w:fldChar w:fldCharType="end"/>
      </w:r>
      <w:r w:rsidRPr="00B40225">
        <w:t>), not a structural decomposition of the Leontief inverse. The decomposition is exact (no residual), time-reversible, and computed over annual year-pairs accumulated 2000</w:t>
      </w:r>
      <w:r w:rsidR="008B3D5D">
        <w:t>-</w:t>
      </w:r>
      <w:r w:rsidRPr="00B40225">
        <w:t>2020 at region-group and country level.</w:t>
      </w:r>
    </w:p>
    <w:p w14:paraId="6E07E9D3" w14:textId="77777777" w:rsidR="00E62AE4" w:rsidRPr="00B40225" w:rsidRDefault="00E62AE4" w:rsidP="00B40225">
      <w:r w:rsidRPr="00B40225">
        <w:t>The five-factor Δ</w:t>
      </w:r>
      <w:r w:rsidRPr="00B40225">
        <w:rPr>
          <w:i/>
          <w:iCs/>
        </w:rPr>
        <w:t>t</w:t>
      </w:r>
      <w:r w:rsidRPr="00B40225">
        <w:t xml:space="preserve"> mixes pure intensity change with supply-chain lengthening, because </w:t>
      </w:r>
      <w:r w:rsidRPr="00B40225">
        <w:rPr>
          <w:i/>
          <w:iCs/>
        </w:rPr>
        <w:t>t</w:t>
      </w:r>
      <w:r w:rsidRPr="00B40225">
        <w:t xml:space="preserve"> = (</w:t>
      </w:r>
      <w:r w:rsidRPr="00B40225">
        <w:rPr>
          <w:i/>
          <w:iCs/>
        </w:rPr>
        <w:t>I/X</w:t>
      </w:r>
      <w:r w:rsidRPr="00B40225">
        <w:t>)·</w:t>
      </w:r>
      <w:r w:rsidRPr="00B40225">
        <w:rPr>
          <w:i/>
          <w:iCs/>
        </w:rPr>
        <w:t>m</w:t>
      </w:r>
      <w:r w:rsidRPr="00B40225">
        <w:t xml:space="preserve"> with </w:t>
      </w:r>
      <w:r w:rsidRPr="00B40225">
        <w:rPr>
          <w:i/>
          <w:iCs/>
        </w:rPr>
        <w:t>m</w:t>
      </w:r>
      <w:r w:rsidRPr="00B40225">
        <w:t xml:space="preserve"> = </w:t>
      </w:r>
      <w:r w:rsidRPr="00B40225">
        <w:rPr>
          <w:i/>
          <w:iCs/>
        </w:rPr>
        <w:t>X/Y</w:t>
      </w:r>
      <w:r w:rsidRPr="00B40225">
        <w:t xml:space="preserve"> the output multiplier. A six-factor form isolates </w:t>
      </w:r>
      <w:r w:rsidRPr="00B40225">
        <w:rPr>
          <w:i/>
          <w:iCs/>
        </w:rPr>
        <w:t>m</w:t>
      </w:r>
      <w:r w:rsidRPr="00B40225">
        <w:t>:</w:t>
      </w:r>
    </w:p>
    <w:p w14:paraId="40A22549" w14:textId="77777777" w:rsidR="00E62AE4" w:rsidRPr="00B40225" w:rsidRDefault="00E62AE4" w:rsidP="00FD0A2C">
      <w:pPr>
        <w:jc w:val="center"/>
      </w:pPr>
      <w:r w:rsidRPr="00B40225">
        <w:rPr>
          <w:i/>
          <w:iCs/>
        </w:rPr>
        <w:t>I</w:t>
      </w:r>
      <w:r w:rsidRPr="00B40225">
        <w:t xml:space="preserve"> = </w:t>
      </w:r>
      <w:r w:rsidRPr="00B40225">
        <w:rPr>
          <w:i/>
          <w:iCs/>
        </w:rPr>
        <w:t>P</w:t>
      </w:r>
      <w:r w:rsidRPr="00B40225">
        <w:t xml:space="preserve"> · </w:t>
      </w:r>
      <w:r w:rsidRPr="00B40225">
        <w:rPr>
          <w:i/>
          <w:iCs/>
        </w:rPr>
        <w:t>A</w:t>
      </w:r>
      <w:r w:rsidRPr="00B40225">
        <w:t xml:space="preserve"> · </w:t>
      </w:r>
      <w:r w:rsidRPr="00B40225">
        <w:rPr>
          <w:i/>
          <w:iCs/>
        </w:rPr>
        <w:t>m</w:t>
      </w:r>
      <w:r w:rsidRPr="00B40225">
        <w:t xml:space="preserve"> · [ </w:t>
      </w:r>
      <w:r w:rsidRPr="00B40225">
        <w:rPr>
          <w:i/>
          <w:iCs/>
        </w:rPr>
        <w:t>α</w:t>
      </w:r>
      <w:r w:rsidRPr="00B40225">
        <w:t xml:space="preserve"> · </w:t>
      </w:r>
      <w:r w:rsidRPr="00B40225">
        <w:rPr>
          <w:i/>
          <w:iCs/>
        </w:rPr>
        <w:t>t̃</w:t>
      </w:r>
      <w:r w:rsidRPr="00B40225">
        <w:rPr>
          <w:i/>
          <w:iCs/>
          <w:vertAlign w:val="subscript"/>
        </w:rPr>
        <w:t>d</w:t>
      </w:r>
      <w:r w:rsidRPr="00B40225">
        <w:t xml:space="preserve"> + (1−</w:t>
      </w:r>
      <w:r w:rsidRPr="00B40225">
        <w:rPr>
          <w:i/>
          <w:iCs/>
        </w:rPr>
        <w:t>α</w:t>
      </w:r>
      <w:r w:rsidRPr="00B40225">
        <w:t xml:space="preserve">) · </w:t>
      </w:r>
      <w:r w:rsidRPr="00B40225">
        <w:rPr>
          <w:i/>
          <w:iCs/>
        </w:rPr>
        <w:t>t̃</w:t>
      </w:r>
      <w:r w:rsidRPr="00B40225">
        <w:rPr>
          <w:i/>
          <w:iCs/>
          <w:vertAlign w:val="subscript"/>
        </w:rPr>
        <w:t>m</w:t>
      </w:r>
      <w:r w:rsidRPr="00B40225">
        <w:t xml:space="preserve"> ]</w:t>
      </w:r>
    </w:p>
    <w:p w14:paraId="277D2F12" w14:textId="0B93E29E" w:rsidR="00E62AE4" w:rsidRPr="00B40225" w:rsidRDefault="00E62AE4" w:rsidP="00B40225">
      <w:r w:rsidRPr="00B40225">
        <w:t xml:space="preserve">With “direct” intensities: </w:t>
      </w:r>
      <w:r w:rsidRPr="00B40225">
        <w:rPr>
          <w:i/>
          <w:iCs/>
        </w:rPr>
        <w:t>t̃</w:t>
      </w:r>
      <w:r w:rsidRPr="00B40225">
        <w:rPr>
          <w:vertAlign w:val="subscript"/>
        </w:rPr>
        <w:t>d</w:t>
      </w:r>
      <w:r w:rsidRPr="00B40225">
        <w:t xml:space="preserve"> = </w:t>
      </w:r>
      <w:r w:rsidRPr="00B40225">
        <w:rPr>
          <w:i/>
          <w:iCs/>
        </w:rPr>
        <w:t>I</w:t>
      </w:r>
      <w:r w:rsidRPr="00B40225">
        <w:rPr>
          <w:vertAlign w:val="subscript"/>
        </w:rPr>
        <w:t>d</w:t>
      </w:r>
      <w:r w:rsidRPr="00B40225">
        <w:t>/</w:t>
      </w:r>
      <w:r w:rsidRPr="00B40225">
        <w:rPr>
          <w:i/>
          <w:iCs/>
        </w:rPr>
        <w:t>X</w:t>
      </w:r>
      <w:r w:rsidRPr="00B40225">
        <w:rPr>
          <w:vertAlign w:val="subscript"/>
        </w:rPr>
        <w:t>d</w:t>
      </w:r>
      <w:r w:rsidRPr="00B40225">
        <w:t xml:space="preserve"> and </w:t>
      </w:r>
      <w:r w:rsidRPr="00B40225">
        <w:rPr>
          <w:i/>
          <w:iCs/>
        </w:rPr>
        <w:t>t̃</w:t>
      </w:r>
      <w:r w:rsidRPr="00B40225">
        <w:rPr>
          <w:vertAlign w:val="subscript"/>
        </w:rPr>
        <w:t>m</w:t>
      </w:r>
      <w:r w:rsidRPr="00B40225">
        <w:t xml:space="preserve"> = </w:t>
      </w:r>
      <w:r w:rsidRPr="00B40225">
        <w:rPr>
          <w:i/>
          <w:iCs/>
        </w:rPr>
        <w:t>I</w:t>
      </w:r>
      <w:r w:rsidRPr="00B40225">
        <w:rPr>
          <w:vertAlign w:val="subscript"/>
        </w:rPr>
        <w:t>m</w:t>
      </w:r>
      <w:r w:rsidRPr="00B40225">
        <w:t>/</w:t>
      </w:r>
      <w:r w:rsidRPr="00B40225">
        <w:rPr>
          <w:i/>
          <w:iCs/>
        </w:rPr>
        <w:t>X</w:t>
      </w:r>
      <w:r w:rsidRPr="00B40225">
        <w:rPr>
          <w:vertAlign w:val="subscript"/>
        </w:rPr>
        <w:t>m</w:t>
      </w:r>
      <w:r w:rsidRPr="00B40225">
        <w:t>. A multiplier term Δ</w:t>
      </w:r>
      <w:r w:rsidRPr="00B40225">
        <w:rPr>
          <w:i/>
          <w:iCs/>
        </w:rPr>
        <w:t>m</w:t>
      </w:r>
      <w:r w:rsidRPr="00B40225">
        <w:t xml:space="preserve"> = [ </w:t>
      </w:r>
      <w:r w:rsidRPr="00B40225">
        <w:rPr>
          <w:i/>
          <w:iCs/>
        </w:rPr>
        <w:t>L</w:t>
      </w:r>
      <w:r w:rsidRPr="00B40225">
        <w:t>(</w:t>
      </w:r>
      <w:r w:rsidRPr="00B40225">
        <w:rPr>
          <w:i/>
          <w:iCs/>
        </w:rPr>
        <w:t>I</w:t>
      </w:r>
      <w:r w:rsidRPr="00B40225">
        <w:rPr>
          <w:vertAlign w:val="subscript"/>
        </w:rPr>
        <w:t>d</w:t>
      </w:r>
      <w:r w:rsidRPr="00B40225">
        <w:t xml:space="preserve">) + </w:t>
      </w:r>
      <w:r w:rsidRPr="00B40225">
        <w:rPr>
          <w:i/>
          <w:iCs/>
        </w:rPr>
        <w:t>L</w:t>
      </w:r>
      <w:r w:rsidRPr="00B40225">
        <w:t>(</w:t>
      </w:r>
      <w:r w:rsidRPr="00B40225">
        <w:rPr>
          <w:i/>
          <w:iCs/>
        </w:rPr>
        <w:t>I</w:t>
      </w:r>
      <w:r w:rsidRPr="00B40225">
        <w:rPr>
          <w:vertAlign w:val="subscript"/>
        </w:rPr>
        <w:t>m</w:t>
      </w:r>
      <w:r w:rsidRPr="00B40225">
        <w:t>) ]·ln(</w:t>
      </w:r>
      <w:r w:rsidRPr="00B40225">
        <w:rPr>
          <w:i/>
          <w:iCs/>
        </w:rPr>
        <w:t>m</w:t>
      </w:r>
      <w:r w:rsidRPr="00B40225">
        <w:t>¹/</w:t>
      </w:r>
      <w:r w:rsidRPr="00B40225">
        <w:rPr>
          <w:i/>
          <w:iCs/>
        </w:rPr>
        <w:t>m</w:t>
      </w:r>
      <w:r w:rsidRPr="00B40225">
        <w:t>⁰) is added and the channel terms use the direct gross-output intensities. We report the five-factor form as headline because it captures both direct and intermediate trade changes, and Δ</w:t>
      </w:r>
      <w:r w:rsidRPr="00B40225">
        <w:rPr>
          <w:i/>
          <w:iCs/>
        </w:rPr>
        <w:t>m</w:t>
      </w:r>
      <w:r w:rsidRPr="00B40225">
        <w:t xml:space="preserve"> is small for advanced economies (</w:t>
      </w:r>
      <w:r w:rsidRPr="00B40225">
        <w:rPr>
          <w:i/>
          <w:iCs/>
        </w:rPr>
        <w:t>m</w:t>
      </w:r>
      <w:r w:rsidRPr="00B40225">
        <w:t>: 1.84</w:t>
      </w:r>
      <w:r w:rsidR="00FD0A2C">
        <w:t xml:space="preserve"> to </w:t>
      </w:r>
      <w:r w:rsidRPr="00B40225">
        <w:t>1.82, 2000</w:t>
      </w:r>
      <w:r w:rsidR="00FD0A2C">
        <w:t xml:space="preserve"> - </w:t>
      </w:r>
      <w:r w:rsidRPr="00B40225">
        <w:t xml:space="preserve">2020); for emerging-developing economies </w:t>
      </w:r>
      <w:r w:rsidRPr="00B40225">
        <w:rPr>
          <w:i/>
          <w:iCs/>
        </w:rPr>
        <w:t>m</w:t>
      </w:r>
      <w:r w:rsidRPr="00B40225">
        <w:t xml:space="preserve"> rises about 8% (1.86→2.00), so part of the five-factor Δ</w:t>
      </w:r>
      <w:r w:rsidRPr="00B40225">
        <w:rPr>
          <w:i/>
          <w:iCs/>
        </w:rPr>
        <w:t>t</w:t>
      </w:r>
      <w:r w:rsidRPr="00B40225">
        <w:t xml:space="preserve"> there reflects supply-chain lengthening rather than pure intensity change. Both forms are exactly additive.</w:t>
      </w:r>
    </w:p>
    <w:p w14:paraId="08839F4F" w14:textId="766980EB" w:rsidR="00E62AE4" w:rsidRDefault="00E62AE4" w:rsidP="00B40225">
      <w:r w:rsidRPr="00B40225">
        <w:t>Δα captures the impact change attributable to shifts in the gross-output sourcing share. Where imports are dirtier than domestic production (</w:t>
      </w:r>
      <w:r w:rsidRPr="00B40225">
        <w:rPr>
          <w:i/>
          <w:iCs/>
        </w:rPr>
        <w:t>t</w:t>
      </w:r>
      <w:r w:rsidRPr="00B40225">
        <w:rPr>
          <w:vertAlign w:val="subscript"/>
        </w:rPr>
        <w:t>m</w:t>
      </w:r>
      <w:r w:rsidRPr="00B40225">
        <w:t xml:space="preserve"> &gt; </w:t>
      </w:r>
      <w:r w:rsidRPr="00B40225">
        <w:rPr>
          <w:i/>
          <w:iCs/>
        </w:rPr>
        <w:t>t</w:t>
      </w:r>
      <w:r w:rsidRPr="00B40225">
        <w:rPr>
          <w:vertAlign w:val="subscript"/>
        </w:rPr>
        <w:t>d</w:t>
      </w:r>
      <w:r w:rsidRPr="00B40225">
        <w:t>, typical for advanced economies), a fall in α (more imports) raises impact, so Δα &gt; 0. Where domestic production is dirtier (</w:t>
      </w:r>
      <w:r w:rsidRPr="00B40225">
        <w:rPr>
          <w:i/>
          <w:iCs/>
        </w:rPr>
        <w:t>t</w:t>
      </w:r>
      <w:r w:rsidRPr="00B40225">
        <w:rPr>
          <w:vertAlign w:val="subscript"/>
        </w:rPr>
        <w:t>d</w:t>
      </w:r>
      <w:r w:rsidRPr="00B40225">
        <w:t xml:space="preserve"> &gt; </w:t>
      </w:r>
      <w:r w:rsidRPr="00B40225">
        <w:rPr>
          <w:i/>
          <w:iCs/>
        </w:rPr>
        <w:t>t</w:t>
      </w:r>
      <w:r w:rsidRPr="00B40225">
        <w:rPr>
          <w:vertAlign w:val="subscript"/>
        </w:rPr>
        <w:t>m</w:t>
      </w:r>
      <w:r w:rsidRPr="00B40225">
        <w:t>, typical for emerging-developing economies), a rise in α (more domestic sourcing) raises impact, so Δα &gt; 0. Both groups show Δα &gt; 0 over 2000</w:t>
      </w:r>
      <w:r w:rsidR="001970BD">
        <w:t>-</w:t>
      </w:r>
      <w:r w:rsidRPr="00B40225">
        <w:t xml:space="preserve">2020 for opposite mechanical reasons: advanced economies shifted toward imports while their imports were dirtier than domestic, and emerging economies shifted toward domestic production while their domestic supply was </w:t>
      </w:r>
      <w:r w:rsidR="004069D0">
        <w:t>less clean</w:t>
      </w:r>
      <w:r w:rsidRPr="00B40225">
        <w:t xml:space="preserve"> than imports.</w:t>
      </w:r>
    </w:p>
    <w:p w14:paraId="5AF5C6C2" w14:textId="77777777" w:rsidR="004069D0" w:rsidRPr="00B40225" w:rsidRDefault="004069D0" w:rsidP="00B40225"/>
    <w:p w14:paraId="2CF2076B" w14:textId="598D226C" w:rsidR="00E62AE4" w:rsidRPr="00B40225" w:rsidRDefault="00E62AE4" w:rsidP="00B40225">
      <w:pPr>
        <w:pStyle w:val="Heading2"/>
      </w:pPr>
      <w:r w:rsidRPr="00B40225">
        <w:lastRenderedPageBreak/>
        <w:t>SI</w:t>
      </w:r>
      <w:r w:rsidR="002A6DDB">
        <w:t xml:space="preserve"> </w:t>
      </w:r>
      <w:r w:rsidR="002C0411">
        <w:t>4</w:t>
      </w:r>
      <w:r w:rsidRPr="00B40225">
        <w:t>: Allocation-principl</w:t>
      </w:r>
      <w:r w:rsidR="00276F9E">
        <w:t>e</w:t>
      </w:r>
      <w:r w:rsidRPr="00B40225">
        <w:t xml:space="preserve"> sensitivity (downscaling robustness)</w:t>
      </w:r>
    </w:p>
    <w:p w14:paraId="5C1363AB" w14:textId="77777777" w:rsidR="00E62AE4" w:rsidRPr="00B40225" w:rsidRDefault="00E62AE4" w:rsidP="00B40225">
      <w:r w:rsidRPr="00B40225">
        <w:t xml:space="preserve">The main analysis downscales each global boundary by equal per-capita share. A national boundary is the global boundary </w:t>
      </w:r>
      <w:r w:rsidRPr="00B40225">
        <w:rPr>
          <w:i/>
          <w:iCs/>
        </w:rPr>
        <w:t>PB</w:t>
      </w:r>
      <w:r w:rsidRPr="00B40225">
        <w:t xml:space="preserve"> times a share, where exceedance</w:t>
      </w:r>
      <w:r w:rsidRPr="00B40225">
        <w:rPr>
          <w:vertAlign w:val="subscript"/>
        </w:rPr>
        <w:t>c</w:t>
      </w:r>
      <w:r w:rsidRPr="00B40225">
        <w:t xml:space="preserve"> = footprint</w:t>
      </w:r>
      <w:r w:rsidRPr="00B40225">
        <w:rPr>
          <w:vertAlign w:val="subscript"/>
        </w:rPr>
        <w:t>c</w:t>
      </w:r>
      <w:r w:rsidRPr="00B40225">
        <w:t xml:space="preserve"> / (</w:t>
      </w:r>
      <w:r w:rsidRPr="00B40225">
        <w:rPr>
          <w:i/>
          <w:iCs/>
        </w:rPr>
        <w:t>PB</w:t>
      </w:r>
      <w:r w:rsidRPr="00B40225">
        <w:t xml:space="preserve"> x share</w:t>
      </w:r>
      <w:r w:rsidRPr="00B40225">
        <w:rPr>
          <w:vertAlign w:val="subscript"/>
        </w:rPr>
        <w:t>c</w:t>
      </w:r>
      <w:r w:rsidRPr="00B40225">
        <w:t xml:space="preserve">), for country or region </w:t>
      </w:r>
      <w:r w:rsidRPr="00B40225">
        <w:rPr>
          <w:i/>
          <w:iCs/>
        </w:rPr>
        <w:t>c.</w:t>
      </w:r>
    </w:p>
    <w:p w14:paraId="6EE3821E" w14:textId="77777777" w:rsidR="00E62AE4" w:rsidRPr="00B40225" w:rsidRDefault="00E62AE4" w:rsidP="00B40225">
      <w:r w:rsidRPr="00B40225">
        <w:t>Footprints are unchanged across principles; only the share is re-weighted, and hence exceedance varies. In the supporting information we provide results across three different principles:</w:t>
      </w:r>
    </w:p>
    <w:p w14:paraId="2903A16D" w14:textId="77777777" w:rsidR="00E62AE4" w:rsidRPr="00B40225" w:rsidRDefault="00E62AE4" w:rsidP="00B40225">
      <w:r w:rsidRPr="00B40225">
        <w:rPr>
          <w:b/>
          <w:bCs/>
        </w:rPr>
        <w:t xml:space="preserve">•  Equal per-capita (main analysis): </w:t>
      </w:r>
      <w:r w:rsidRPr="00B40225">
        <w:rPr>
          <w:sz w:val="21"/>
          <w:szCs w:val="21"/>
        </w:rPr>
        <w:t>share</w:t>
      </w:r>
      <w:r w:rsidRPr="00B40225">
        <w:rPr>
          <w:sz w:val="21"/>
          <w:szCs w:val="21"/>
          <w:vertAlign w:val="subscript"/>
        </w:rPr>
        <w:t>c</w:t>
      </w:r>
      <w:r w:rsidRPr="00B40225">
        <w:t xml:space="preserve">  = population</w:t>
      </w:r>
      <w:r w:rsidRPr="00B40225">
        <w:rPr>
          <w:sz w:val="21"/>
          <w:szCs w:val="21"/>
          <w:vertAlign w:val="subscript"/>
        </w:rPr>
        <w:t>c</w:t>
      </w:r>
      <w:r w:rsidRPr="00B40225">
        <w:t xml:space="preserve">  / population</w:t>
      </w:r>
      <w:r w:rsidRPr="00B40225">
        <w:rPr>
          <w:sz w:val="21"/>
          <w:szCs w:val="21"/>
          <w:vertAlign w:val="subscript"/>
        </w:rPr>
        <w:t>world</w:t>
      </w:r>
      <w:r w:rsidRPr="00B40225">
        <w:t>.</w:t>
      </w:r>
    </w:p>
    <w:p w14:paraId="0B549510" w14:textId="77777777" w:rsidR="00E62AE4" w:rsidRPr="00B40225" w:rsidRDefault="00E62AE4" w:rsidP="00B40225">
      <w:r w:rsidRPr="00B40225">
        <w:rPr>
          <w:b/>
          <w:bCs/>
        </w:rPr>
        <w:t xml:space="preserve">•  Grandfathering: </w:t>
      </w:r>
      <w:r w:rsidRPr="00B40225">
        <w:rPr>
          <w:sz w:val="21"/>
          <w:szCs w:val="21"/>
        </w:rPr>
        <w:t>share</w:t>
      </w:r>
      <w:r w:rsidRPr="00B40225">
        <w:rPr>
          <w:sz w:val="21"/>
          <w:szCs w:val="21"/>
          <w:vertAlign w:val="subscript"/>
        </w:rPr>
        <w:t>c</w:t>
      </w:r>
      <w:r w:rsidRPr="00B40225">
        <w:t xml:space="preserve">  = footprint</w:t>
      </w:r>
      <w:r w:rsidRPr="00B40225">
        <w:rPr>
          <w:sz w:val="21"/>
          <w:szCs w:val="21"/>
          <w:vertAlign w:val="subscript"/>
        </w:rPr>
        <w:t>c,t=0</w:t>
      </w:r>
      <w:r w:rsidRPr="00B40225">
        <w:t xml:space="preserve"> / footprint</w:t>
      </w:r>
      <w:r w:rsidRPr="00B40225">
        <w:rPr>
          <w:sz w:val="21"/>
          <w:szCs w:val="21"/>
          <w:vertAlign w:val="subscript"/>
        </w:rPr>
        <w:t xml:space="preserve"> world,t=0</w:t>
      </w:r>
      <w:r w:rsidRPr="00B40225">
        <w:t xml:space="preserve"> allocation in proportion to the base-year (2000) share of the pressure, holding incumbents’ position fixed.</w:t>
      </w:r>
    </w:p>
    <w:p w14:paraId="46E73EB5" w14:textId="77777777" w:rsidR="00E62AE4" w:rsidRPr="00B40225" w:rsidRDefault="00E62AE4" w:rsidP="00B40225">
      <w:r w:rsidRPr="00B40225">
        <w:rPr>
          <w:b/>
          <w:bCs/>
        </w:rPr>
        <w:t xml:space="preserve">•  Ability to pay: </w:t>
      </w:r>
      <w:r w:rsidRPr="00B40225">
        <w:rPr>
          <w:sz w:val="21"/>
          <w:szCs w:val="21"/>
        </w:rPr>
        <w:t>share</w:t>
      </w:r>
      <w:r w:rsidRPr="00B40225">
        <w:rPr>
          <w:sz w:val="21"/>
          <w:szCs w:val="21"/>
          <w:vertAlign w:val="subscript"/>
        </w:rPr>
        <w:t>c</w:t>
      </w:r>
      <w:r w:rsidRPr="00B40225">
        <w:t xml:space="preserve"> proportional to pop</w:t>
      </w:r>
      <w:r w:rsidRPr="00B40225">
        <w:rPr>
          <w:sz w:val="21"/>
          <w:szCs w:val="21"/>
          <w:vertAlign w:val="subscript"/>
        </w:rPr>
        <w:t xml:space="preserve"> c,</w:t>
      </w:r>
      <w:r w:rsidRPr="00B40225">
        <w:t xml:space="preserve"> x (GDPpc</w:t>
      </w:r>
      <w:r w:rsidRPr="00B40225">
        <w:rPr>
          <w:sz w:val="21"/>
          <w:szCs w:val="21"/>
          <w:vertAlign w:val="subscript"/>
        </w:rPr>
        <w:t xml:space="preserve"> world</w:t>
      </w:r>
      <w:r w:rsidRPr="00B40225">
        <w:t xml:space="preserve"> / GDPpc</w:t>
      </w:r>
      <w:r w:rsidRPr="00B40225">
        <w:rPr>
          <w:sz w:val="21"/>
          <w:szCs w:val="21"/>
          <w:vertAlign w:val="subscript"/>
        </w:rPr>
        <w:t xml:space="preserve"> c</w:t>
      </w:r>
      <w:r w:rsidRPr="00B40225">
        <w:t>), a capacity weighting giving lower-income countries a larger per-capita entitlement; one of several possible formulations.</w:t>
      </w:r>
    </w:p>
    <w:p w14:paraId="305D92ED" w14:textId="739414AE" w:rsidR="00E62AE4" w:rsidRPr="00B40225" w:rsidRDefault="00E62AE4" w:rsidP="00B40225">
      <w:r w:rsidRPr="00B40225">
        <w:t>Global exceedance is invariant to the principle</w:t>
      </w:r>
      <w:r w:rsidR="004069D0">
        <w:t xml:space="preserve">, </w:t>
      </w:r>
      <w:r w:rsidRPr="00B40225">
        <w:t>a re-allocation cannot change the global total</w:t>
      </w:r>
      <w:r w:rsidR="004069D0">
        <w:t>,</w:t>
      </w:r>
      <w:r w:rsidRPr="00B40225">
        <w:t xml:space="preserve"> so the sensitivity concerns the </w:t>
      </w:r>
      <w:r w:rsidRPr="00B40225">
        <w:rPr>
          <w:i/>
          <w:iCs/>
        </w:rPr>
        <w:t>distribution</w:t>
      </w:r>
      <w:r w:rsidRPr="00B40225">
        <w:t xml:space="preserve"> of responsibility across countries.</w:t>
      </w:r>
    </w:p>
    <w:p w14:paraId="5DC94D35" w14:textId="77777777" w:rsidR="004A2BAC" w:rsidRDefault="004A2BAC" w:rsidP="00B40225"/>
    <w:p w14:paraId="10DA5A87" w14:textId="797EFB89" w:rsidR="00E62AE4" w:rsidRDefault="00E62AE4" w:rsidP="00B40225">
      <w:r w:rsidRPr="00B40225">
        <w:t>Table S</w:t>
      </w:r>
      <w:r w:rsidR="004A2BAC">
        <w:t xml:space="preserve">I </w:t>
      </w:r>
      <w:r w:rsidR="002C0411">
        <w:t>4.1</w:t>
      </w:r>
      <w:r w:rsidRPr="00B40225">
        <w:t xml:space="preserve"> reports 2020 exceedance (relative to the lower boundary) for advanced and emerging-developing aggregates and the global total under each principle; Figure S</w:t>
      </w:r>
      <w:r w:rsidR="00A95CDF">
        <w:t xml:space="preserve">I </w:t>
      </w:r>
      <w:r w:rsidR="002C0411">
        <w:t>4.1</w:t>
      </w:r>
      <w:r w:rsidRPr="00B40225">
        <w:t xml:space="preserve"> shows the same.</w:t>
      </w:r>
    </w:p>
    <w:p w14:paraId="56F57ECB" w14:textId="77777777" w:rsidR="002C0411" w:rsidRDefault="002C0411" w:rsidP="00B40225"/>
    <w:p w14:paraId="1D5ED916" w14:textId="3059412B" w:rsidR="002C0411" w:rsidRPr="00B40225" w:rsidRDefault="002C0411" w:rsidP="002C0411">
      <w:pPr>
        <w:pStyle w:val="BlockText"/>
      </w:pPr>
      <w:r w:rsidRPr="00B40225">
        <w:t xml:space="preserve">Table SI </w:t>
      </w:r>
      <w:r>
        <w:t>4.1</w:t>
      </w:r>
      <w:r w:rsidRPr="00B40225">
        <w:t>. 2020 consumption-based exceedance (× lower boundary) by allocation principle. Global rows are identical across principles.</w:t>
      </w:r>
    </w:p>
    <w:tbl>
      <w:tblPr>
        <w:tblStyle w:val="PlainTable5"/>
        <w:tblW w:w="8800" w:type="dxa"/>
        <w:tblLook w:val="04A0" w:firstRow="1" w:lastRow="0" w:firstColumn="1" w:lastColumn="0" w:noHBand="0" w:noVBand="1"/>
      </w:tblPr>
      <w:tblGrid>
        <w:gridCol w:w="2200"/>
        <w:gridCol w:w="1500"/>
        <w:gridCol w:w="1700"/>
        <w:gridCol w:w="1700"/>
        <w:gridCol w:w="1700"/>
      </w:tblGrid>
      <w:tr w:rsidR="00E62AE4" w:rsidRPr="00F45A0E" w14:paraId="640E3CED" w14:textId="77777777" w:rsidTr="000944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0" w:type="dxa"/>
          </w:tcPr>
          <w:p w14:paraId="23CFAB03" w14:textId="77777777" w:rsidR="00E62AE4" w:rsidRPr="00F45A0E" w:rsidRDefault="00E62AE4" w:rsidP="00B40225">
            <w:pPr>
              <w:rPr>
                <w:sz w:val="20"/>
                <w:szCs w:val="20"/>
              </w:rPr>
            </w:pPr>
            <w:r w:rsidRPr="00F45A0E">
              <w:rPr>
                <w:sz w:val="20"/>
                <w:szCs w:val="20"/>
              </w:rPr>
              <w:t>Indicator</w:t>
            </w:r>
          </w:p>
        </w:tc>
        <w:tc>
          <w:tcPr>
            <w:tcW w:w="1500" w:type="dxa"/>
          </w:tcPr>
          <w:p w14:paraId="70E04DE1" w14:textId="77777777" w:rsidR="00E62AE4" w:rsidRPr="00F45A0E" w:rsidRDefault="00E62AE4" w:rsidP="00B40225">
            <w:pPr>
              <w:cnfStyle w:val="100000000000" w:firstRow="1" w:lastRow="0" w:firstColumn="0" w:lastColumn="0" w:oddVBand="0" w:evenVBand="0" w:oddHBand="0" w:evenHBand="0" w:firstRowFirstColumn="0" w:firstRowLastColumn="0" w:lastRowFirstColumn="0" w:lastRowLastColumn="0"/>
              <w:rPr>
                <w:sz w:val="20"/>
                <w:szCs w:val="20"/>
              </w:rPr>
            </w:pPr>
            <w:r w:rsidRPr="00F45A0E">
              <w:rPr>
                <w:sz w:val="20"/>
                <w:szCs w:val="20"/>
              </w:rPr>
              <w:t>Region</w:t>
            </w:r>
          </w:p>
        </w:tc>
        <w:tc>
          <w:tcPr>
            <w:tcW w:w="1700" w:type="dxa"/>
          </w:tcPr>
          <w:p w14:paraId="6818AEFE" w14:textId="77777777" w:rsidR="00E62AE4" w:rsidRPr="00F45A0E" w:rsidRDefault="00E62AE4" w:rsidP="00B40225">
            <w:pPr>
              <w:cnfStyle w:val="100000000000" w:firstRow="1" w:lastRow="0" w:firstColumn="0" w:lastColumn="0" w:oddVBand="0" w:evenVBand="0" w:oddHBand="0" w:evenHBand="0" w:firstRowFirstColumn="0" w:firstRowLastColumn="0" w:lastRowFirstColumn="0" w:lastRowLastColumn="0"/>
              <w:rPr>
                <w:sz w:val="20"/>
                <w:szCs w:val="20"/>
              </w:rPr>
            </w:pPr>
            <w:r w:rsidRPr="00F45A0E">
              <w:rPr>
                <w:sz w:val="20"/>
                <w:szCs w:val="20"/>
              </w:rPr>
              <w:t>Equal per-capita</w:t>
            </w:r>
          </w:p>
        </w:tc>
        <w:tc>
          <w:tcPr>
            <w:tcW w:w="1700" w:type="dxa"/>
          </w:tcPr>
          <w:p w14:paraId="15FE22AA" w14:textId="77777777" w:rsidR="00E62AE4" w:rsidRPr="00F45A0E" w:rsidRDefault="00E62AE4" w:rsidP="00B40225">
            <w:pPr>
              <w:cnfStyle w:val="100000000000" w:firstRow="1" w:lastRow="0" w:firstColumn="0" w:lastColumn="0" w:oddVBand="0" w:evenVBand="0" w:oddHBand="0" w:evenHBand="0" w:firstRowFirstColumn="0" w:firstRowLastColumn="0" w:lastRowFirstColumn="0" w:lastRowLastColumn="0"/>
              <w:rPr>
                <w:sz w:val="20"/>
                <w:szCs w:val="20"/>
              </w:rPr>
            </w:pPr>
            <w:r w:rsidRPr="00F45A0E">
              <w:rPr>
                <w:sz w:val="20"/>
                <w:szCs w:val="20"/>
              </w:rPr>
              <w:t>Grandfathering</w:t>
            </w:r>
          </w:p>
        </w:tc>
        <w:tc>
          <w:tcPr>
            <w:tcW w:w="1700" w:type="dxa"/>
          </w:tcPr>
          <w:p w14:paraId="518485CF" w14:textId="77777777" w:rsidR="00E62AE4" w:rsidRPr="00F45A0E" w:rsidRDefault="00E62AE4" w:rsidP="00B40225">
            <w:pPr>
              <w:cnfStyle w:val="100000000000" w:firstRow="1" w:lastRow="0" w:firstColumn="0" w:lastColumn="0" w:oddVBand="0" w:evenVBand="0" w:oddHBand="0" w:evenHBand="0" w:firstRowFirstColumn="0" w:firstRowLastColumn="0" w:lastRowFirstColumn="0" w:lastRowLastColumn="0"/>
              <w:rPr>
                <w:sz w:val="20"/>
                <w:szCs w:val="20"/>
              </w:rPr>
            </w:pPr>
            <w:r w:rsidRPr="00F45A0E">
              <w:rPr>
                <w:sz w:val="20"/>
                <w:szCs w:val="20"/>
              </w:rPr>
              <w:t>Ability to pay</w:t>
            </w:r>
          </w:p>
        </w:tc>
      </w:tr>
      <w:tr w:rsidR="00417BA0" w:rsidRPr="00F45A0E" w14:paraId="1760F3F1" w14:textId="77777777" w:rsidTr="000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11442B10" w14:textId="77777777" w:rsidR="00417BA0" w:rsidRPr="00F45A0E" w:rsidRDefault="00417BA0" w:rsidP="00417BA0">
            <w:pPr>
              <w:rPr>
                <w:sz w:val="20"/>
                <w:szCs w:val="20"/>
              </w:rPr>
            </w:pPr>
            <w:r w:rsidRPr="00F45A0E">
              <w:rPr>
                <w:sz w:val="20"/>
                <w:szCs w:val="20"/>
              </w:rPr>
              <w:t>Climate</w:t>
            </w:r>
          </w:p>
        </w:tc>
        <w:tc>
          <w:tcPr>
            <w:tcW w:w="1500" w:type="dxa"/>
          </w:tcPr>
          <w:p w14:paraId="7F34CBEA" w14:textId="77777777" w:rsidR="00417BA0" w:rsidRPr="00F45A0E"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F45A0E">
              <w:rPr>
                <w:sz w:val="20"/>
                <w:szCs w:val="20"/>
              </w:rPr>
              <w:t>Advanced</w:t>
            </w:r>
          </w:p>
        </w:tc>
        <w:tc>
          <w:tcPr>
            <w:tcW w:w="1700" w:type="dxa"/>
          </w:tcPr>
          <w:p w14:paraId="277FDEAC" w14:textId="33B70FD8"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4.83</w:t>
            </w:r>
          </w:p>
        </w:tc>
        <w:tc>
          <w:tcPr>
            <w:tcW w:w="1700" w:type="dxa"/>
          </w:tcPr>
          <w:p w14:paraId="6F8E4054" w14:textId="1E4599AE"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1.34</w:t>
            </w:r>
          </w:p>
        </w:tc>
        <w:tc>
          <w:tcPr>
            <w:tcW w:w="1700" w:type="dxa"/>
          </w:tcPr>
          <w:p w14:paraId="3F46BA2C" w14:textId="0BB06D45"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7.17</w:t>
            </w:r>
          </w:p>
        </w:tc>
      </w:tr>
      <w:tr w:rsidR="00417BA0" w:rsidRPr="00F45A0E" w14:paraId="6C6A7132" w14:textId="77777777" w:rsidTr="00094404">
        <w:tc>
          <w:tcPr>
            <w:cnfStyle w:val="001000000000" w:firstRow="0" w:lastRow="0" w:firstColumn="1" w:lastColumn="0" w:oddVBand="0" w:evenVBand="0" w:oddHBand="0" w:evenHBand="0" w:firstRowFirstColumn="0" w:firstRowLastColumn="0" w:lastRowFirstColumn="0" w:lastRowLastColumn="0"/>
            <w:tcW w:w="2200" w:type="dxa"/>
          </w:tcPr>
          <w:p w14:paraId="7D7B22BD" w14:textId="77777777" w:rsidR="00417BA0" w:rsidRPr="00F45A0E" w:rsidRDefault="00417BA0" w:rsidP="00417BA0">
            <w:pPr>
              <w:rPr>
                <w:sz w:val="20"/>
                <w:szCs w:val="20"/>
              </w:rPr>
            </w:pPr>
          </w:p>
        </w:tc>
        <w:tc>
          <w:tcPr>
            <w:tcW w:w="1500" w:type="dxa"/>
          </w:tcPr>
          <w:p w14:paraId="77F0A3B8" w14:textId="77777777" w:rsidR="00417BA0" w:rsidRPr="00F45A0E"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F45A0E">
              <w:rPr>
                <w:sz w:val="20"/>
                <w:szCs w:val="20"/>
              </w:rPr>
              <w:t>Emerging</w:t>
            </w:r>
          </w:p>
        </w:tc>
        <w:tc>
          <w:tcPr>
            <w:tcW w:w="1700" w:type="dxa"/>
          </w:tcPr>
          <w:p w14:paraId="65C5BBCF" w14:textId="20F4C669"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1.8</w:t>
            </w:r>
          </w:p>
        </w:tc>
        <w:tc>
          <w:tcPr>
            <w:tcW w:w="1700" w:type="dxa"/>
          </w:tcPr>
          <w:p w14:paraId="6DC2D8AD" w14:textId="7DC92900"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3.33</w:t>
            </w:r>
          </w:p>
        </w:tc>
        <w:tc>
          <w:tcPr>
            <w:tcW w:w="1700" w:type="dxa"/>
          </w:tcPr>
          <w:p w14:paraId="66FF54F0" w14:textId="3701704C"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1.7</w:t>
            </w:r>
          </w:p>
        </w:tc>
      </w:tr>
      <w:tr w:rsidR="00417BA0" w:rsidRPr="00F45A0E" w14:paraId="3D61BAF5" w14:textId="77777777" w:rsidTr="000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4A858E97" w14:textId="77777777" w:rsidR="00417BA0" w:rsidRPr="00F45A0E" w:rsidRDefault="00417BA0" w:rsidP="00417BA0">
            <w:pPr>
              <w:rPr>
                <w:sz w:val="20"/>
                <w:szCs w:val="20"/>
              </w:rPr>
            </w:pPr>
          </w:p>
        </w:tc>
        <w:tc>
          <w:tcPr>
            <w:tcW w:w="1500" w:type="dxa"/>
          </w:tcPr>
          <w:p w14:paraId="00BC016A" w14:textId="77777777" w:rsidR="00417BA0" w:rsidRPr="00F45A0E"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F45A0E">
              <w:rPr>
                <w:sz w:val="20"/>
                <w:szCs w:val="20"/>
              </w:rPr>
              <w:t>Global</w:t>
            </w:r>
          </w:p>
        </w:tc>
        <w:tc>
          <w:tcPr>
            <w:tcW w:w="1700" w:type="dxa"/>
          </w:tcPr>
          <w:p w14:paraId="478EE8B8" w14:textId="5B8EC92A"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2.25</w:t>
            </w:r>
          </w:p>
        </w:tc>
        <w:tc>
          <w:tcPr>
            <w:tcW w:w="1700" w:type="dxa"/>
          </w:tcPr>
          <w:p w14:paraId="5082B0F0" w14:textId="0E6B2297"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2.25</w:t>
            </w:r>
          </w:p>
        </w:tc>
        <w:tc>
          <w:tcPr>
            <w:tcW w:w="1700" w:type="dxa"/>
          </w:tcPr>
          <w:p w14:paraId="40CAC12D" w14:textId="00D7BF70"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2.25</w:t>
            </w:r>
          </w:p>
        </w:tc>
      </w:tr>
      <w:tr w:rsidR="00417BA0" w:rsidRPr="00F45A0E" w14:paraId="630BCF96" w14:textId="77777777" w:rsidTr="00094404">
        <w:tc>
          <w:tcPr>
            <w:cnfStyle w:val="001000000000" w:firstRow="0" w:lastRow="0" w:firstColumn="1" w:lastColumn="0" w:oddVBand="0" w:evenVBand="0" w:oddHBand="0" w:evenHBand="0" w:firstRowFirstColumn="0" w:firstRowLastColumn="0" w:lastRowFirstColumn="0" w:lastRowLastColumn="0"/>
            <w:tcW w:w="2200" w:type="dxa"/>
          </w:tcPr>
          <w:p w14:paraId="694E1A26" w14:textId="77777777" w:rsidR="00417BA0" w:rsidRPr="00F45A0E" w:rsidRDefault="00417BA0" w:rsidP="00417BA0">
            <w:pPr>
              <w:rPr>
                <w:sz w:val="20"/>
                <w:szCs w:val="20"/>
              </w:rPr>
            </w:pPr>
            <w:r w:rsidRPr="00F45A0E">
              <w:rPr>
                <w:sz w:val="20"/>
                <w:szCs w:val="20"/>
              </w:rPr>
              <w:t>Biodiversity</w:t>
            </w:r>
          </w:p>
        </w:tc>
        <w:tc>
          <w:tcPr>
            <w:tcW w:w="1500" w:type="dxa"/>
          </w:tcPr>
          <w:p w14:paraId="744E1924" w14:textId="77777777" w:rsidR="00417BA0" w:rsidRPr="00F45A0E"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F45A0E">
              <w:rPr>
                <w:sz w:val="20"/>
                <w:szCs w:val="20"/>
              </w:rPr>
              <w:t>Advanced</w:t>
            </w:r>
          </w:p>
        </w:tc>
        <w:tc>
          <w:tcPr>
            <w:tcW w:w="1700" w:type="dxa"/>
          </w:tcPr>
          <w:p w14:paraId="73276526" w14:textId="4881F575"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6.8</w:t>
            </w:r>
          </w:p>
        </w:tc>
        <w:tc>
          <w:tcPr>
            <w:tcW w:w="1700" w:type="dxa"/>
          </w:tcPr>
          <w:p w14:paraId="4960525F" w14:textId="203E53CD"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2.67</w:t>
            </w:r>
          </w:p>
        </w:tc>
        <w:tc>
          <w:tcPr>
            <w:tcW w:w="1700" w:type="dxa"/>
          </w:tcPr>
          <w:p w14:paraId="0F44F230" w14:textId="303421BD"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10.09</w:t>
            </w:r>
          </w:p>
        </w:tc>
      </w:tr>
      <w:tr w:rsidR="00417BA0" w:rsidRPr="00F45A0E" w14:paraId="3B651E7D" w14:textId="77777777" w:rsidTr="000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57279784" w14:textId="77777777" w:rsidR="00417BA0" w:rsidRPr="00F45A0E" w:rsidRDefault="00417BA0" w:rsidP="00417BA0">
            <w:pPr>
              <w:rPr>
                <w:sz w:val="20"/>
                <w:szCs w:val="20"/>
              </w:rPr>
            </w:pPr>
          </w:p>
        </w:tc>
        <w:tc>
          <w:tcPr>
            <w:tcW w:w="1500" w:type="dxa"/>
          </w:tcPr>
          <w:p w14:paraId="24EC7D9E" w14:textId="77777777" w:rsidR="00417BA0" w:rsidRPr="00F45A0E"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F45A0E">
              <w:rPr>
                <w:sz w:val="20"/>
                <w:szCs w:val="20"/>
              </w:rPr>
              <w:t>Emerging</w:t>
            </w:r>
          </w:p>
        </w:tc>
        <w:tc>
          <w:tcPr>
            <w:tcW w:w="1700" w:type="dxa"/>
          </w:tcPr>
          <w:p w14:paraId="1F9BE7FF" w14:textId="0963AB20"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3.35</w:t>
            </w:r>
          </w:p>
        </w:tc>
        <w:tc>
          <w:tcPr>
            <w:tcW w:w="1700" w:type="dxa"/>
          </w:tcPr>
          <w:p w14:paraId="3B1FF40F" w14:textId="125EA1C7"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4.6</w:t>
            </w:r>
          </w:p>
        </w:tc>
        <w:tc>
          <w:tcPr>
            <w:tcW w:w="1700" w:type="dxa"/>
          </w:tcPr>
          <w:p w14:paraId="53E2B5CB" w14:textId="30AF5ACF"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3.16</w:t>
            </w:r>
          </w:p>
        </w:tc>
      </w:tr>
      <w:tr w:rsidR="00417BA0" w:rsidRPr="00F45A0E" w14:paraId="60D9BDE8" w14:textId="77777777" w:rsidTr="00094404">
        <w:tc>
          <w:tcPr>
            <w:cnfStyle w:val="001000000000" w:firstRow="0" w:lastRow="0" w:firstColumn="1" w:lastColumn="0" w:oddVBand="0" w:evenVBand="0" w:oddHBand="0" w:evenHBand="0" w:firstRowFirstColumn="0" w:firstRowLastColumn="0" w:lastRowFirstColumn="0" w:lastRowLastColumn="0"/>
            <w:tcW w:w="2200" w:type="dxa"/>
          </w:tcPr>
          <w:p w14:paraId="314F70E9" w14:textId="77777777" w:rsidR="00417BA0" w:rsidRPr="00F45A0E" w:rsidRDefault="00417BA0" w:rsidP="00417BA0">
            <w:pPr>
              <w:rPr>
                <w:sz w:val="20"/>
                <w:szCs w:val="20"/>
              </w:rPr>
            </w:pPr>
          </w:p>
        </w:tc>
        <w:tc>
          <w:tcPr>
            <w:tcW w:w="1500" w:type="dxa"/>
          </w:tcPr>
          <w:p w14:paraId="4FAB69C5" w14:textId="77777777" w:rsidR="00417BA0" w:rsidRPr="00F45A0E"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F45A0E">
              <w:rPr>
                <w:sz w:val="20"/>
                <w:szCs w:val="20"/>
              </w:rPr>
              <w:t>Global</w:t>
            </w:r>
          </w:p>
        </w:tc>
        <w:tc>
          <w:tcPr>
            <w:tcW w:w="1700" w:type="dxa"/>
          </w:tcPr>
          <w:p w14:paraId="7E057D35" w14:textId="51DC0271"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3.86</w:t>
            </w:r>
          </w:p>
        </w:tc>
        <w:tc>
          <w:tcPr>
            <w:tcW w:w="1700" w:type="dxa"/>
          </w:tcPr>
          <w:p w14:paraId="33A167DF" w14:textId="145ADA4F"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3.86</w:t>
            </w:r>
          </w:p>
        </w:tc>
        <w:tc>
          <w:tcPr>
            <w:tcW w:w="1700" w:type="dxa"/>
          </w:tcPr>
          <w:p w14:paraId="521A952D" w14:textId="4F0844A0"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3.86</w:t>
            </w:r>
          </w:p>
        </w:tc>
      </w:tr>
      <w:tr w:rsidR="00417BA0" w:rsidRPr="00F45A0E" w14:paraId="479867AA" w14:textId="77777777" w:rsidTr="000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1C574FF7" w14:textId="77777777" w:rsidR="00417BA0" w:rsidRPr="00F45A0E" w:rsidRDefault="00417BA0" w:rsidP="00417BA0">
            <w:pPr>
              <w:rPr>
                <w:sz w:val="20"/>
                <w:szCs w:val="20"/>
              </w:rPr>
            </w:pPr>
            <w:r w:rsidRPr="00F45A0E">
              <w:rPr>
                <w:sz w:val="20"/>
                <w:szCs w:val="20"/>
              </w:rPr>
              <w:t>Phosphorus</w:t>
            </w:r>
          </w:p>
        </w:tc>
        <w:tc>
          <w:tcPr>
            <w:tcW w:w="1500" w:type="dxa"/>
          </w:tcPr>
          <w:p w14:paraId="5CA372AC" w14:textId="77777777" w:rsidR="00417BA0" w:rsidRPr="00F45A0E"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F45A0E">
              <w:rPr>
                <w:sz w:val="20"/>
                <w:szCs w:val="20"/>
              </w:rPr>
              <w:t>Advanced</w:t>
            </w:r>
          </w:p>
        </w:tc>
        <w:tc>
          <w:tcPr>
            <w:tcW w:w="1700" w:type="dxa"/>
          </w:tcPr>
          <w:p w14:paraId="05731651" w14:textId="50E0F40F"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5.11</w:t>
            </w:r>
          </w:p>
        </w:tc>
        <w:tc>
          <w:tcPr>
            <w:tcW w:w="1700" w:type="dxa"/>
          </w:tcPr>
          <w:p w14:paraId="2B2BCF22" w14:textId="4FDF3C9A"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2.07</w:t>
            </w:r>
          </w:p>
        </w:tc>
        <w:tc>
          <w:tcPr>
            <w:tcW w:w="1700" w:type="dxa"/>
          </w:tcPr>
          <w:p w14:paraId="4AB61D8C" w14:textId="19567EE5"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7.58</w:t>
            </w:r>
          </w:p>
        </w:tc>
      </w:tr>
      <w:tr w:rsidR="00417BA0" w:rsidRPr="00F45A0E" w14:paraId="399C7345" w14:textId="77777777" w:rsidTr="00094404">
        <w:tc>
          <w:tcPr>
            <w:cnfStyle w:val="001000000000" w:firstRow="0" w:lastRow="0" w:firstColumn="1" w:lastColumn="0" w:oddVBand="0" w:evenVBand="0" w:oddHBand="0" w:evenHBand="0" w:firstRowFirstColumn="0" w:firstRowLastColumn="0" w:lastRowFirstColumn="0" w:lastRowLastColumn="0"/>
            <w:tcW w:w="2200" w:type="dxa"/>
          </w:tcPr>
          <w:p w14:paraId="3CCDBC80" w14:textId="77777777" w:rsidR="00417BA0" w:rsidRPr="00F45A0E" w:rsidRDefault="00417BA0" w:rsidP="00417BA0">
            <w:pPr>
              <w:rPr>
                <w:sz w:val="20"/>
                <w:szCs w:val="20"/>
              </w:rPr>
            </w:pPr>
          </w:p>
        </w:tc>
        <w:tc>
          <w:tcPr>
            <w:tcW w:w="1500" w:type="dxa"/>
          </w:tcPr>
          <w:p w14:paraId="3BC548E0" w14:textId="77777777" w:rsidR="00417BA0" w:rsidRPr="00F45A0E"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F45A0E">
              <w:rPr>
                <w:sz w:val="20"/>
                <w:szCs w:val="20"/>
              </w:rPr>
              <w:t>Emerging</w:t>
            </w:r>
          </w:p>
        </w:tc>
        <w:tc>
          <w:tcPr>
            <w:tcW w:w="1700" w:type="dxa"/>
          </w:tcPr>
          <w:p w14:paraId="1A899311" w14:textId="3C22E15B"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3.05</w:t>
            </w:r>
          </w:p>
        </w:tc>
        <w:tc>
          <w:tcPr>
            <w:tcW w:w="1700" w:type="dxa"/>
          </w:tcPr>
          <w:p w14:paraId="2ADBB6EA" w14:textId="393FF805"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4.1</w:t>
            </w:r>
          </w:p>
        </w:tc>
        <w:tc>
          <w:tcPr>
            <w:tcW w:w="1700" w:type="dxa"/>
          </w:tcPr>
          <w:p w14:paraId="4A04EA47" w14:textId="282716D4"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2.87</w:t>
            </w:r>
          </w:p>
        </w:tc>
      </w:tr>
      <w:tr w:rsidR="00417BA0" w:rsidRPr="00F45A0E" w14:paraId="74DFAF78" w14:textId="77777777" w:rsidTr="000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41FEF0DD" w14:textId="77777777" w:rsidR="00417BA0" w:rsidRPr="00F45A0E" w:rsidRDefault="00417BA0" w:rsidP="00417BA0">
            <w:pPr>
              <w:rPr>
                <w:sz w:val="20"/>
                <w:szCs w:val="20"/>
              </w:rPr>
            </w:pPr>
          </w:p>
        </w:tc>
        <w:tc>
          <w:tcPr>
            <w:tcW w:w="1500" w:type="dxa"/>
          </w:tcPr>
          <w:p w14:paraId="6C6B1D1B" w14:textId="77777777" w:rsidR="00417BA0" w:rsidRPr="00F45A0E"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F45A0E">
              <w:rPr>
                <w:sz w:val="20"/>
                <w:szCs w:val="20"/>
              </w:rPr>
              <w:t>Global</w:t>
            </w:r>
          </w:p>
        </w:tc>
        <w:tc>
          <w:tcPr>
            <w:tcW w:w="1700" w:type="dxa"/>
          </w:tcPr>
          <w:p w14:paraId="6448984E" w14:textId="61530271"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3.35</w:t>
            </w:r>
          </w:p>
        </w:tc>
        <w:tc>
          <w:tcPr>
            <w:tcW w:w="1700" w:type="dxa"/>
          </w:tcPr>
          <w:p w14:paraId="5007E025" w14:textId="14651354"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3.35</w:t>
            </w:r>
          </w:p>
        </w:tc>
        <w:tc>
          <w:tcPr>
            <w:tcW w:w="1700" w:type="dxa"/>
          </w:tcPr>
          <w:p w14:paraId="592ED64A" w14:textId="02482136"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3.35</w:t>
            </w:r>
          </w:p>
        </w:tc>
      </w:tr>
      <w:tr w:rsidR="00417BA0" w:rsidRPr="00F45A0E" w14:paraId="548DE9DB" w14:textId="77777777" w:rsidTr="00094404">
        <w:tc>
          <w:tcPr>
            <w:cnfStyle w:val="001000000000" w:firstRow="0" w:lastRow="0" w:firstColumn="1" w:lastColumn="0" w:oddVBand="0" w:evenVBand="0" w:oddHBand="0" w:evenHBand="0" w:firstRowFirstColumn="0" w:firstRowLastColumn="0" w:lastRowFirstColumn="0" w:lastRowLastColumn="0"/>
            <w:tcW w:w="2200" w:type="dxa"/>
          </w:tcPr>
          <w:p w14:paraId="445B7F96" w14:textId="77777777" w:rsidR="00417BA0" w:rsidRPr="00F45A0E" w:rsidRDefault="00417BA0" w:rsidP="00417BA0">
            <w:pPr>
              <w:rPr>
                <w:sz w:val="20"/>
                <w:szCs w:val="20"/>
              </w:rPr>
            </w:pPr>
            <w:r w:rsidRPr="00F45A0E">
              <w:rPr>
                <w:sz w:val="20"/>
                <w:szCs w:val="20"/>
              </w:rPr>
              <w:t>Nitrogen</w:t>
            </w:r>
          </w:p>
        </w:tc>
        <w:tc>
          <w:tcPr>
            <w:tcW w:w="1500" w:type="dxa"/>
          </w:tcPr>
          <w:p w14:paraId="053A740A" w14:textId="77777777" w:rsidR="00417BA0" w:rsidRPr="00F45A0E"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F45A0E">
              <w:rPr>
                <w:sz w:val="20"/>
                <w:szCs w:val="20"/>
              </w:rPr>
              <w:t>Advanced</w:t>
            </w:r>
          </w:p>
        </w:tc>
        <w:tc>
          <w:tcPr>
            <w:tcW w:w="1700" w:type="dxa"/>
          </w:tcPr>
          <w:p w14:paraId="2E824F3E" w14:textId="2FD0A8A3"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3.16</w:t>
            </w:r>
          </w:p>
        </w:tc>
        <w:tc>
          <w:tcPr>
            <w:tcW w:w="1700" w:type="dxa"/>
          </w:tcPr>
          <w:p w14:paraId="5826CC6C" w14:textId="6F5E797D"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1.28</w:t>
            </w:r>
          </w:p>
        </w:tc>
        <w:tc>
          <w:tcPr>
            <w:tcW w:w="1700" w:type="dxa"/>
          </w:tcPr>
          <w:p w14:paraId="637D2F56" w14:textId="1FBEED83"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4.69</w:t>
            </w:r>
          </w:p>
        </w:tc>
      </w:tr>
      <w:tr w:rsidR="00417BA0" w:rsidRPr="00F45A0E" w14:paraId="61889F6E" w14:textId="77777777" w:rsidTr="000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63515AD0" w14:textId="77777777" w:rsidR="00417BA0" w:rsidRPr="00F45A0E" w:rsidRDefault="00417BA0" w:rsidP="00417BA0">
            <w:pPr>
              <w:rPr>
                <w:sz w:val="20"/>
                <w:szCs w:val="20"/>
              </w:rPr>
            </w:pPr>
          </w:p>
        </w:tc>
        <w:tc>
          <w:tcPr>
            <w:tcW w:w="1500" w:type="dxa"/>
          </w:tcPr>
          <w:p w14:paraId="4315B8C0" w14:textId="77777777" w:rsidR="00417BA0" w:rsidRPr="00F45A0E"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F45A0E">
              <w:rPr>
                <w:sz w:val="20"/>
                <w:szCs w:val="20"/>
              </w:rPr>
              <w:t>Emerging</w:t>
            </w:r>
          </w:p>
        </w:tc>
        <w:tc>
          <w:tcPr>
            <w:tcW w:w="1700" w:type="dxa"/>
          </w:tcPr>
          <w:p w14:paraId="335D79C3" w14:textId="7B32C6F8"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1.62</w:t>
            </w:r>
          </w:p>
        </w:tc>
        <w:tc>
          <w:tcPr>
            <w:tcW w:w="1700" w:type="dxa"/>
          </w:tcPr>
          <w:p w14:paraId="241509C7" w14:textId="5DF5403C"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2.19</w:t>
            </w:r>
          </w:p>
        </w:tc>
        <w:tc>
          <w:tcPr>
            <w:tcW w:w="1700" w:type="dxa"/>
          </w:tcPr>
          <w:p w14:paraId="5624EC43" w14:textId="4AB5C15F"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1.53</w:t>
            </w:r>
          </w:p>
        </w:tc>
      </w:tr>
      <w:tr w:rsidR="00417BA0" w:rsidRPr="00F45A0E" w14:paraId="45668B31" w14:textId="77777777" w:rsidTr="00094404">
        <w:tc>
          <w:tcPr>
            <w:cnfStyle w:val="001000000000" w:firstRow="0" w:lastRow="0" w:firstColumn="1" w:lastColumn="0" w:oddVBand="0" w:evenVBand="0" w:oddHBand="0" w:evenHBand="0" w:firstRowFirstColumn="0" w:firstRowLastColumn="0" w:lastRowFirstColumn="0" w:lastRowLastColumn="0"/>
            <w:tcW w:w="2200" w:type="dxa"/>
          </w:tcPr>
          <w:p w14:paraId="515917AD" w14:textId="77777777" w:rsidR="00417BA0" w:rsidRPr="00F45A0E" w:rsidRDefault="00417BA0" w:rsidP="00417BA0">
            <w:pPr>
              <w:rPr>
                <w:sz w:val="20"/>
                <w:szCs w:val="20"/>
              </w:rPr>
            </w:pPr>
          </w:p>
        </w:tc>
        <w:tc>
          <w:tcPr>
            <w:tcW w:w="1500" w:type="dxa"/>
          </w:tcPr>
          <w:p w14:paraId="61EE2415" w14:textId="77777777" w:rsidR="00417BA0" w:rsidRPr="00F45A0E"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F45A0E">
              <w:rPr>
                <w:sz w:val="20"/>
                <w:szCs w:val="20"/>
              </w:rPr>
              <w:t>Global</w:t>
            </w:r>
          </w:p>
        </w:tc>
        <w:tc>
          <w:tcPr>
            <w:tcW w:w="1700" w:type="dxa"/>
          </w:tcPr>
          <w:p w14:paraId="07EB2A7A" w14:textId="50A8F264"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1.85</w:t>
            </w:r>
          </w:p>
        </w:tc>
        <w:tc>
          <w:tcPr>
            <w:tcW w:w="1700" w:type="dxa"/>
          </w:tcPr>
          <w:p w14:paraId="63C92C90" w14:textId="363DC106"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1.85</w:t>
            </w:r>
          </w:p>
        </w:tc>
        <w:tc>
          <w:tcPr>
            <w:tcW w:w="1700" w:type="dxa"/>
          </w:tcPr>
          <w:p w14:paraId="37BF6A87" w14:textId="23C87A0C"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1.85</w:t>
            </w:r>
          </w:p>
        </w:tc>
      </w:tr>
      <w:tr w:rsidR="00417BA0" w:rsidRPr="00F45A0E" w14:paraId="48344C39" w14:textId="77777777" w:rsidTr="000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09F6C1F4" w14:textId="77777777" w:rsidR="00417BA0" w:rsidRPr="00F45A0E" w:rsidRDefault="00417BA0" w:rsidP="00417BA0">
            <w:pPr>
              <w:rPr>
                <w:sz w:val="20"/>
                <w:szCs w:val="20"/>
              </w:rPr>
            </w:pPr>
            <w:r w:rsidRPr="00F45A0E">
              <w:rPr>
                <w:sz w:val="20"/>
                <w:szCs w:val="20"/>
              </w:rPr>
              <w:t>Land</w:t>
            </w:r>
          </w:p>
        </w:tc>
        <w:tc>
          <w:tcPr>
            <w:tcW w:w="1500" w:type="dxa"/>
          </w:tcPr>
          <w:p w14:paraId="5A7B5760" w14:textId="77777777" w:rsidR="00417BA0" w:rsidRPr="00F45A0E"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F45A0E">
              <w:rPr>
                <w:sz w:val="20"/>
                <w:szCs w:val="20"/>
              </w:rPr>
              <w:t>Advanced</w:t>
            </w:r>
          </w:p>
        </w:tc>
        <w:tc>
          <w:tcPr>
            <w:tcW w:w="1700" w:type="dxa"/>
          </w:tcPr>
          <w:p w14:paraId="48D3DE62" w14:textId="37EFC2F7"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1.77</w:t>
            </w:r>
          </w:p>
        </w:tc>
        <w:tc>
          <w:tcPr>
            <w:tcW w:w="1700" w:type="dxa"/>
          </w:tcPr>
          <w:p w14:paraId="03072DA5" w14:textId="0D7919DF"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0.84</w:t>
            </w:r>
          </w:p>
        </w:tc>
        <w:tc>
          <w:tcPr>
            <w:tcW w:w="1700" w:type="dxa"/>
          </w:tcPr>
          <w:p w14:paraId="456ED6D4" w14:textId="765C8E64"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2.63</w:t>
            </w:r>
          </w:p>
        </w:tc>
      </w:tr>
      <w:tr w:rsidR="00417BA0" w:rsidRPr="00F45A0E" w14:paraId="1CCCA39F" w14:textId="77777777" w:rsidTr="00094404">
        <w:tc>
          <w:tcPr>
            <w:cnfStyle w:val="001000000000" w:firstRow="0" w:lastRow="0" w:firstColumn="1" w:lastColumn="0" w:oddVBand="0" w:evenVBand="0" w:oddHBand="0" w:evenHBand="0" w:firstRowFirstColumn="0" w:firstRowLastColumn="0" w:lastRowFirstColumn="0" w:lastRowLastColumn="0"/>
            <w:tcW w:w="2200" w:type="dxa"/>
          </w:tcPr>
          <w:p w14:paraId="195D02F2" w14:textId="77777777" w:rsidR="00417BA0" w:rsidRPr="00F45A0E" w:rsidRDefault="00417BA0" w:rsidP="00417BA0">
            <w:pPr>
              <w:rPr>
                <w:sz w:val="20"/>
                <w:szCs w:val="20"/>
              </w:rPr>
            </w:pPr>
          </w:p>
        </w:tc>
        <w:tc>
          <w:tcPr>
            <w:tcW w:w="1500" w:type="dxa"/>
          </w:tcPr>
          <w:p w14:paraId="2046C865" w14:textId="77777777" w:rsidR="00417BA0" w:rsidRPr="00F45A0E"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F45A0E">
              <w:rPr>
                <w:sz w:val="20"/>
                <w:szCs w:val="20"/>
              </w:rPr>
              <w:t>Emerging</w:t>
            </w:r>
          </w:p>
        </w:tc>
        <w:tc>
          <w:tcPr>
            <w:tcW w:w="1700" w:type="dxa"/>
          </w:tcPr>
          <w:p w14:paraId="5682934C" w14:textId="4CFC6DC7"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1.02</w:t>
            </w:r>
          </w:p>
        </w:tc>
        <w:tc>
          <w:tcPr>
            <w:tcW w:w="1700" w:type="dxa"/>
          </w:tcPr>
          <w:p w14:paraId="6A59A4D2" w14:textId="73FDF5E7"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1.26</w:t>
            </w:r>
          </w:p>
        </w:tc>
        <w:tc>
          <w:tcPr>
            <w:tcW w:w="1700" w:type="dxa"/>
          </w:tcPr>
          <w:p w14:paraId="0C1500CE" w14:textId="69010F75"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0.96</w:t>
            </w:r>
          </w:p>
        </w:tc>
      </w:tr>
      <w:tr w:rsidR="00417BA0" w:rsidRPr="00F45A0E" w14:paraId="05F7B5BE" w14:textId="77777777" w:rsidTr="000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71ADDADB" w14:textId="77777777" w:rsidR="00417BA0" w:rsidRPr="00F45A0E" w:rsidRDefault="00417BA0" w:rsidP="00417BA0">
            <w:pPr>
              <w:rPr>
                <w:sz w:val="20"/>
                <w:szCs w:val="20"/>
              </w:rPr>
            </w:pPr>
          </w:p>
        </w:tc>
        <w:tc>
          <w:tcPr>
            <w:tcW w:w="1500" w:type="dxa"/>
          </w:tcPr>
          <w:p w14:paraId="35B20A6E" w14:textId="77777777" w:rsidR="00417BA0" w:rsidRPr="00F45A0E"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F45A0E">
              <w:rPr>
                <w:sz w:val="20"/>
                <w:szCs w:val="20"/>
              </w:rPr>
              <w:t>Global</w:t>
            </w:r>
          </w:p>
        </w:tc>
        <w:tc>
          <w:tcPr>
            <w:tcW w:w="1700" w:type="dxa"/>
          </w:tcPr>
          <w:p w14:paraId="0A46F601" w14:textId="6440CF80"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1.13</w:t>
            </w:r>
          </w:p>
        </w:tc>
        <w:tc>
          <w:tcPr>
            <w:tcW w:w="1700" w:type="dxa"/>
          </w:tcPr>
          <w:p w14:paraId="5F58483F" w14:textId="38268454"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1.13</w:t>
            </w:r>
          </w:p>
        </w:tc>
        <w:tc>
          <w:tcPr>
            <w:tcW w:w="1700" w:type="dxa"/>
          </w:tcPr>
          <w:p w14:paraId="58D88874" w14:textId="3BEEC5A1"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1.13</w:t>
            </w:r>
          </w:p>
        </w:tc>
      </w:tr>
      <w:tr w:rsidR="00417BA0" w:rsidRPr="00F45A0E" w14:paraId="1DDAE05E" w14:textId="77777777" w:rsidTr="00094404">
        <w:tc>
          <w:tcPr>
            <w:cnfStyle w:val="001000000000" w:firstRow="0" w:lastRow="0" w:firstColumn="1" w:lastColumn="0" w:oddVBand="0" w:evenVBand="0" w:oddHBand="0" w:evenHBand="0" w:firstRowFirstColumn="0" w:firstRowLastColumn="0" w:lastRowFirstColumn="0" w:lastRowLastColumn="0"/>
            <w:tcW w:w="2200" w:type="dxa"/>
          </w:tcPr>
          <w:p w14:paraId="0B03E735" w14:textId="77777777" w:rsidR="00417BA0" w:rsidRPr="00F45A0E" w:rsidRDefault="00417BA0" w:rsidP="00417BA0">
            <w:pPr>
              <w:rPr>
                <w:sz w:val="20"/>
                <w:szCs w:val="20"/>
              </w:rPr>
            </w:pPr>
            <w:r w:rsidRPr="00F45A0E">
              <w:rPr>
                <w:sz w:val="20"/>
                <w:szCs w:val="20"/>
              </w:rPr>
              <w:t>Acid</w:t>
            </w:r>
          </w:p>
        </w:tc>
        <w:tc>
          <w:tcPr>
            <w:tcW w:w="1500" w:type="dxa"/>
          </w:tcPr>
          <w:p w14:paraId="2FC9A409" w14:textId="77777777" w:rsidR="00417BA0" w:rsidRPr="00F45A0E"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F45A0E">
              <w:rPr>
                <w:sz w:val="20"/>
                <w:szCs w:val="20"/>
              </w:rPr>
              <w:t>Advanced</w:t>
            </w:r>
          </w:p>
        </w:tc>
        <w:tc>
          <w:tcPr>
            <w:tcW w:w="1700" w:type="dxa"/>
          </w:tcPr>
          <w:p w14:paraId="65A6C78E" w14:textId="4229CE3E"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2.45</w:t>
            </w:r>
          </w:p>
        </w:tc>
        <w:tc>
          <w:tcPr>
            <w:tcW w:w="1700" w:type="dxa"/>
          </w:tcPr>
          <w:p w14:paraId="4A428E11" w14:textId="3FDEF701"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0.62</w:t>
            </w:r>
          </w:p>
        </w:tc>
        <w:tc>
          <w:tcPr>
            <w:tcW w:w="1700" w:type="dxa"/>
          </w:tcPr>
          <w:p w14:paraId="76510933" w14:textId="6A43B406"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3.63</w:t>
            </w:r>
          </w:p>
        </w:tc>
      </w:tr>
      <w:tr w:rsidR="00417BA0" w:rsidRPr="00F45A0E" w14:paraId="64861E7E" w14:textId="77777777" w:rsidTr="000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70DE2CEB" w14:textId="77777777" w:rsidR="00417BA0" w:rsidRPr="00F45A0E" w:rsidRDefault="00417BA0" w:rsidP="00417BA0">
            <w:pPr>
              <w:rPr>
                <w:sz w:val="20"/>
                <w:szCs w:val="20"/>
              </w:rPr>
            </w:pPr>
          </w:p>
        </w:tc>
        <w:tc>
          <w:tcPr>
            <w:tcW w:w="1500" w:type="dxa"/>
          </w:tcPr>
          <w:p w14:paraId="166E2B1C" w14:textId="77777777" w:rsidR="00417BA0" w:rsidRPr="00F45A0E"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F45A0E">
              <w:rPr>
                <w:sz w:val="20"/>
                <w:szCs w:val="20"/>
              </w:rPr>
              <w:t>Emerging</w:t>
            </w:r>
          </w:p>
        </w:tc>
        <w:tc>
          <w:tcPr>
            <w:tcW w:w="1700" w:type="dxa"/>
          </w:tcPr>
          <w:p w14:paraId="1B788ED7" w14:textId="331C8885"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0.8</w:t>
            </w:r>
          </w:p>
        </w:tc>
        <w:tc>
          <w:tcPr>
            <w:tcW w:w="1700" w:type="dxa"/>
          </w:tcPr>
          <w:p w14:paraId="7B0C9463" w14:textId="7D0D051D"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1.67</w:t>
            </w:r>
          </w:p>
        </w:tc>
        <w:tc>
          <w:tcPr>
            <w:tcW w:w="1700" w:type="dxa"/>
          </w:tcPr>
          <w:p w14:paraId="2CA58257" w14:textId="0AD784C1"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0.75</w:t>
            </w:r>
          </w:p>
        </w:tc>
      </w:tr>
      <w:tr w:rsidR="00417BA0" w:rsidRPr="00F45A0E" w14:paraId="55ECD6C1" w14:textId="77777777" w:rsidTr="00094404">
        <w:tc>
          <w:tcPr>
            <w:cnfStyle w:val="001000000000" w:firstRow="0" w:lastRow="0" w:firstColumn="1" w:lastColumn="0" w:oddVBand="0" w:evenVBand="0" w:oddHBand="0" w:evenHBand="0" w:firstRowFirstColumn="0" w:firstRowLastColumn="0" w:lastRowFirstColumn="0" w:lastRowLastColumn="0"/>
            <w:tcW w:w="2200" w:type="dxa"/>
          </w:tcPr>
          <w:p w14:paraId="084CAE47" w14:textId="77777777" w:rsidR="00417BA0" w:rsidRPr="00F45A0E" w:rsidRDefault="00417BA0" w:rsidP="00417BA0">
            <w:pPr>
              <w:rPr>
                <w:sz w:val="20"/>
                <w:szCs w:val="20"/>
              </w:rPr>
            </w:pPr>
          </w:p>
        </w:tc>
        <w:tc>
          <w:tcPr>
            <w:tcW w:w="1500" w:type="dxa"/>
          </w:tcPr>
          <w:p w14:paraId="00C69FDB" w14:textId="77777777" w:rsidR="00417BA0" w:rsidRPr="00F45A0E"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F45A0E">
              <w:rPr>
                <w:sz w:val="20"/>
                <w:szCs w:val="20"/>
              </w:rPr>
              <w:t>Global</w:t>
            </w:r>
          </w:p>
        </w:tc>
        <w:tc>
          <w:tcPr>
            <w:tcW w:w="1700" w:type="dxa"/>
          </w:tcPr>
          <w:p w14:paraId="5EEF41AA" w14:textId="4447455A"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1.04</w:t>
            </w:r>
          </w:p>
        </w:tc>
        <w:tc>
          <w:tcPr>
            <w:tcW w:w="1700" w:type="dxa"/>
          </w:tcPr>
          <w:p w14:paraId="1BB6FDF0" w14:textId="12AFF52F"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1.04</w:t>
            </w:r>
          </w:p>
        </w:tc>
        <w:tc>
          <w:tcPr>
            <w:tcW w:w="1700" w:type="dxa"/>
          </w:tcPr>
          <w:p w14:paraId="5638A3B2" w14:textId="40564134"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1.04</w:t>
            </w:r>
          </w:p>
        </w:tc>
      </w:tr>
      <w:tr w:rsidR="00417BA0" w:rsidRPr="00F45A0E" w14:paraId="36D8EE4D" w14:textId="77777777" w:rsidTr="000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79F783F3" w14:textId="77777777" w:rsidR="00417BA0" w:rsidRPr="00F45A0E" w:rsidRDefault="00417BA0" w:rsidP="00417BA0">
            <w:pPr>
              <w:rPr>
                <w:sz w:val="20"/>
                <w:szCs w:val="20"/>
              </w:rPr>
            </w:pPr>
            <w:r w:rsidRPr="00F45A0E">
              <w:rPr>
                <w:sz w:val="20"/>
                <w:szCs w:val="20"/>
              </w:rPr>
              <w:t>Water</w:t>
            </w:r>
          </w:p>
        </w:tc>
        <w:tc>
          <w:tcPr>
            <w:tcW w:w="1500" w:type="dxa"/>
          </w:tcPr>
          <w:p w14:paraId="278DF950" w14:textId="77777777" w:rsidR="00417BA0" w:rsidRPr="00F45A0E"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F45A0E">
              <w:rPr>
                <w:sz w:val="20"/>
                <w:szCs w:val="20"/>
              </w:rPr>
              <w:t>Advanced</w:t>
            </w:r>
          </w:p>
        </w:tc>
        <w:tc>
          <w:tcPr>
            <w:tcW w:w="1700" w:type="dxa"/>
          </w:tcPr>
          <w:p w14:paraId="0CA24B9B" w14:textId="319141CC"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0.37</w:t>
            </w:r>
          </w:p>
        </w:tc>
        <w:tc>
          <w:tcPr>
            <w:tcW w:w="1700" w:type="dxa"/>
          </w:tcPr>
          <w:p w14:paraId="493B2F1B" w14:textId="1291A793"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0.2</w:t>
            </w:r>
          </w:p>
        </w:tc>
        <w:tc>
          <w:tcPr>
            <w:tcW w:w="1700" w:type="dxa"/>
          </w:tcPr>
          <w:p w14:paraId="7E8B08AE" w14:textId="54097AAB"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0.54</w:t>
            </w:r>
          </w:p>
        </w:tc>
      </w:tr>
      <w:tr w:rsidR="00417BA0" w:rsidRPr="00F45A0E" w14:paraId="462C5A91" w14:textId="77777777" w:rsidTr="00094404">
        <w:tc>
          <w:tcPr>
            <w:cnfStyle w:val="001000000000" w:firstRow="0" w:lastRow="0" w:firstColumn="1" w:lastColumn="0" w:oddVBand="0" w:evenVBand="0" w:oddHBand="0" w:evenHBand="0" w:firstRowFirstColumn="0" w:firstRowLastColumn="0" w:lastRowFirstColumn="0" w:lastRowLastColumn="0"/>
            <w:tcW w:w="2200" w:type="dxa"/>
          </w:tcPr>
          <w:p w14:paraId="3B3AD9D0" w14:textId="77777777" w:rsidR="00417BA0" w:rsidRPr="00F45A0E" w:rsidRDefault="00417BA0" w:rsidP="00417BA0">
            <w:pPr>
              <w:rPr>
                <w:sz w:val="20"/>
                <w:szCs w:val="20"/>
              </w:rPr>
            </w:pPr>
          </w:p>
        </w:tc>
        <w:tc>
          <w:tcPr>
            <w:tcW w:w="1500" w:type="dxa"/>
          </w:tcPr>
          <w:p w14:paraId="5BC2D23C" w14:textId="77777777" w:rsidR="00417BA0" w:rsidRPr="00F45A0E"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F45A0E">
              <w:rPr>
                <w:sz w:val="20"/>
                <w:szCs w:val="20"/>
              </w:rPr>
              <w:t>Emerging</w:t>
            </w:r>
          </w:p>
        </w:tc>
        <w:tc>
          <w:tcPr>
            <w:tcW w:w="1700" w:type="dxa"/>
          </w:tcPr>
          <w:p w14:paraId="5C08212F" w14:textId="2FCF6097"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0.3</w:t>
            </w:r>
          </w:p>
        </w:tc>
        <w:tc>
          <w:tcPr>
            <w:tcW w:w="1700" w:type="dxa"/>
          </w:tcPr>
          <w:p w14:paraId="3EEDFCAA" w14:textId="7DCAFC7D"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0.35</w:t>
            </w:r>
          </w:p>
        </w:tc>
        <w:tc>
          <w:tcPr>
            <w:tcW w:w="1700" w:type="dxa"/>
          </w:tcPr>
          <w:p w14:paraId="4B02D183" w14:textId="50579E17" w:rsidR="00417BA0" w:rsidRPr="00417BA0" w:rsidRDefault="00417BA0" w:rsidP="00417BA0">
            <w:pPr>
              <w:cnfStyle w:val="000000000000" w:firstRow="0" w:lastRow="0" w:firstColumn="0" w:lastColumn="0" w:oddVBand="0" w:evenVBand="0" w:oddHBand="0" w:evenHBand="0" w:firstRowFirstColumn="0" w:firstRowLastColumn="0" w:lastRowFirstColumn="0" w:lastRowLastColumn="0"/>
              <w:rPr>
                <w:sz w:val="20"/>
                <w:szCs w:val="20"/>
              </w:rPr>
            </w:pPr>
            <w:r w:rsidRPr="00417BA0">
              <w:rPr>
                <w:sz w:val="20"/>
                <w:szCs w:val="20"/>
              </w:rPr>
              <w:t>0.28</w:t>
            </w:r>
          </w:p>
        </w:tc>
      </w:tr>
      <w:tr w:rsidR="00417BA0" w:rsidRPr="00F45A0E" w14:paraId="1229BE6B" w14:textId="77777777" w:rsidTr="000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2E9B4D8F" w14:textId="77777777" w:rsidR="00417BA0" w:rsidRPr="00F45A0E" w:rsidRDefault="00417BA0" w:rsidP="00417BA0">
            <w:pPr>
              <w:rPr>
                <w:sz w:val="20"/>
                <w:szCs w:val="20"/>
              </w:rPr>
            </w:pPr>
          </w:p>
        </w:tc>
        <w:tc>
          <w:tcPr>
            <w:tcW w:w="1500" w:type="dxa"/>
          </w:tcPr>
          <w:p w14:paraId="16FB3B79" w14:textId="77777777" w:rsidR="00417BA0" w:rsidRPr="00F45A0E"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F45A0E">
              <w:rPr>
                <w:sz w:val="20"/>
                <w:szCs w:val="20"/>
              </w:rPr>
              <w:t>Global</w:t>
            </w:r>
          </w:p>
        </w:tc>
        <w:tc>
          <w:tcPr>
            <w:tcW w:w="1700" w:type="dxa"/>
          </w:tcPr>
          <w:p w14:paraId="3F25403D" w14:textId="04485C5B"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0.31</w:t>
            </w:r>
          </w:p>
        </w:tc>
        <w:tc>
          <w:tcPr>
            <w:tcW w:w="1700" w:type="dxa"/>
          </w:tcPr>
          <w:p w14:paraId="131E2F3E" w14:textId="464D34CF"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0.31</w:t>
            </w:r>
          </w:p>
        </w:tc>
        <w:tc>
          <w:tcPr>
            <w:tcW w:w="1700" w:type="dxa"/>
          </w:tcPr>
          <w:p w14:paraId="08071127" w14:textId="79653BF6" w:rsidR="00417BA0" w:rsidRPr="00417BA0" w:rsidRDefault="00417BA0" w:rsidP="00417BA0">
            <w:pPr>
              <w:cnfStyle w:val="000000100000" w:firstRow="0" w:lastRow="0" w:firstColumn="0" w:lastColumn="0" w:oddVBand="0" w:evenVBand="0" w:oddHBand="1" w:evenHBand="0" w:firstRowFirstColumn="0" w:firstRowLastColumn="0" w:lastRowFirstColumn="0" w:lastRowLastColumn="0"/>
              <w:rPr>
                <w:sz w:val="20"/>
                <w:szCs w:val="20"/>
              </w:rPr>
            </w:pPr>
            <w:r w:rsidRPr="00417BA0">
              <w:rPr>
                <w:sz w:val="20"/>
                <w:szCs w:val="20"/>
              </w:rPr>
              <w:t>0.31</w:t>
            </w:r>
          </w:p>
        </w:tc>
      </w:tr>
    </w:tbl>
    <w:p w14:paraId="489724FE" w14:textId="77777777" w:rsidR="002C0411" w:rsidRDefault="002C0411" w:rsidP="00B40225"/>
    <w:p w14:paraId="7CADC324" w14:textId="77777777" w:rsidR="002C0411" w:rsidRDefault="002C0411" w:rsidP="00B40225"/>
    <w:p w14:paraId="0D313102" w14:textId="697305AE" w:rsidR="00E62AE4" w:rsidRPr="00B40225" w:rsidRDefault="00111E5C" w:rsidP="00B40225">
      <w:r>
        <w:rPr>
          <w:noProof/>
        </w:rPr>
        <w:drawing>
          <wp:inline distT="0" distB="0" distL="0" distR="0" wp14:anchorId="2C01D4E7" wp14:editId="76B5D78A">
            <wp:extent cx="5972810" cy="2846705"/>
            <wp:effectExtent l="0" t="0" r="8890" b="0"/>
            <wp:docPr id="3852896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89608"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72810" cy="2846705"/>
                    </a:xfrm>
                    <a:prstGeom prst="rect">
                      <a:avLst/>
                    </a:prstGeom>
                  </pic:spPr>
                </pic:pic>
              </a:graphicData>
            </a:graphic>
          </wp:inline>
        </w:drawing>
      </w:r>
    </w:p>
    <w:p w14:paraId="3331DE70" w14:textId="07D9FAF8" w:rsidR="00E62AE4" w:rsidRPr="00B40225" w:rsidRDefault="00E62AE4" w:rsidP="00B40225">
      <w:pPr>
        <w:pStyle w:val="BlockText"/>
      </w:pPr>
      <w:r w:rsidRPr="00B40225">
        <w:t>Figure S</w:t>
      </w:r>
      <w:r w:rsidR="0037721D">
        <w:t xml:space="preserve">I </w:t>
      </w:r>
      <w:r w:rsidR="00F029CA">
        <w:t>4.1</w:t>
      </w:r>
      <w:r w:rsidRPr="00B40225">
        <w:t>. Sensitivity of 2020 consumption-based exceedance (× lower boundary) to the downscaling principle, for advanced (blue) and emerging-developing (orange) aggregates across seven domains. Dashed line = boundary (=1); dotted line = global exceedance, invariant to the principle.</w:t>
      </w:r>
    </w:p>
    <w:p w14:paraId="1B2F37D2" w14:textId="31E9CACE" w:rsidR="00E62AE4" w:rsidRPr="00B40225" w:rsidRDefault="00E62AE4" w:rsidP="00B40225">
      <w:r w:rsidRPr="00B40225">
        <w:t>For climate, advanced-economy exceedance moves from 4.</w:t>
      </w:r>
      <w:r w:rsidR="005027E0">
        <w:t>8</w:t>
      </w:r>
      <w:r w:rsidRPr="00B40225">
        <w:t xml:space="preserve"> times (equal per-capita) to 1.3 times (grandfathering) to 7.2 times (ability to pay), and emerging-developing in the opposite direction (1.8 times </w:t>
      </w:r>
      <w:r w:rsidR="00D30D35">
        <w:t>vs</w:t>
      </w:r>
      <w:r w:rsidRPr="00B40225">
        <w:t xml:space="preserve"> 3.</w:t>
      </w:r>
      <w:r w:rsidR="005027E0">
        <w:t>3</w:t>
      </w:r>
      <w:r w:rsidRPr="00B40225">
        <w:t xml:space="preserve"> times </w:t>
      </w:r>
      <w:r w:rsidR="00D30D35">
        <w:t xml:space="preserve">vs </w:t>
      </w:r>
      <w:r w:rsidRPr="00B40225">
        <w:t>1.7 times). Grandfathering entrenches historically large footprints; ability-to-pay widens advanced-economy exceedance further. The paper’s substantive conclusions, that the safe operating space is exceeded and that observed decoupling is insufficient, are unaffected by the allocation choice, but the attribution of over-shoot across country groups is not robust to it, which is why the allocation principle is treated as an explicit, reported assumption.</w:t>
      </w:r>
    </w:p>
    <w:p w14:paraId="034149D0" w14:textId="77777777" w:rsidR="00C55EA6" w:rsidRDefault="00C55EA6" w:rsidP="00B40225"/>
    <w:p w14:paraId="35A720A7" w14:textId="77777777" w:rsidR="00C55EA6" w:rsidRDefault="00C55EA6" w:rsidP="00B40225">
      <w:pPr>
        <w:rPr>
          <w:rFonts w:eastAsiaTheme="majorEastAsia"/>
          <w:color w:val="000000" w:themeColor="text1"/>
        </w:rPr>
      </w:pPr>
      <w:r>
        <w:br w:type="page"/>
      </w:r>
    </w:p>
    <w:p w14:paraId="4047B4A6" w14:textId="1D25C500" w:rsidR="00665AB8" w:rsidRPr="000A77F0" w:rsidRDefault="00C55EA6" w:rsidP="00B40225">
      <w:pPr>
        <w:pStyle w:val="Heading2"/>
      </w:pPr>
      <w:r>
        <w:lastRenderedPageBreak/>
        <w:t>SI</w:t>
      </w:r>
      <w:r w:rsidR="00DF3473">
        <w:t xml:space="preserve"> 5</w:t>
      </w:r>
      <w:r w:rsidR="002A6DDB">
        <w:t>:</w:t>
      </w:r>
      <w:r>
        <w:t xml:space="preserve"> </w:t>
      </w:r>
      <w:r w:rsidR="00276814">
        <w:t xml:space="preserve">Additional </w:t>
      </w:r>
      <w:r w:rsidR="00EF25FB">
        <w:t xml:space="preserve">country and </w:t>
      </w:r>
      <w:r w:rsidR="00276814">
        <w:t>regional results</w:t>
      </w:r>
    </w:p>
    <w:p w14:paraId="51D5891A" w14:textId="1281ECCC" w:rsidR="009C3ED6" w:rsidRPr="000A77F0" w:rsidRDefault="0076317B" w:rsidP="00B40225">
      <w:pPr>
        <w:pStyle w:val="BodyText"/>
      </w:pPr>
      <w:r>
        <w:rPr>
          <w:noProof/>
        </w:rPr>
        <w:drawing>
          <wp:inline distT="0" distB="0" distL="0" distR="0" wp14:anchorId="1D660602" wp14:editId="5F477F08">
            <wp:extent cx="5972810" cy="2548890"/>
            <wp:effectExtent l="0" t="0" r="8890" b="3810"/>
            <wp:docPr id="2616079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0795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72810" cy="2548890"/>
                    </a:xfrm>
                    <a:prstGeom prst="rect">
                      <a:avLst/>
                    </a:prstGeom>
                  </pic:spPr>
                </pic:pic>
              </a:graphicData>
            </a:graphic>
          </wp:inline>
        </w:drawing>
      </w:r>
    </w:p>
    <w:p w14:paraId="2849E2CD" w14:textId="43F08CF3" w:rsidR="00AA6264" w:rsidRPr="00C83A5D" w:rsidRDefault="009C3ED6" w:rsidP="00B40225">
      <w:pPr>
        <w:pStyle w:val="BodyText"/>
        <w:rPr>
          <w:i/>
          <w:iCs/>
        </w:rPr>
      </w:pPr>
      <w:r w:rsidRPr="00C83A5D">
        <w:rPr>
          <w:i/>
          <w:iCs/>
        </w:rPr>
        <w:t xml:space="preserve">Figure </w:t>
      </w:r>
      <w:r w:rsidR="007746E6" w:rsidRPr="00C83A5D">
        <w:rPr>
          <w:i/>
          <w:iCs/>
        </w:rPr>
        <w:t xml:space="preserve">SI </w:t>
      </w:r>
      <w:r w:rsidR="00DF3473" w:rsidRPr="00C83A5D">
        <w:rPr>
          <w:i/>
          <w:iCs/>
        </w:rPr>
        <w:t>5.1</w:t>
      </w:r>
      <w:r w:rsidRPr="00C83A5D">
        <w:rPr>
          <w:i/>
          <w:iCs/>
        </w:rPr>
        <w:t xml:space="preserve"> show</w:t>
      </w:r>
      <w:r w:rsidR="00450C88" w:rsidRPr="00C83A5D">
        <w:rPr>
          <w:i/>
          <w:iCs/>
        </w:rPr>
        <w:t>s</w:t>
      </w:r>
      <w:r w:rsidRPr="00C83A5D">
        <w:rPr>
          <w:i/>
          <w:iCs/>
        </w:rPr>
        <w:t xml:space="preserve"> the domestic and imported shares of each indicator footprint for advanced and emerging regions.</w:t>
      </w:r>
    </w:p>
    <w:p w14:paraId="66B09712" w14:textId="77777777" w:rsidR="00392F62" w:rsidRPr="000A77F0" w:rsidRDefault="00392F62" w:rsidP="00B40225">
      <w:pPr>
        <w:pStyle w:val="BodyText"/>
      </w:pPr>
    </w:p>
    <w:p w14:paraId="54A934E6" w14:textId="64F79F00" w:rsidR="00392F62" w:rsidRPr="000A77F0" w:rsidRDefault="00392F62" w:rsidP="00B40225">
      <w:pPr>
        <w:pStyle w:val="BodyText"/>
      </w:pPr>
    </w:p>
    <w:p w14:paraId="22634DA6" w14:textId="51A64CFD" w:rsidR="00AA6264" w:rsidRPr="000A77F0" w:rsidRDefault="00AA5060" w:rsidP="00B40225">
      <w:r>
        <w:rPr>
          <w:noProof/>
        </w:rPr>
        <w:lastRenderedPageBreak/>
        <w:drawing>
          <wp:inline distT="0" distB="0" distL="0" distR="0" wp14:anchorId="73E4630B" wp14:editId="4B8931E1">
            <wp:extent cx="5972810" cy="5527040"/>
            <wp:effectExtent l="0" t="0" r="8890" b="0"/>
            <wp:docPr id="654432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3222"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972810" cy="5527040"/>
                    </a:xfrm>
                    <a:prstGeom prst="rect">
                      <a:avLst/>
                    </a:prstGeom>
                  </pic:spPr>
                </pic:pic>
              </a:graphicData>
            </a:graphic>
          </wp:inline>
        </w:drawing>
      </w:r>
    </w:p>
    <w:p w14:paraId="56A6B072" w14:textId="5D4AA7D1" w:rsidR="00AA6264" w:rsidRPr="00C83A5D" w:rsidRDefault="00AA6264" w:rsidP="00B40225">
      <w:pPr>
        <w:pStyle w:val="BodyText"/>
        <w:rPr>
          <w:i/>
          <w:iCs/>
        </w:rPr>
      </w:pPr>
      <w:r w:rsidRPr="00C83A5D">
        <w:rPr>
          <w:i/>
          <w:iCs/>
        </w:rPr>
        <w:t xml:space="preserve">Figure </w:t>
      </w:r>
      <w:r w:rsidR="00560E6C" w:rsidRPr="00C83A5D">
        <w:rPr>
          <w:i/>
          <w:iCs/>
        </w:rPr>
        <w:t>S</w:t>
      </w:r>
      <w:r w:rsidR="007746E6" w:rsidRPr="00C83A5D">
        <w:rPr>
          <w:i/>
          <w:iCs/>
        </w:rPr>
        <w:t xml:space="preserve">I </w:t>
      </w:r>
      <w:r w:rsidR="00DF3473" w:rsidRPr="00C83A5D">
        <w:rPr>
          <w:i/>
          <w:iCs/>
        </w:rPr>
        <w:t>5.2</w:t>
      </w:r>
      <w:r w:rsidRPr="00C83A5D">
        <w:rPr>
          <w:i/>
          <w:iCs/>
        </w:rPr>
        <w:t xml:space="preserve"> shows </w:t>
      </w:r>
      <w:r w:rsidR="003B13CE" w:rsidRPr="00C83A5D">
        <w:rPr>
          <w:i/>
          <w:iCs/>
        </w:rPr>
        <w:t>2020</w:t>
      </w:r>
      <w:r w:rsidRPr="00C83A5D">
        <w:rPr>
          <w:i/>
          <w:iCs/>
        </w:rPr>
        <w:t xml:space="preserve"> indicator levels relative to planetary boundaries. LHS shows global, advanced and emerging relative to PBs, RHS show country level results. Positive exceedance capped at 3</w:t>
      </w:r>
      <w:r w:rsidR="00C83A5D">
        <w:rPr>
          <w:i/>
          <w:iCs/>
        </w:rPr>
        <w:t xml:space="preserve"> times</w:t>
      </w:r>
      <w:r w:rsidRPr="00C83A5D">
        <w:rPr>
          <w:i/>
          <w:iCs/>
        </w:rPr>
        <w:t xml:space="preserve"> in visualization.</w:t>
      </w:r>
    </w:p>
    <w:p w14:paraId="1C503549" w14:textId="77777777" w:rsidR="00B4084F" w:rsidRPr="000A77F0" w:rsidRDefault="00B4084F" w:rsidP="00B40225">
      <w:pPr>
        <w:pStyle w:val="BodyText"/>
      </w:pPr>
    </w:p>
    <w:p w14:paraId="7596B3F5" w14:textId="77777777" w:rsidR="00B4084F" w:rsidRPr="000A77F0" w:rsidRDefault="00B4084F" w:rsidP="00B40225">
      <w:r w:rsidRPr="000A77F0">
        <w:br w:type="page"/>
      </w:r>
    </w:p>
    <w:p w14:paraId="582C0718" w14:textId="25CAD04A" w:rsidR="00B4084F" w:rsidRDefault="0095469D" w:rsidP="00B40225">
      <w:pPr>
        <w:pStyle w:val="BodyText"/>
      </w:pPr>
      <w:r>
        <w:rPr>
          <w:noProof/>
        </w:rPr>
        <w:lastRenderedPageBreak/>
        <w:drawing>
          <wp:inline distT="0" distB="0" distL="0" distR="0" wp14:anchorId="1D8F203E" wp14:editId="6E7FEB82">
            <wp:extent cx="5972810" cy="2533650"/>
            <wp:effectExtent l="0" t="0" r="8890" b="0"/>
            <wp:docPr id="1177706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0629"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972810" cy="2533650"/>
                    </a:xfrm>
                    <a:prstGeom prst="rect">
                      <a:avLst/>
                    </a:prstGeom>
                  </pic:spPr>
                </pic:pic>
              </a:graphicData>
            </a:graphic>
          </wp:inline>
        </w:drawing>
      </w:r>
      <w:r w:rsidR="00B4084F" w:rsidRPr="000A77F0">
        <w:t xml:space="preserve"> </w:t>
      </w:r>
      <w:r w:rsidR="00B4084F" w:rsidRPr="00C83A5D">
        <w:rPr>
          <w:i/>
          <w:iCs/>
        </w:rPr>
        <w:t xml:space="preserve">Figure </w:t>
      </w:r>
      <w:r w:rsidR="00560E6C" w:rsidRPr="00C83A5D">
        <w:rPr>
          <w:i/>
          <w:iCs/>
        </w:rPr>
        <w:t>S</w:t>
      </w:r>
      <w:r w:rsidR="007746E6" w:rsidRPr="00C83A5D">
        <w:rPr>
          <w:i/>
          <w:iCs/>
        </w:rPr>
        <w:t xml:space="preserve">I </w:t>
      </w:r>
      <w:r w:rsidR="0037721D" w:rsidRPr="00C83A5D">
        <w:rPr>
          <w:i/>
          <w:iCs/>
        </w:rPr>
        <w:t>5</w:t>
      </w:r>
      <w:r w:rsidR="00C83A5D" w:rsidRPr="00C83A5D">
        <w:rPr>
          <w:i/>
          <w:iCs/>
        </w:rPr>
        <w:t>.3</w:t>
      </w:r>
      <w:r w:rsidR="00B4084F" w:rsidRPr="00C83A5D">
        <w:rPr>
          <w:i/>
          <w:iCs/>
        </w:rPr>
        <w:t xml:space="preserve"> shows current indicator levels relative to planetary boundaries for countries and regions decomposing domestic and foreign sources.</w:t>
      </w:r>
    </w:p>
    <w:p w14:paraId="6CCF37BE" w14:textId="77777777" w:rsidR="00276814" w:rsidRPr="000A77F0" w:rsidRDefault="00276814" w:rsidP="00B40225">
      <w:pPr>
        <w:pStyle w:val="BodyText"/>
      </w:pPr>
    </w:p>
    <w:p w14:paraId="27CD2DC8" w14:textId="77777777" w:rsidR="00B4084F" w:rsidRPr="000A77F0" w:rsidRDefault="00B4084F" w:rsidP="00B40225">
      <w:pPr>
        <w:pStyle w:val="BodyText"/>
      </w:pPr>
    </w:p>
    <w:p w14:paraId="149B3C41" w14:textId="2C18FDB6" w:rsidR="00AA6264" w:rsidRPr="000A77F0" w:rsidRDefault="00AA6264" w:rsidP="00B40225">
      <w:pPr>
        <w:pStyle w:val="BodyText"/>
      </w:pPr>
    </w:p>
    <w:p w14:paraId="688641BE" w14:textId="1D5157EA" w:rsidR="00BB23DB" w:rsidRPr="000A77F0" w:rsidRDefault="00BA7B01" w:rsidP="00B40225">
      <w:pPr>
        <w:pStyle w:val="BodyText"/>
      </w:pPr>
      <w:r>
        <w:rPr>
          <w:noProof/>
        </w:rPr>
        <w:drawing>
          <wp:inline distT="0" distB="0" distL="0" distR="0" wp14:anchorId="71DBEBEF" wp14:editId="36952CF5">
            <wp:extent cx="5972810" cy="2795270"/>
            <wp:effectExtent l="0" t="0" r="8890" b="5080"/>
            <wp:docPr id="16177239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2397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72810" cy="2795270"/>
                    </a:xfrm>
                    <a:prstGeom prst="rect">
                      <a:avLst/>
                    </a:prstGeom>
                  </pic:spPr>
                </pic:pic>
              </a:graphicData>
            </a:graphic>
          </wp:inline>
        </w:drawing>
      </w:r>
      <w:r w:rsidR="00BB23DB" w:rsidRPr="000A77F0">
        <w:t xml:space="preserve"> </w:t>
      </w:r>
      <w:r w:rsidR="00BB23DB" w:rsidRPr="00C83A5D">
        <w:rPr>
          <w:i/>
          <w:iCs/>
        </w:rPr>
        <w:t xml:space="preserve">Figure </w:t>
      </w:r>
      <w:r w:rsidR="00560E6C" w:rsidRPr="00C83A5D">
        <w:rPr>
          <w:i/>
          <w:iCs/>
        </w:rPr>
        <w:t>S</w:t>
      </w:r>
      <w:r w:rsidR="007746E6" w:rsidRPr="00C83A5D">
        <w:rPr>
          <w:i/>
          <w:iCs/>
        </w:rPr>
        <w:t xml:space="preserve">I </w:t>
      </w:r>
      <w:r w:rsidR="00C83A5D" w:rsidRPr="00C83A5D">
        <w:rPr>
          <w:i/>
          <w:iCs/>
        </w:rPr>
        <w:t>5.4</w:t>
      </w:r>
      <w:r w:rsidR="00BB23DB" w:rsidRPr="00C83A5D">
        <w:rPr>
          <w:i/>
          <w:iCs/>
        </w:rPr>
        <w:t xml:space="preserve"> shows the decomposition of total footprint change into population, affluence, trade shares and domestic vs foreign technology.</w:t>
      </w:r>
    </w:p>
    <w:p w14:paraId="00A6EA62" w14:textId="77777777" w:rsidR="003A6B91" w:rsidRDefault="003A6B91" w:rsidP="00B40225">
      <w:pPr>
        <w:pStyle w:val="BodyText"/>
        <w:rPr>
          <w:b/>
          <w:bCs/>
        </w:rPr>
      </w:pPr>
    </w:p>
    <w:p w14:paraId="4A31BFED" w14:textId="77777777" w:rsidR="00940B76" w:rsidRPr="000A77F0" w:rsidRDefault="00940B76" w:rsidP="00B40225">
      <w:pPr>
        <w:pStyle w:val="BodyText"/>
      </w:pPr>
    </w:p>
    <w:p w14:paraId="5CAB2103" w14:textId="77777777" w:rsidR="00C83A5D" w:rsidRPr="000A77F0" w:rsidRDefault="00C83A5D" w:rsidP="00C83A5D">
      <w:pPr>
        <w:pStyle w:val="BlockText"/>
      </w:pPr>
      <w:r>
        <w:t>Table</w:t>
      </w:r>
      <w:r w:rsidRPr="000A77F0">
        <w:t xml:space="preserve"> </w:t>
      </w:r>
      <w:r>
        <w:t>SI 5.1</w:t>
      </w:r>
      <w:r w:rsidRPr="000A77F0">
        <w:t xml:space="preserve"> </w:t>
      </w:r>
      <w:r>
        <w:t>Decomposition for advanced economies</w:t>
      </w:r>
    </w:p>
    <w:tbl>
      <w:tblPr>
        <w:tblStyle w:val="PlainTable1"/>
        <w:tblW w:w="0" w:type="auto"/>
        <w:jc w:val="center"/>
        <w:tblLook w:val="04A0" w:firstRow="1" w:lastRow="0" w:firstColumn="1" w:lastColumn="0" w:noHBand="0" w:noVBand="1"/>
      </w:tblPr>
      <w:tblGrid>
        <w:gridCol w:w="1456"/>
        <w:gridCol w:w="1337"/>
        <w:gridCol w:w="1203"/>
        <w:gridCol w:w="1462"/>
        <w:gridCol w:w="1943"/>
        <w:gridCol w:w="772"/>
      </w:tblGrid>
      <w:tr w:rsidR="00DF1107" w:rsidRPr="00DF1107" w14:paraId="64A8CD24" w14:textId="77777777" w:rsidTr="00C922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07A192B" w14:textId="77777777" w:rsidR="00DF1107" w:rsidRPr="00DF1107" w:rsidRDefault="00DF1107" w:rsidP="00B40225">
            <w:r w:rsidRPr="00DF1107">
              <w:t>Indicator</w:t>
            </w:r>
          </w:p>
        </w:tc>
        <w:tc>
          <w:tcPr>
            <w:tcW w:w="0" w:type="auto"/>
            <w:hideMark/>
          </w:tcPr>
          <w:p w14:paraId="57246302" w14:textId="77777777" w:rsidR="00DF1107" w:rsidRPr="00DF1107" w:rsidRDefault="00DF1107" w:rsidP="00B40225">
            <w:pPr>
              <w:cnfStyle w:val="100000000000" w:firstRow="1" w:lastRow="0" w:firstColumn="0" w:lastColumn="0" w:oddVBand="0" w:evenVBand="0" w:oddHBand="0" w:evenHBand="0" w:firstRowFirstColumn="0" w:firstRowLastColumn="0" w:lastRowFirstColumn="0" w:lastRowLastColumn="0"/>
            </w:pPr>
            <w:r w:rsidRPr="00DF1107">
              <w:t>Population</w:t>
            </w:r>
          </w:p>
        </w:tc>
        <w:tc>
          <w:tcPr>
            <w:tcW w:w="0" w:type="auto"/>
            <w:hideMark/>
          </w:tcPr>
          <w:p w14:paraId="29F71C25" w14:textId="77777777" w:rsidR="00DF1107" w:rsidRPr="00DF1107" w:rsidRDefault="00DF1107" w:rsidP="00B40225">
            <w:pPr>
              <w:cnfStyle w:val="100000000000" w:firstRow="1" w:lastRow="0" w:firstColumn="0" w:lastColumn="0" w:oddVBand="0" w:evenVBand="0" w:oddHBand="0" w:evenHBand="0" w:firstRowFirstColumn="0" w:firstRowLastColumn="0" w:lastRowFirstColumn="0" w:lastRowLastColumn="0"/>
            </w:pPr>
            <w:r w:rsidRPr="00DF1107">
              <w:t>Affluence</w:t>
            </w:r>
          </w:p>
        </w:tc>
        <w:tc>
          <w:tcPr>
            <w:tcW w:w="0" w:type="auto"/>
            <w:hideMark/>
          </w:tcPr>
          <w:p w14:paraId="07FF77CF" w14:textId="77777777" w:rsidR="00DF1107" w:rsidRPr="00DF1107" w:rsidRDefault="00DF1107" w:rsidP="00B40225">
            <w:pPr>
              <w:cnfStyle w:val="100000000000" w:firstRow="1" w:lastRow="0" w:firstColumn="0" w:lastColumn="0" w:oddVBand="0" w:evenVBand="0" w:oddHBand="0" w:evenHBand="0" w:firstRowFirstColumn="0" w:firstRowLastColumn="0" w:lastRowFirstColumn="0" w:lastRowLastColumn="0"/>
            </w:pPr>
            <w:r w:rsidRPr="00DF1107">
              <w:t>Trade effect</w:t>
            </w:r>
          </w:p>
        </w:tc>
        <w:tc>
          <w:tcPr>
            <w:tcW w:w="0" w:type="auto"/>
            <w:hideMark/>
          </w:tcPr>
          <w:p w14:paraId="6EA3F4CC" w14:textId="77777777" w:rsidR="00DF1107" w:rsidRPr="00DF1107" w:rsidRDefault="00DF1107" w:rsidP="00B40225">
            <w:pPr>
              <w:cnfStyle w:val="100000000000" w:firstRow="1" w:lastRow="0" w:firstColumn="0" w:lastColumn="0" w:oddVBand="0" w:evenVBand="0" w:oddHBand="0" w:evenHBand="0" w:firstRowFirstColumn="0" w:firstRowLastColumn="0" w:lastRowFirstColumn="0" w:lastRowLastColumn="0"/>
            </w:pPr>
            <w:r w:rsidRPr="00DF1107">
              <w:t>Tech (combined)</w:t>
            </w:r>
          </w:p>
        </w:tc>
        <w:tc>
          <w:tcPr>
            <w:tcW w:w="0" w:type="auto"/>
            <w:hideMark/>
          </w:tcPr>
          <w:p w14:paraId="22F32395" w14:textId="77777777" w:rsidR="00DF1107" w:rsidRPr="00DF1107" w:rsidRDefault="00DF1107" w:rsidP="00B40225">
            <w:pPr>
              <w:cnfStyle w:val="100000000000" w:firstRow="1" w:lastRow="0" w:firstColumn="0" w:lastColumn="0" w:oddVBand="0" w:evenVBand="0" w:oddHBand="0" w:evenHBand="0" w:firstRowFirstColumn="0" w:firstRowLastColumn="0" w:lastRowFirstColumn="0" w:lastRowLastColumn="0"/>
            </w:pPr>
            <w:r w:rsidRPr="00DF1107">
              <w:t>Net</w:t>
            </w:r>
          </w:p>
        </w:tc>
      </w:tr>
      <w:tr w:rsidR="00135F1A" w:rsidRPr="00DF1107" w14:paraId="1F411A19" w14:textId="77777777" w:rsidTr="00C922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D2B8E4" w14:textId="6150B3CE" w:rsidR="00135F1A" w:rsidRPr="00DF1107" w:rsidRDefault="00135F1A" w:rsidP="00135F1A">
            <w:r w:rsidRPr="00925D04">
              <w:lastRenderedPageBreak/>
              <w:t>Climate</w:t>
            </w:r>
          </w:p>
        </w:tc>
        <w:tc>
          <w:tcPr>
            <w:tcW w:w="0" w:type="auto"/>
            <w:hideMark/>
          </w:tcPr>
          <w:p w14:paraId="410BE25D" w14:textId="0485375D"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+13.5</w:t>
            </w:r>
          </w:p>
        </w:tc>
        <w:tc>
          <w:tcPr>
            <w:tcW w:w="0" w:type="auto"/>
            <w:hideMark/>
          </w:tcPr>
          <w:p w14:paraId="7FF7D3F6" w14:textId="56FB4414"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+12.9</w:t>
            </w:r>
          </w:p>
        </w:tc>
        <w:tc>
          <w:tcPr>
            <w:tcW w:w="0" w:type="auto"/>
            <w:hideMark/>
          </w:tcPr>
          <w:p w14:paraId="618B7DD3" w14:textId="5695A7AA"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+11.4</w:t>
            </w:r>
          </w:p>
        </w:tc>
        <w:tc>
          <w:tcPr>
            <w:tcW w:w="0" w:type="auto"/>
            <w:hideMark/>
          </w:tcPr>
          <w:p w14:paraId="3F66F26D" w14:textId="39C289FE"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−54.1</w:t>
            </w:r>
          </w:p>
        </w:tc>
        <w:tc>
          <w:tcPr>
            <w:tcW w:w="0" w:type="auto"/>
            <w:hideMark/>
          </w:tcPr>
          <w:p w14:paraId="6B6F1337" w14:textId="3C4B5067"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−16.3</w:t>
            </w:r>
          </w:p>
        </w:tc>
      </w:tr>
      <w:tr w:rsidR="00135F1A" w:rsidRPr="00DF1107" w14:paraId="394682CC" w14:textId="77777777" w:rsidTr="00C9220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92E0F7" w14:textId="4A70331C" w:rsidR="00135F1A" w:rsidRPr="00DF1107" w:rsidRDefault="00135F1A" w:rsidP="00135F1A">
            <w:r w:rsidRPr="00925D04">
              <w:t>Water</w:t>
            </w:r>
          </w:p>
        </w:tc>
        <w:tc>
          <w:tcPr>
            <w:tcW w:w="0" w:type="auto"/>
            <w:hideMark/>
          </w:tcPr>
          <w:p w14:paraId="60CD19D4" w14:textId="4F498ECB"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+12.1</w:t>
            </w:r>
          </w:p>
        </w:tc>
        <w:tc>
          <w:tcPr>
            <w:tcW w:w="0" w:type="auto"/>
            <w:hideMark/>
          </w:tcPr>
          <w:p w14:paraId="3764B966" w14:textId="6642A014"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+12.3</w:t>
            </w:r>
          </w:p>
        </w:tc>
        <w:tc>
          <w:tcPr>
            <w:tcW w:w="0" w:type="auto"/>
            <w:hideMark/>
          </w:tcPr>
          <w:p w14:paraId="2E2960A9" w14:textId="24DFCDD4"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+34.4</w:t>
            </w:r>
          </w:p>
        </w:tc>
        <w:tc>
          <w:tcPr>
            <w:tcW w:w="0" w:type="auto"/>
            <w:hideMark/>
          </w:tcPr>
          <w:p w14:paraId="046E0EBC" w14:textId="35DA786E"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−86.1</w:t>
            </w:r>
          </w:p>
        </w:tc>
        <w:tc>
          <w:tcPr>
            <w:tcW w:w="0" w:type="auto"/>
            <w:hideMark/>
          </w:tcPr>
          <w:p w14:paraId="0D3805E3" w14:textId="66B4CFA1"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−27.3</w:t>
            </w:r>
          </w:p>
        </w:tc>
      </w:tr>
      <w:tr w:rsidR="00135F1A" w:rsidRPr="00DF1107" w14:paraId="5E0F04E3" w14:textId="77777777" w:rsidTr="00C922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14A1D3" w14:textId="0BD742DB" w:rsidR="00135F1A" w:rsidRPr="00DF1107" w:rsidRDefault="00135F1A" w:rsidP="00135F1A">
            <w:r w:rsidRPr="00925D04">
              <w:t>Land</w:t>
            </w:r>
          </w:p>
        </w:tc>
        <w:tc>
          <w:tcPr>
            <w:tcW w:w="0" w:type="auto"/>
            <w:hideMark/>
          </w:tcPr>
          <w:p w14:paraId="6F91140F" w14:textId="3348BFFA"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+12.0</w:t>
            </w:r>
          </w:p>
        </w:tc>
        <w:tc>
          <w:tcPr>
            <w:tcW w:w="0" w:type="auto"/>
            <w:hideMark/>
          </w:tcPr>
          <w:p w14:paraId="2BBB7FAF" w14:textId="6AE794AC"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+12.0</w:t>
            </w:r>
          </w:p>
        </w:tc>
        <w:tc>
          <w:tcPr>
            <w:tcW w:w="0" w:type="auto"/>
            <w:hideMark/>
          </w:tcPr>
          <w:p w14:paraId="531E1658" w14:textId="0C1A6650"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+14.3</w:t>
            </w:r>
          </w:p>
        </w:tc>
        <w:tc>
          <w:tcPr>
            <w:tcW w:w="0" w:type="auto"/>
            <w:hideMark/>
          </w:tcPr>
          <w:p w14:paraId="444C0988" w14:textId="332DBDBB"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−63.0</w:t>
            </w:r>
          </w:p>
        </w:tc>
        <w:tc>
          <w:tcPr>
            <w:tcW w:w="0" w:type="auto"/>
            <w:hideMark/>
          </w:tcPr>
          <w:p w14:paraId="34167EE6" w14:textId="7FC6AEA7"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−24.6</w:t>
            </w:r>
          </w:p>
        </w:tc>
      </w:tr>
      <w:tr w:rsidR="00135F1A" w:rsidRPr="00DF1107" w14:paraId="25615AB6" w14:textId="77777777" w:rsidTr="00C9220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3B4F50" w14:textId="6D82A959" w:rsidR="00135F1A" w:rsidRPr="00DF1107" w:rsidRDefault="00135F1A" w:rsidP="00135F1A">
            <w:r w:rsidRPr="00925D04">
              <w:t>Acid</w:t>
            </w:r>
          </w:p>
        </w:tc>
        <w:tc>
          <w:tcPr>
            <w:tcW w:w="0" w:type="auto"/>
            <w:hideMark/>
          </w:tcPr>
          <w:p w14:paraId="5B5E512E" w14:textId="61741AE6"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+13.9</w:t>
            </w:r>
          </w:p>
        </w:tc>
        <w:tc>
          <w:tcPr>
            <w:tcW w:w="0" w:type="auto"/>
            <w:hideMark/>
          </w:tcPr>
          <w:p w14:paraId="4C5D367D" w14:textId="2378E22F"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+13.2</w:t>
            </w:r>
          </w:p>
        </w:tc>
        <w:tc>
          <w:tcPr>
            <w:tcW w:w="0" w:type="auto"/>
            <w:hideMark/>
          </w:tcPr>
          <w:p w14:paraId="2F004A7A" w14:textId="185932F9"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+9.2</w:t>
            </w:r>
          </w:p>
        </w:tc>
        <w:tc>
          <w:tcPr>
            <w:tcW w:w="0" w:type="auto"/>
            <w:hideMark/>
          </w:tcPr>
          <w:p w14:paraId="393607D5" w14:textId="2F6C73BD"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−50.1</w:t>
            </w:r>
          </w:p>
        </w:tc>
        <w:tc>
          <w:tcPr>
            <w:tcW w:w="0" w:type="auto"/>
            <w:hideMark/>
          </w:tcPr>
          <w:p w14:paraId="68D7443A" w14:textId="2D09A570"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−13.8</w:t>
            </w:r>
          </w:p>
        </w:tc>
      </w:tr>
      <w:tr w:rsidR="00135F1A" w:rsidRPr="00DF1107" w14:paraId="7A8BD7FD" w14:textId="77777777" w:rsidTr="00C922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E1B257" w14:textId="6C4CADA7" w:rsidR="00135F1A" w:rsidRPr="00DF1107" w:rsidRDefault="00135F1A" w:rsidP="00135F1A">
            <w:r w:rsidRPr="00925D04">
              <w:t>Nitrogen</w:t>
            </w:r>
          </w:p>
        </w:tc>
        <w:tc>
          <w:tcPr>
            <w:tcW w:w="0" w:type="auto"/>
            <w:hideMark/>
          </w:tcPr>
          <w:p w14:paraId="47836C40" w14:textId="4EB63A79"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+13.8</w:t>
            </w:r>
          </w:p>
        </w:tc>
        <w:tc>
          <w:tcPr>
            <w:tcW w:w="0" w:type="auto"/>
            <w:hideMark/>
          </w:tcPr>
          <w:p w14:paraId="17DCB961" w14:textId="2A3B00CB"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+12.8</w:t>
            </w:r>
          </w:p>
        </w:tc>
        <w:tc>
          <w:tcPr>
            <w:tcW w:w="0" w:type="auto"/>
            <w:hideMark/>
          </w:tcPr>
          <w:p w14:paraId="09C087D2" w14:textId="19812A4D"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+10.6</w:t>
            </w:r>
          </w:p>
        </w:tc>
        <w:tc>
          <w:tcPr>
            <w:tcW w:w="0" w:type="auto"/>
            <w:hideMark/>
          </w:tcPr>
          <w:p w14:paraId="3A274500" w14:textId="472670C4"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−39.9</w:t>
            </w:r>
          </w:p>
        </w:tc>
        <w:tc>
          <w:tcPr>
            <w:tcW w:w="0" w:type="auto"/>
            <w:hideMark/>
          </w:tcPr>
          <w:p w14:paraId="0F8EF64E" w14:textId="09D35287"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−2.7</w:t>
            </w:r>
          </w:p>
        </w:tc>
      </w:tr>
      <w:tr w:rsidR="00135F1A" w:rsidRPr="00DF1107" w14:paraId="1B22BA86" w14:textId="77777777" w:rsidTr="00C9220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E9F3F4" w14:textId="42B26E8C" w:rsidR="00135F1A" w:rsidRPr="00DF1107" w:rsidRDefault="00135F1A" w:rsidP="00135F1A">
            <w:r w:rsidRPr="00925D04">
              <w:t>Phosphorus</w:t>
            </w:r>
          </w:p>
        </w:tc>
        <w:tc>
          <w:tcPr>
            <w:tcW w:w="0" w:type="auto"/>
            <w:hideMark/>
          </w:tcPr>
          <w:p w14:paraId="6740B8F8" w14:textId="280F9D00"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+12.8</w:t>
            </w:r>
          </w:p>
        </w:tc>
        <w:tc>
          <w:tcPr>
            <w:tcW w:w="0" w:type="auto"/>
            <w:hideMark/>
          </w:tcPr>
          <w:p w14:paraId="3905006C" w14:textId="74D4884D"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+12.7</w:t>
            </w:r>
          </w:p>
        </w:tc>
        <w:tc>
          <w:tcPr>
            <w:tcW w:w="0" w:type="auto"/>
            <w:hideMark/>
          </w:tcPr>
          <w:p w14:paraId="0FEE1285" w14:textId="31508AA6"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+11.4</w:t>
            </w:r>
          </w:p>
        </w:tc>
        <w:tc>
          <w:tcPr>
            <w:tcW w:w="0" w:type="auto"/>
            <w:hideMark/>
          </w:tcPr>
          <w:p w14:paraId="3B491F48" w14:textId="350B6E6B"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−45.0</w:t>
            </w:r>
          </w:p>
        </w:tc>
        <w:tc>
          <w:tcPr>
            <w:tcW w:w="0" w:type="auto"/>
            <w:hideMark/>
          </w:tcPr>
          <w:p w14:paraId="7F41D203" w14:textId="62E677E1" w:rsidR="00135F1A" w:rsidRPr="00DF1107" w:rsidRDefault="00135F1A" w:rsidP="00135F1A">
            <w:pPr>
              <w:cnfStyle w:val="000000000000" w:firstRow="0" w:lastRow="0" w:firstColumn="0" w:lastColumn="0" w:oddVBand="0" w:evenVBand="0" w:oddHBand="0" w:evenHBand="0" w:firstRowFirstColumn="0" w:firstRowLastColumn="0" w:lastRowFirstColumn="0" w:lastRowLastColumn="0"/>
            </w:pPr>
            <w:r w:rsidRPr="00925D04">
              <w:t>−8.1</w:t>
            </w:r>
          </w:p>
        </w:tc>
      </w:tr>
      <w:tr w:rsidR="00135F1A" w:rsidRPr="00DF1107" w14:paraId="11995BB7" w14:textId="77777777" w:rsidTr="00C922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5A5CDB" w14:textId="7C0B884B" w:rsidR="00135F1A" w:rsidRPr="00DF1107" w:rsidRDefault="00135F1A" w:rsidP="00135F1A">
            <w:r w:rsidRPr="00925D04">
              <w:t>Biodiversity</w:t>
            </w:r>
          </w:p>
        </w:tc>
        <w:tc>
          <w:tcPr>
            <w:tcW w:w="0" w:type="auto"/>
            <w:hideMark/>
          </w:tcPr>
          <w:p w14:paraId="0BA8FD8D" w14:textId="6CF43893"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+12.7</w:t>
            </w:r>
          </w:p>
        </w:tc>
        <w:tc>
          <w:tcPr>
            <w:tcW w:w="0" w:type="auto"/>
            <w:hideMark/>
          </w:tcPr>
          <w:p w14:paraId="6D13C257" w14:textId="46902210"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+12.3</w:t>
            </w:r>
          </w:p>
        </w:tc>
        <w:tc>
          <w:tcPr>
            <w:tcW w:w="0" w:type="auto"/>
            <w:hideMark/>
          </w:tcPr>
          <w:p w14:paraId="2A1385AF" w14:textId="63BB5167"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+13.7</w:t>
            </w:r>
          </w:p>
        </w:tc>
        <w:tc>
          <w:tcPr>
            <w:tcW w:w="0" w:type="auto"/>
            <w:hideMark/>
          </w:tcPr>
          <w:p w14:paraId="49FC4AA3" w14:textId="33965FA9"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−55.5</w:t>
            </w:r>
          </w:p>
        </w:tc>
        <w:tc>
          <w:tcPr>
            <w:tcW w:w="0" w:type="auto"/>
            <w:hideMark/>
          </w:tcPr>
          <w:p w14:paraId="6EC834AA" w14:textId="07B64C68" w:rsidR="00135F1A" w:rsidRPr="00DF1107" w:rsidRDefault="00135F1A" w:rsidP="00135F1A">
            <w:pPr>
              <w:cnfStyle w:val="000000100000" w:firstRow="0" w:lastRow="0" w:firstColumn="0" w:lastColumn="0" w:oddVBand="0" w:evenVBand="0" w:oddHBand="1" w:evenHBand="0" w:firstRowFirstColumn="0" w:firstRowLastColumn="0" w:lastRowFirstColumn="0" w:lastRowLastColumn="0"/>
            </w:pPr>
            <w:r w:rsidRPr="00925D04">
              <w:t>−16.8</w:t>
            </w:r>
          </w:p>
        </w:tc>
      </w:tr>
    </w:tbl>
    <w:p w14:paraId="141DF776" w14:textId="77777777" w:rsidR="00C83A5D" w:rsidRDefault="00C83A5D" w:rsidP="00C83A5D">
      <w:pPr>
        <w:pStyle w:val="BlockText"/>
      </w:pPr>
    </w:p>
    <w:p w14:paraId="203E149E" w14:textId="19B371B5" w:rsidR="00C83A5D" w:rsidRPr="000A77F0" w:rsidRDefault="00C83A5D" w:rsidP="00C83A5D">
      <w:pPr>
        <w:pStyle w:val="BlockText"/>
      </w:pPr>
      <w:r>
        <w:t>Table</w:t>
      </w:r>
      <w:r w:rsidRPr="000A77F0">
        <w:t xml:space="preserve"> </w:t>
      </w:r>
      <w:r>
        <w:t>SI 5.2</w:t>
      </w:r>
      <w:r w:rsidRPr="000A77F0">
        <w:t xml:space="preserve"> </w:t>
      </w:r>
      <w:r>
        <w:t>Decomposition for e</w:t>
      </w:r>
      <w:r w:rsidRPr="00DF1107">
        <w:t>merging and developing</w:t>
      </w:r>
      <w:r>
        <w:t xml:space="preserve"> economies</w:t>
      </w:r>
    </w:p>
    <w:tbl>
      <w:tblPr>
        <w:tblStyle w:val="PlainTable1"/>
        <w:tblW w:w="0" w:type="auto"/>
        <w:jc w:val="center"/>
        <w:tblLook w:val="04A0" w:firstRow="1" w:lastRow="0" w:firstColumn="1" w:lastColumn="0" w:noHBand="0" w:noVBand="1"/>
      </w:tblPr>
      <w:tblGrid>
        <w:gridCol w:w="1456"/>
        <w:gridCol w:w="1337"/>
        <w:gridCol w:w="1203"/>
        <w:gridCol w:w="1462"/>
        <w:gridCol w:w="1943"/>
        <w:gridCol w:w="892"/>
      </w:tblGrid>
      <w:tr w:rsidR="00DF1107" w:rsidRPr="00DF1107" w14:paraId="4B792B20" w14:textId="77777777" w:rsidTr="00C922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EA682C" w14:textId="77777777" w:rsidR="00DF1107" w:rsidRPr="00DF1107" w:rsidRDefault="00DF1107" w:rsidP="00B40225">
            <w:r w:rsidRPr="00DF1107">
              <w:t>Indicator</w:t>
            </w:r>
          </w:p>
        </w:tc>
        <w:tc>
          <w:tcPr>
            <w:tcW w:w="0" w:type="auto"/>
            <w:hideMark/>
          </w:tcPr>
          <w:p w14:paraId="04AB4537" w14:textId="77777777" w:rsidR="00DF1107" w:rsidRPr="00DF1107" w:rsidRDefault="00DF1107" w:rsidP="00B40225">
            <w:pPr>
              <w:cnfStyle w:val="100000000000" w:firstRow="1" w:lastRow="0" w:firstColumn="0" w:lastColumn="0" w:oddVBand="0" w:evenVBand="0" w:oddHBand="0" w:evenHBand="0" w:firstRowFirstColumn="0" w:firstRowLastColumn="0" w:lastRowFirstColumn="0" w:lastRowLastColumn="0"/>
            </w:pPr>
            <w:r w:rsidRPr="00DF1107">
              <w:t>Population</w:t>
            </w:r>
          </w:p>
        </w:tc>
        <w:tc>
          <w:tcPr>
            <w:tcW w:w="0" w:type="auto"/>
            <w:hideMark/>
          </w:tcPr>
          <w:p w14:paraId="398B11AB" w14:textId="77777777" w:rsidR="00DF1107" w:rsidRPr="00DF1107" w:rsidRDefault="00DF1107" w:rsidP="00B40225">
            <w:pPr>
              <w:cnfStyle w:val="100000000000" w:firstRow="1" w:lastRow="0" w:firstColumn="0" w:lastColumn="0" w:oddVBand="0" w:evenVBand="0" w:oddHBand="0" w:evenHBand="0" w:firstRowFirstColumn="0" w:firstRowLastColumn="0" w:lastRowFirstColumn="0" w:lastRowLastColumn="0"/>
            </w:pPr>
            <w:r w:rsidRPr="00DF1107">
              <w:t>Affluence</w:t>
            </w:r>
          </w:p>
        </w:tc>
        <w:tc>
          <w:tcPr>
            <w:tcW w:w="0" w:type="auto"/>
            <w:hideMark/>
          </w:tcPr>
          <w:p w14:paraId="273199ED" w14:textId="77777777" w:rsidR="00DF1107" w:rsidRPr="00DF1107" w:rsidRDefault="00DF1107" w:rsidP="00B40225">
            <w:pPr>
              <w:cnfStyle w:val="100000000000" w:firstRow="1" w:lastRow="0" w:firstColumn="0" w:lastColumn="0" w:oddVBand="0" w:evenVBand="0" w:oddHBand="0" w:evenHBand="0" w:firstRowFirstColumn="0" w:firstRowLastColumn="0" w:lastRowFirstColumn="0" w:lastRowLastColumn="0"/>
            </w:pPr>
            <w:r w:rsidRPr="00DF1107">
              <w:t>Trade effect</w:t>
            </w:r>
          </w:p>
        </w:tc>
        <w:tc>
          <w:tcPr>
            <w:tcW w:w="0" w:type="auto"/>
            <w:hideMark/>
          </w:tcPr>
          <w:p w14:paraId="34EAD38B" w14:textId="77777777" w:rsidR="00DF1107" w:rsidRPr="00DF1107" w:rsidRDefault="00DF1107" w:rsidP="00B40225">
            <w:pPr>
              <w:cnfStyle w:val="100000000000" w:firstRow="1" w:lastRow="0" w:firstColumn="0" w:lastColumn="0" w:oddVBand="0" w:evenVBand="0" w:oddHBand="0" w:evenHBand="0" w:firstRowFirstColumn="0" w:firstRowLastColumn="0" w:lastRowFirstColumn="0" w:lastRowLastColumn="0"/>
            </w:pPr>
            <w:r w:rsidRPr="00DF1107">
              <w:t>Tech (combined)</w:t>
            </w:r>
          </w:p>
        </w:tc>
        <w:tc>
          <w:tcPr>
            <w:tcW w:w="0" w:type="auto"/>
            <w:hideMark/>
          </w:tcPr>
          <w:p w14:paraId="2FC2490C" w14:textId="77777777" w:rsidR="00DF1107" w:rsidRPr="00DF1107" w:rsidRDefault="00DF1107" w:rsidP="00B40225">
            <w:pPr>
              <w:cnfStyle w:val="100000000000" w:firstRow="1" w:lastRow="0" w:firstColumn="0" w:lastColumn="0" w:oddVBand="0" w:evenVBand="0" w:oddHBand="0" w:evenHBand="0" w:firstRowFirstColumn="0" w:firstRowLastColumn="0" w:lastRowFirstColumn="0" w:lastRowLastColumn="0"/>
            </w:pPr>
            <w:r w:rsidRPr="00DF1107">
              <w:t>Net</w:t>
            </w:r>
          </w:p>
        </w:tc>
      </w:tr>
      <w:tr w:rsidR="006C2368" w:rsidRPr="00DF1107" w14:paraId="4B7060CE" w14:textId="77777777" w:rsidTr="00C922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783555" w14:textId="59DD4788" w:rsidR="006C2368" w:rsidRPr="00DF1107" w:rsidRDefault="006C2368" w:rsidP="006C2368">
            <w:r w:rsidRPr="00324A68">
              <w:t>Climate</w:t>
            </w:r>
          </w:p>
        </w:tc>
        <w:tc>
          <w:tcPr>
            <w:tcW w:w="0" w:type="auto"/>
            <w:hideMark/>
          </w:tcPr>
          <w:p w14:paraId="58A2B506" w14:textId="4E2E813A"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+37.2</w:t>
            </w:r>
          </w:p>
        </w:tc>
        <w:tc>
          <w:tcPr>
            <w:tcW w:w="0" w:type="auto"/>
            <w:hideMark/>
          </w:tcPr>
          <w:p w14:paraId="75079B65" w14:textId="195C3D0C"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+101.5</w:t>
            </w:r>
          </w:p>
        </w:tc>
        <w:tc>
          <w:tcPr>
            <w:tcW w:w="0" w:type="auto"/>
            <w:hideMark/>
          </w:tcPr>
          <w:p w14:paraId="3FE157F8" w14:textId="1BF3A917"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+6.2</w:t>
            </w:r>
          </w:p>
        </w:tc>
        <w:tc>
          <w:tcPr>
            <w:tcW w:w="0" w:type="auto"/>
            <w:hideMark/>
          </w:tcPr>
          <w:p w14:paraId="42F89CAF" w14:textId="42ED726F"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−44.8</w:t>
            </w:r>
          </w:p>
        </w:tc>
        <w:tc>
          <w:tcPr>
            <w:tcW w:w="0" w:type="auto"/>
            <w:hideMark/>
          </w:tcPr>
          <w:p w14:paraId="569FCC60" w14:textId="3B53FBBE"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+100.1</w:t>
            </w:r>
          </w:p>
        </w:tc>
      </w:tr>
      <w:tr w:rsidR="006C2368" w:rsidRPr="00DF1107" w14:paraId="0AA4E11E" w14:textId="77777777" w:rsidTr="00C9220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3EA830" w14:textId="7556D00F" w:rsidR="006C2368" w:rsidRPr="00DF1107" w:rsidRDefault="006C2368" w:rsidP="006C2368">
            <w:r w:rsidRPr="00324A68">
              <w:t>Water</w:t>
            </w:r>
          </w:p>
        </w:tc>
        <w:tc>
          <w:tcPr>
            <w:tcW w:w="0" w:type="auto"/>
            <w:hideMark/>
          </w:tcPr>
          <w:p w14:paraId="4BC6FBC0" w14:textId="1944E821"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+27.1</w:t>
            </w:r>
          </w:p>
        </w:tc>
        <w:tc>
          <w:tcPr>
            <w:tcW w:w="0" w:type="auto"/>
            <w:hideMark/>
          </w:tcPr>
          <w:p w14:paraId="2BB4C513" w14:textId="5D819EBD"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+75.9</w:t>
            </w:r>
          </w:p>
        </w:tc>
        <w:tc>
          <w:tcPr>
            <w:tcW w:w="0" w:type="auto"/>
            <w:hideMark/>
          </w:tcPr>
          <w:p w14:paraId="50F938F3" w14:textId="1427A8C1"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+5.6</w:t>
            </w:r>
          </w:p>
        </w:tc>
        <w:tc>
          <w:tcPr>
            <w:tcW w:w="0" w:type="auto"/>
            <w:hideMark/>
          </w:tcPr>
          <w:p w14:paraId="040AB452" w14:textId="17EA8A55"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−78.1</w:t>
            </w:r>
          </w:p>
        </w:tc>
        <w:tc>
          <w:tcPr>
            <w:tcW w:w="0" w:type="auto"/>
            <w:hideMark/>
          </w:tcPr>
          <w:p w14:paraId="29B472CD" w14:textId="2295757A"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+30.5</w:t>
            </w:r>
          </w:p>
        </w:tc>
      </w:tr>
      <w:tr w:rsidR="006C2368" w:rsidRPr="00DF1107" w14:paraId="2AF2A596" w14:textId="77777777" w:rsidTr="00C922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25CE9AD" w14:textId="5C8D200F" w:rsidR="006C2368" w:rsidRPr="00DF1107" w:rsidRDefault="006C2368" w:rsidP="006C2368">
            <w:r w:rsidRPr="00324A68">
              <w:t>Land</w:t>
            </w:r>
          </w:p>
        </w:tc>
        <w:tc>
          <w:tcPr>
            <w:tcW w:w="0" w:type="auto"/>
            <w:hideMark/>
          </w:tcPr>
          <w:p w14:paraId="717D915F" w14:textId="6ABAA667"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+24.3</w:t>
            </w:r>
          </w:p>
        </w:tc>
        <w:tc>
          <w:tcPr>
            <w:tcW w:w="0" w:type="auto"/>
            <w:hideMark/>
          </w:tcPr>
          <w:p w14:paraId="793EEFB5" w14:textId="1EABBE58"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+69.4</w:t>
            </w:r>
          </w:p>
        </w:tc>
        <w:tc>
          <w:tcPr>
            <w:tcW w:w="0" w:type="auto"/>
            <w:hideMark/>
          </w:tcPr>
          <w:p w14:paraId="7E7ED8E1" w14:textId="6E7D9EC3"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+2.8</w:t>
            </w:r>
          </w:p>
        </w:tc>
        <w:tc>
          <w:tcPr>
            <w:tcW w:w="0" w:type="auto"/>
            <w:hideMark/>
          </w:tcPr>
          <w:p w14:paraId="63531FC1" w14:textId="1DB21FB7"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−88.6</w:t>
            </w:r>
          </w:p>
        </w:tc>
        <w:tc>
          <w:tcPr>
            <w:tcW w:w="0" w:type="auto"/>
            <w:hideMark/>
          </w:tcPr>
          <w:p w14:paraId="06F61E3C" w14:textId="6121B6E8"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+7.9</w:t>
            </w:r>
          </w:p>
        </w:tc>
      </w:tr>
      <w:tr w:rsidR="006C2368" w:rsidRPr="00DF1107" w14:paraId="16373477" w14:textId="77777777" w:rsidTr="00C9220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C73167" w14:textId="7EE114D5" w:rsidR="006C2368" w:rsidRPr="00DF1107" w:rsidRDefault="006C2368" w:rsidP="006C2368">
            <w:r w:rsidRPr="00324A68">
              <w:t>Acid</w:t>
            </w:r>
          </w:p>
        </w:tc>
        <w:tc>
          <w:tcPr>
            <w:tcW w:w="0" w:type="auto"/>
            <w:hideMark/>
          </w:tcPr>
          <w:p w14:paraId="29BF01F4" w14:textId="5D6E4675"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+41.6</w:t>
            </w:r>
          </w:p>
        </w:tc>
        <w:tc>
          <w:tcPr>
            <w:tcW w:w="0" w:type="auto"/>
            <w:hideMark/>
          </w:tcPr>
          <w:p w14:paraId="1FBAB6B3" w14:textId="76E43249"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+112.6</w:t>
            </w:r>
          </w:p>
        </w:tc>
        <w:tc>
          <w:tcPr>
            <w:tcW w:w="0" w:type="auto"/>
            <w:hideMark/>
          </w:tcPr>
          <w:p w14:paraId="58FFA853" w14:textId="1DD57C4F"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+6.3</w:t>
            </w:r>
          </w:p>
        </w:tc>
        <w:tc>
          <w:tcPr>
            <w:tcW w:w="0" w:type="auto"/>
            <w:hideMark/>
          </w:tcPr>
          <w:p w14:paraId="62E953F0" w14:textId="252B27F1"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−33.4</w:t>
            </w:r>
          </w:p>
        </w:tc>
        <w:tc>
          <w:tcPr>
            <w:tcW w:w="0" w:type="auto"/>
            <w:hideMark/>
          </w:tcPr>
          <w:p w14:paraId="2C460B96" w14:textId="63E30C02"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+127.1</w:t>
            </w:r>
          </w:p>
        </w:tc>
      </w:tr>
      <w:tr w:rsidR="006C2368" w:rsidRPr="00DF1107" w14:paraId="3976F210" w14:textId="77777777" w:rsidTr="00C922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E46AD5" w14:textId="65825144" w:rsidR="006C2368" w:rsidRPr="00DF1107" w:rsidRDefault="006C2368" w:rsidP="006C2368">
            <w:r w:rsidRPr="00324A68">
              <w:t>Nitrogen</w:t>
            </w:r>
          </w:p>
        </w:tc>
        <w:tc>
          <w:tcPr>
            <w:tcW w:w="0" w:type="auto"/>
            <w:hideMark/>
          </w:tcPr>
          <w:p w14:paraId="7BE350A8" w14:textId="38DB217C"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+31.5</w:t>
            </w:r>
          </w:p>
        </w:tc>
        <w:tc>
          <w:tcPr>
            <w:tcW w:w="0" w:type="auto"/>
            <w:hideMark/>
          </w:tcPr>
          <w:p w14:paraId="5A9A30B8" w14:textId="2871EAFF"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+87.7</w:t>
            </w:r>
          </w:p>
        </w:tc>
        <w:tc>
          <w:tcPr>
            <w:tcW w:w="0" w:type="auto"/>
            <w:hideMark/>
          </w:tcPr>
          <w:p w14:paraId="684BEE10" w14:textId="7D50BCC3"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+4.8</w:t>
            </w:r>
          </w:p>
        </w:tc>
        <w:tc>
          <w:tcPr>
            <w:tcW w:w="0" w:type="auto"/>
            <w:hideMark/>
          </w:tcPr>
          <w:p w14:paraId="43F8D93E" w14:textId="01E25F1F"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−58.7</w:t>
            </w:r>
          </w:p>
        </w:tc>
        <w:tc>
          <w:tcPr>
            <w:tcW w:w="0" w:type="auto"/>
            <w:hideMark/>
          </w:tcPr>
          <w:p w14:paraId="3CB2FBE9" w14:textId="0117BFCF"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+65.3</w:t>
            </w:r>
          </w:p>
        </w:tc>
      </w:tr>
      <w:tr w:rsidR="006C2368" w:rsidRPr="00DF1107" w14:paraId="4DAB950A" w14:textId="77777777" w:rsidTr="00C9220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31102E" w14:textId="5E1CF535" w:rsidR="006C2368" w:rsidRPr="00DF1107" w:rsidRDefault="006C2368" w:rsidP="006C2368">
            <w:r w:rsidRPr="00324A68">
              <w:t>Phosphorus</w:t>
            </w:r>
          </w:p>
        </w:tc>
        <w:tc>
          <w:tcPr>
            <w:tcW w:w="0" w:type="auto"/>
            <w:hideMark/>
          </w:tcPr>
          <w:p w14:paraId="2C466950" w14:textId="18E6104A"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+32.8</w:t>
            </w:r>
          </w:p>
        </w:tc>
        <w:tc>
          <w:tcPr>
            <w:tcW w:w="0" w:type="auto"/>
            <w:hideMark/>
          </w:tcPr>
          <w:p w14:paraId="2442E92C" w14:textId="510B0EA5"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+91.9</w:t>
            </w:r>
          </w:p>
        </w:tc>
        <w:tc>
          <w:tcPr>
            <w:tcW w:w="0" w:type="auto"/>
            <w:hideMark/>
          </w:tcPr>
          <w:p w14:paraId="35F7FEEC" w14:textId="4A3F5CF7"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+7.5</w:t>
            </w:r>
          </w:p>
        </w:tc>
        <w:tc>
          <w:tcPr>
            <w:tcW w:w="0" w:type="auto"/>
            <w:hideMark/>
          </w:tcPr>
          <w:p w14:paraId="05FB7795" w14:textId="1832494D"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−58.8</w:t>
            </w:r>
          </w:p>
        </w:tc>
        <w:tc>
          <w:tcPr>
            <w:tcW w:w="0" w:type="auto"/>
            <w:hideMark/>
          </w:tcPr>
          <w:p w14:paraId="1B274C6C" w14:textId="25CFDF9E" w:rsidR="006C2368" w:rsidRPr="00DF1107" w:rsidRDefault="006C2368" w:rsidP="006C2368">
            <w:pPr>
              <w:cnfStyle w:val="000000000000" w:firstRow="0" w:lastRow="0" w:firstColumn="0" w:lastColumn="0" w:oddVBand="0" w:evenVBand="0" w:oddHBand="0" w:evenHBand="0" w:firstRowFirstColumn="0" w:firstRowLastColumn="0" w:lastRowFirstColumn="0" w:lastRowLastColumn="0"/>
            </w:pPr>
            <w:r w:rsidRPr="00324A68">
              <w:t>+73.4</w:t>
            </w:r>
          </w:p>
        </w:tc>
      </w:tr>
      <w:tr w:rsidR="006C2368" w:rsidRPr="00DF1107" w14:paraId="065B1E6D" w14:textId="77777777" w:rsidTr="00C922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817740" w14:textId="6BAE5E4C" w:rsidR="006C2368" w:rsidRPr="00DF1107" w:rsidRDefault="006C2368" w:rsidP="006C2368">
            <w:r w:rsidRPr="00324A68">
              <w:t>Biodiversity</w:t>
            </w:r>
          </w:p>
        </w:tc>
        <w:tc>
          <w:tcPr>
            <w:tcW w:w="0" w:type="auto"/>
            <w:hideMark/>
          </w:tcPr>
          <w:p w14:paraId="63C8AB30" w14:textId="7758ECBA"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+28.2</w:t>
            </w:r>
          </w:p>
        </w:tc>
        <w:tc>
          <w:tcPr>
            <w:tcW w:w="0" w:type="auto"/>
            <w:hideMark/>
          </w:tcPr>
          <w:p w14:paraId="245C4195" w14:textId="75BE1431"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+78.7</w:t>
            </w:r>
          </w:p>
        </w:tc>
        <w:tc>
          <w:tcPr>
            <w:tcW w:w="0" w:type="auto"/>
            <w:hideMark/>
          </w:tcPr>
          <w:p w14:paraId="024CAF40" w14:textId="2A2C3C8E"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+3.5</w:t>
            </w:r>
          </w:p>
        </w:tc>
        <w:tc>
          <w:tcPr>
            <w:tcW w:w="0" w:type="auto"/>
            <w:hideMark/>
          </w:tcPr>
          <w:p w14:paraId="52EBCD9E" w14:textId="10845F5E"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−72.2</w:t>
            </w:r>
          </w:p>
        </w:tc>
        <w:tc>
          <w:tcPr>
            <w:tcW w:w="0" w:type="auto"/>
            <w:hideMark/>
          </w:tcPr>
          <w:p w14:paraId="3B3BF60D" w14:textId="02261806" w:rsidR="006C2368" w:rsidRPr="00DF1107" w:rsidRDefault="006C2368" w:rsidP="006C2368">
            <w:pPr>
              <w:cnfStyle w:val="000000100000" w:firstRow="0" w:lastRow="0" w:firstColumn="0" w:lastColumn="0" w:oddVBand="0" w:evenVBand="0" w:oddHBand="1" w:evenHBand="0" w:firstRowFirstColumn="0" w:firstRowLastColumn="0" w:lastRowFirstColumn="0" w:lastRowLastColumn="0"/>
            </w:pPr>
            <w:r w:rsidRPr="00324A68">
              <w:t>+38.1</w:t>
            </w:r>
          </w:p>
        </w:tc>
      </w:tr>
    </w:tbl>
    <w:p w14:paraId="7DE20A53" w14:textId="70AAFCEF" w:rsidR="000B1063" w:rsidRPr="000A77F0" w:rsidRDefault="000B1063" w:rsidP="00B40225"/>
    <w:p w14:paraId="6F6220F6" w14:textId="2E112D7C" w:rsidR="00940B76" w:rsidRDefault="002760AB" w:rsidP="00940B76">
      <w:pPr>
        <w:pStyle w:val="Heading2"/>
      </w:pPr>
      <w:r>
        <w:t>S</w:t>
      </w:r>
      <w:r w:rsidR="007746E6">
        <w:t xml:space="preserve">I </w:t>
      </w:r>
      <w:r w:rsidR="00C83A5D">
        <w:t>6</w:t>
      </w:r>
      <w:r w:rsidR="00940B76">
        <w:t>:</w:t>
      </w:r>
      <w:r w:rsidR="003A6B91" w:rsidRPr="000A77F0">
        <w:t xml:space="preserve"> Country level donut figures</w:t>
      </w:r>
    </w:p>
    <w:p w14:paraId="6EFF05DB" w14:textId="72ABF592" w:rsidR="003A6B91" w:rsidRPr="000A77F0" w:rsidRDefault="003B74A2" w:rsidP="00B40225">
      <w:pPr>
        <w:pStyle w:val="BodyText"/>
      </w:pPr>
      <w:r>
        <w:rPr>
          <w:noProof/>
        </w:rPr>
        <w:lastRenderedPageBreak/>
        <w:drawing>
          <wp:inline distT="0" distB="0" distL="0" distR="0" wp14:anchorId="2DD0F9F4" wp14:editId="1B7645E1">
            <wp:extent cx="5972810" cy="8208010"/>
            <wp:effectExtent l="0" t="0" r="8890" b="2540"/>
            <wp:docPr id="160292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810" cy="8208010"/>
                    </a:xfrm>
                    <a:prstGeom prst="rect">
                      <a:avLst/>
                    </a:prstGeom>
                    <a:noFill/>
                    <a:ln>
                      <a:noFill/>
                    </a:ln>
                  </pic:spPr>
                </pic:pic>
              </a:graphicData>
            </a:graphic>
          </wp:inline>
        </w:drawing>
      </w:r>
    </w:p>
    <w:p w14:paraId="6C120F01" w14:textId="0FF78E43" w:rsidR="003A6B91" w:rsidRDefault="003A6B91" w:rsidP="00B40225">
      <w:r w:rsidRPr="000A77F0">
        <w:br w:type="page"/>
      </w:r>
      <w:r w:rsidR="003B74A2">
        <w:rPr>
          <w:noProof/>
        </w:rPr>
        <w:lastRenderedPageBreak/>
        <w:drawing>
          <wp:inline distT="0" distB="0" distL="0" distR="0" wp14:anchorId="1EAB6923" wp14:editId="1E32BC80">
            <wp:extent cx="5972810" cy="8208010"/>
            <wp:effectExtent l="0" t="0" r="8890" b="2540"/>
            <wp:docPr id="2088490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2810" cy="8208010"/>
                    </a:xfrm>
                    <a:prstGeom prst="rect">
                      <a:avLst/>
                    </a:prstGeom>
                    <a:noFill/>
                    <a:ln>
                      <a:noFill/>
                    </a:ln>
                  </pic:spPr>
                </pic:pic>
              </a:graphicData>
            </a:graphic>
          </wp:inline>
        </w:drawing>
      </w:r>
    </w:p>
    <w:p w14:paraId="2FB3C253" w14:textId="570AF445" w:rsidR="00D66E15" w:rsidRDefault="004F0155" w:rsidP="00B40225">
      <w:r>
        <w:rPr>
          <w:noProof/>
        </w:rPr>
        <w:lastRenderedPageBreak/>
        <w:drawing>
          <wp:inline distT="0" distB="0" distL="0" distR="0" wp14:anchorId="0C2FB07F" wp14:editId="4CD7FAFB">
            <wp:extent cx="5972810" cy="8208010"/>
            <wp:effectExtent l="0" t="0" r="8890" b="2540"/>
            <wp:docPr id="11855817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8208010"/>
                    </a:xfrm>
                    <a:prstGeom prst="rect">
                      <a:avLst/>
                    </a:prstGeom>
                    <a:noFill/>
                    <a:ln>
                      <a:noFill/>
                    </a:ln>
                  </pic:spPr>
                </pic:pic>
              </a:graphicData>
            </a:graphic>
          </wp:inline>
        </w:drawing>
      </w:r>
      <w:r>
        <w:rPr>
          <w:noProof/>
        </w:rPr>
        <w:lastRenderedPageBreak/>
        <w:drawing>
          <wp:inline distT="0" distB="0" distL="0" distR="0" wp14:anchorId="4A0DDBAC" wp14:editId="078322BA">
            <wp:extent cx="5972810" cy="8208010"/>
            <wp:effectExtent l="0" t="0" r="8890" b="2540"/>
            <wp:docPr id="10492343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8208010"/>
                    </a:xfrm>
                    <a:prstGeom prst="rect">
                      <a:avLst/>
                    </a:prstGeom>
                    <a:noFill/>
                    <a:ln>
                      <a:noFill/>
                    </a:ln>
                  </pic:spPr>
                </pic:pic>
              </a:graphicData>
            </a:graphic>
          </wp:inline>
        </w:drawing>
      </w:r>
      <w:r>
        <w:rPr>
          <w:noProof/>
        </w:rPr>
        <w:lastRenderedPageBreak/>
        <w:drawing>
          <wp:inline distT="0" distB="0" distL="0" distR="0" wp14:anchorId="7C77DE49" wp14:editId="44157DAD">
            <wp:extent cx="5972810" cy="8208010"/>
            <wp:effectExtent l="0" t="0" r="8890" b="2540"/>
            <wp:docPr id="16200148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2810" cy="8208010"/>
                    </a:xfrm>
                    <a:prstGeom prst="rect">
                      <a:avLst/>
                    </a:prstGeom>
                    <a:noFill/>
                    <a:ln>
                      <a:noFill/>
                    </a:ln>
                  </pic:spPr>
                </pic:pic>
              </a:graphicData>
            </a:graphic>
          </wp:inline>
        </w:drawing>
      </w:r>
      <w:r>
        <w:rPr>
          <w:noProof/>
        </w:rPr>
        <w:lastRenderedPageBreak/>
        <w:drawing>
          <wp:inline distT="0" distB="0" distL="0" distR="0" wp14:anchorId="7143D90B" wp14:editId="514E4E0F">
            <wp:extent cx="5972810" cy="8208010"/>
            <wp:effectExtent l="0" t="0" r="8890" b="2540"/>
            <wp:docPr id="17528033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2810" cy="8208010"/>
                    </a:xfrm>
                    <a:prstGeom prst="rect">
                      <a:avLst/>
                    </a:prstGeom>
                    <a:noFill/>
                    <a:ln>
                      <a:noFill/>
                    </a:ln>
                  </pic:spPr>
                </pic:pic>
              </a:graphicData>
            </a:graphic>
          </wp:inline>
        </w:drawing>
      </w:r>
      <w:r w:rsidR="00B12DC6">
        <w:rPr>
          <w:noProof/>
        </w:rPr>
        <w:lastRenderedPageBreak/>
        <w:drawing>
          <wp:inline distT="0" distB="0" distL="0" distR="0" wp14:anchorId="305D45E6" wp14:editId="31D28C0D">
            <wp:extent cx="5972810" cy="8208010"/>
            <wp:effectExtent l="0" t="0" r="8890" b="2540"/>
            <wp:docPr id="7139507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2810" cy="8208010"/>
                    </a:xfrm>
                    <a:prstGeom prst="rect">
                      <a:avLst/>
                    </a:prstGeom>
                    <a:noFill/>
                    <a:ln>
                      <a:noFill/>
                    </a:ln>
                  </pic:spPr>
                </pic:pic>
              </a:graphicData>
            </a:graphic>
          </wp:inline>
        </w:drawing>
      </w:r>
      <w:r w:rsidR="00B12DC6">
        <w:rPr>
          <w:noProof/>
        </w:rPr>
        <w:lastRenderedPageBreak/>
        <w:drawing>
          <wp:inline distT="0" distB="0" distL="0" distR="0" wp14:anchorId="4F2CCE59" wp14:editId="6F79E1A6">
            <wp:extent cx="5972810" cy="8208010"/>
            <wp:effectExtent l="0" t="0" r="8890" b="2540"/>
            <wp:docPr id="3679670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2810" cy="8208010"/>
                    </a:xfrm>
                    <a:prstGeom prst="rect">
                      <a:avLst/>
                    </a:prstGeom>
                    <a:noFill/>
                    <a:ln>
                      <a:noFill/>
                    </a:ln>
                  </pic:spPr>
                </pic:pic>
              </a:graphicData>
            </a:graphic>
          </wp:inline>
        </w:drawing>
      </w:r>
      <w:r w:rsidR="00B12DC6">
        <w:rPr>
          <w:noProof/>
        </w:rPr>
        <w:lastRenderedPageBreak/>
        <w:drawing>
          <wp:inline distT="0" distB="0" distL="0" distR="0" wp14:anchorId="06604931" wp14:editId="3196564F">
            <wp:extent cx="5972810" cy="8208010"/>
            <wp:effectExtent l="0" t="0" r="8890" b="2540"/>
            <wp:docPr id="2154423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2810" cy="8208010"/>
                    </a:xfrm>
                    <a:prstGeom prst="rect">
                      <a:avLst/>
                    </a:prstGeom>
                    <a:noFill/>
                    <a:ln>
                      <a:noFill/>
                    </a:ln>
                  </pic:spPr>
                </pic:pic>
              </a:graphicData>
            </a:graphic>
          </wp:inline>
        </w:drawing>
      </w:r>
    </w:p>
    <w:p w14:paraId="5A49ED7B" w14:textId="77777777" w:rsidR="00D66E15" w:rsidRDefault="00D66E15">
      <w:pPr>
        <w:spacing w:after="200"/>
        <w:jc w:val="left"/>
      </w:pPr>
      <w:r>
        <w:lastRenderedPageBreak/>
        <w:br w:type="page"/>
      </w:r>
    </w:p>
    <w:p w14:paraId="6BF2A759" w14:textId="0E563871" w:rsidR="003B74A2" w:rsidRDefault="00D66E15" w:rsidP="00D66E15">
      <w:pPr>
        <w:pStyle w:val="Heading1"/>
      </w:pPr>
      <w:r>
        <w:lastRenderedPageBreak/>
        <w:t>References</w:t>
      </w:r>
    </w:p>
    <w:p w14:paraId="0C7AA40D" w14:textId="1CC00611" w:rsidR="00D66E15" w:rsidRPr="00312AA5" w:rsidRDefault="00D66E15" w:rsidP="00D66E15">
      <w:pPr>
        <w:pStyle w:val="Bibliography"/>
      </w:pPr>
      <w:r>
        <w:fldChar w:fldCharType="begin" w:fldLock="1"/>
      </w:r>
      <w:r>
        <w:instrText xml:space="preserve">ADDIN Mendeley Bibliography CSL_BIBLIOGRAPHY </w:instrText>
      </w:r>
      <w:r>
        <w:fldChar w:fldCharType="separate"/>
      </w:r>
      <w:r w:rsidRPr="00312AA5">
        <w:t>1.</w:t>
      </w:r>
      <w:r w:rsidRPr="00312AA5">
        <w:tab/>
        <w:t xml:space="preserve">Hengl, T. </w:t>
      </w:r>
      <w:r w:rsidRPr="00312AA5">
        <w:rPr>
          <w:i/>
          <w:iCs/>
        </w:rPr>
        <w:t>et al.</w:t>
      </w:r>
      <w:r w:rsidRPr="00312AA5">
        <w:t xml:space="preserve"> Global mapping of potential natural vegetation: An assessment of machine learning algorithms for estimating land potential. </w:t>
      </w:r>
      <w:r w:rsidRPr="00312AA5">
        <w:rPr>
          <w:i/>
          <w:iCs/>
        </w:rPr>
        <w:t>PeerJ</w:t>
      </w:r>
      <w:r w:rsidRPr="00312AA5">
        <w:t xml:space="preserve"> </w:t>
      </w:r>
      <w:r w:rsidRPr="00312AA5">
        <w:rPr>
          <w:b/>
          <w:bCs/>
        </w:rPr>
        <w:t>2018</w:t>
      </w:r>
      <w:r w:rsidRPr="00312AA5">
        <w:t>, 1–36 (2018).</w:t>
      </w:r>
    </w:p>
    <w:p w14:paraId="57F43BEC" w14:textId="77777777" w:rsidR="00D66E15" w:rsidRPr="00312AA5" w:rsidRDefault="00D66E15" w:rsidP="00D66E15">
      <w:pPr>
        <w:pStyle w:val="Bibliography"/>
      </w:pPr>
      <w:r w:rsidRPr="00312AA5">
        <w:t>2.</w:t>
      </w:r>
      <w:r w:rsidRPr="00312AA5">
        <w:tab/>
        <w:t xml:space="preserve">Nguyen, C. T., Vačkářová, D. &amp; Weinzettel, J. Consistent global dataset on biodiversity intactness footprint of agricultural production from 2000 to 2020. </w:t>
      </w:r>
      <w:r w:rsidRPr="00312AA5">
        <w:rPr>
          <w:i/>
          <w:iCs/>
        </w:rPr>
        <w:t>Sci Data</w:t>
      </w:r>
      <w:r w:rsidRPr="00312AA5">
        <w:t xml:space="preserve"> </w:t>
      </w:r>
      <w:r w:rsidRPr="00312AA5">
        <w:rPr>
          <w:b/>
          <w:bCs/>
        </w:rPr>
        <w:t>12</w:t>
      </w:r>
      <w:r w:rsidRPr="00312AA5">
        <w:t>, 1613 (2025).</w:t>
      </w:r>
    </w:p>
    <w:p w14:paraId="4FABA539" w14:textId="77777777" w:rsidR="00D66E15" w:rsidRPr="00312AA5" w:rsidRDefault="00D66E15" w:rsidP="00D66E15">
      <w:pPr>
        <w:pStyle w:val="Bibliography"/>
      </w:pPr>
      <w:r w:rsidRPr="00312AA5">
        <w:t>3.</w:t>
      </w:r>
      <w:r w:rsidRPr="00312AA5">
        <w:tab/>
        <w:t xml:space="preserve">Nguyen, C. T., Vačkářová, D. &amp; Weinzettel, J. Consistent global dataset on biodiversity intactness footprint of agricultural production from 2000 to 2020. </w:t>
      </w:r>
      <w:r w:rsidRPr="00312AA5">
        <w:rPr>
          <w:i/>
          <w:iCs/>
        </w:rPr>
        <w:t>Scientific Data</w:t>
      </w:r>
      <w:r w:rsidRPr="00312AA5">
        <w:t xml:space="preserve"> </w:t>
      </w:r>
      <w:r w:rsidRPr="00312AA5">
        <w:rPr>
          <w:b/>
          <w:bCs/>
        </w:rPr>
        <w:t>12</w:t>
      </w:r>
      <w:r w:rsidRPr="00312AA5">
        <w:t>, 1613 (2025).</w:t>
      </w:r>
    </w:p>
    <w:p w14:paraId="06EE6968" w14:textId="77777777" w:rsidR="00D66E15" w:rsidRPr="00312AA5" w:rsidRDefault="00D66E15" w:rsidP="00D66E15">
      <w:pPr>
        <w:pStyle w:val="Bibliography"/>
      </w:pPr>
      <w:r w:rsidRPr="00312AA5">
        <w:t>4.</w:t>
      </w:r>
      <w:r w:rsidRPr="00312AA5">
        <w:tab/>
        <w:t xml:space="preserve">Gilbert, M. </w:t>
      </w:r>
      <w:r w:rsidRPr="00312AA5">
        <w:rPr>
          <w:i/>
          <w:iCs/>
        </w:rPr>
        <w:t>et al.</w:t>
      </w:r>
      <w:r w:rsidRPr="00312AA5">
        <w:t xml:space="preserve"> Global distribution data for cattle, buffaloes, horses, sheep, goats, pigs, chickens and ducks in 2010. </w:t>
      </w:r>
      <w:r w:rsidRPr="00312AA5">
        <w:rPr>
          <w:i/>
          <w:iCs/>
        </w:rPr>
        <w:t>Scientific Data</w:t>
      </w:r>
      <w:r w:rsidRPr="00312AA5">
        <w:t xml:space="preserve"> </w:t>
      </w:r>
      <w:r w:rsidRPr="00312AA5">
        <w:rPr>
          <w:b/>
          <w:bCs/>
        </w:rPr>
        <w:t>5</w:t>
      </w:r>
      <w:r w:rsidRPr="00312AA5">
        <w:t>, 1–11 (2018).</w:t>
      </w:r>
    </w:p>
    <w:p w14:paraId="034E6B44" w14:textId="77777777" w:rsidR="00D66E15" w:rsidRPr="00312AA5" w:rsidRDefault="00D66E15" w:rsidP="00D66E15">
      <w:pPr>
        <w:pStyle w:val="Bibliography"/>
      </w:pPr>
      <w:r w:rsidRPr="00312AA5">
        <w:t>5.</w:t>
      </w:r>
      <w:r w:rsidRPr="00312AA5">
        <w:tab/>
        <w:t xml:space="preserve">Can, T. N., Vačkářová, D. &amp; Weinzettel, J. Consistent global datasets on Land Use, Biodiversity Intactness Index, and Biodiversity Intactness Footprint of Agricultural Production from 2000 to 2020 [Data set]. </w:t>
      </w:r>
      <w:r w:rsidRPr="00312AA5">
        <w:rPr>
          <w:i/>
          <w:iCs/>
        </w:rPr>
        <w:t>Zenodo</w:t>
      </w:r>
      <w:r w:rsidRPr="00312AA5">
        <w:t xml:space="preserve"> https://doi.org/10.5281/zenodo.17608318 (2025) doi:10.5281/zenodo.17608318.</w:t>
      </w:r>
    </w:p>
    <w:p w14:paraId="7275B0D2" w14:textId="77777777" w:rsidR="00D66E15" w:rsidRPr="00312AA5" w:rsidRDefault="00D66E15" w:rsidP="00D66E15">
      <w:pPr>
        <w:pStyle w:val="Bibliography"/>
      </w:pPr>
      <w:r w:rsidRPr="00312AA5">
        <w:t>6.</w:t>
      </w:r>
      <w:r w:rsidRPr="00312AA5">
        <w:tab/>
        <w:t xml:space="preserve">Mottet, A. </w:t>
      </w:r>
      <w:r w:rsidRPr="00312AA5">
        <w:rPr>
          <w:i/>
          <w:iCs/>
        </w:rPr>
        <w:t>et al.</w:t>
      </w:r>
      <w:r w:rsidRPr="00312AA5">
        <w:t xml:space="preserve"> Livestock: On our plates or eating at our table? A new analysis of the feed/food debate. </w:t>
      </w:r>
      <w:r w:rsidRPr="00312AA5">
        <w:rPr>
          <w:i/>
          <w:iCs/>
        </w:rPr>
        <w:t>Global Food Security</w:t>
      </w:r>
      <w:r w:rsidRPr="00312AA5">
        <w:t xml:space="preserve"> </w:t>
      </w:r>
      <w:r w:rsidRPr="00312AA5">
        <w:rPr>
          <w:b/>
          <w:bCs/>
        </w:rPr>
        <w:t>14</w:t>
      </w:r>
      <w:r w:rsidRPr="00312AA5">
        <w:t>, 1–8 (2017).</w:t>
      </w:r>
    </w:p>
    <w:p w14:paraId="280D4D12" w14:textId="77777777" w:rsidR="00D66E15" w:rsidRPr="00312AA5" w:rsidRDefault="00D66E15" w:rsidP="00D66E15">
      <w:pPr>
        <w:pStyle w:val="Bibliography"/>
      </w:pPr>
      <w:r w:rsidRPr="00312AA5">
        <w:t>7.</w:t>
      </w:r>
      <w:r w:rsidRPr="00312AA5">
        <w:tab/>
        <w:t xml:space="preserve">Ang, B. W. The LMDI approach to decomposition analysis: a practical guide. </w:t>
      </w:r>
      <w:r w:rsidRPr="00312AA5">
        <w:rPr>
          <w:i/>
          <w:iCs/>
        </w:rPr>
        <w:t>Energy Policy</w:t>
      </w:r>
      <w:r w:rsidRPr="00312AA5">
        <w:t xml:space="preserve"> in–press (2004).</w:t>
      </w:r>
    </w:p>
    <w:p w14:paraId="215281C9" w14:textId="77777777" w:rsidR="00D66E15" w:rsidRPr="00312AA5" w:rsidRDefault="00D66E15" w:rsidP="00D66E15">
      <w:pPr>
        <w:pStyle w:val="Bibliography"/>
      </w:pPr>
      <w:r w:rsidRPr="00312AA5">
        <w:t>8.</w:t>
      </w:r>
      <w:r w:rsidRPr="00312AA5">
        <w:tab/>
        <w:t xml:space="preserve">Ang, B. W. &amp; Liu, N. Negative-value problems of the logarithmic mean Divisia index decomposition approach. </w:t>
      </w:r>
      <w:r w:rsidRPr="00312AA5">
        <w:rPr>
          <w:i/>
          <w:iCs/>
        </w:rPr>
        <w:t>Energy Policy</w:t>
      </w:r>
      <w:r w:rsidRPr="00312AA5">
        <w:t xml:space="preserve"> </w:t>
      </w:r>
      <w:r w:rsidRPr="00312AA5">
        <w:rPr>
          <w:b/>
          <w:bCs/>
        </w:rPr>
        <w:t>35</w:t>
      </w:r>
      <w:r w:rsidRPr="00312AA5">
        <w:t>, 739–742 (2007).</w:t>
      </w:r>
    </w:p>
    <w:p w14:paraId="7549B21D" w14:textId="77777777" w:rsidR="00D66E15" w:rsidRPr="00312AA5" w:rsidRDefault="00D66E15" w:rsidP="00D66E15">
      <w:pPr>
        <w:pStyle w:val="Bibliography"/>
      </w:pPr>
      <w:r w:rsidRPr="00312AA5">
        <w:t>9.</w:t>
      </w:r>
      <w:r w:rsidRPr="00312AA5">
        <w:tab/>
        <w:t xml:space="preserve">Su, B. &amp; Ang, B. W. Multiplicative structural decomposition analysis of aggregate embodied energy and emission intensities. </w:t>
      </w:r>
      <w:r w:rsidRPr="00312AA5">
        <w:rPr>
          <w:i/>
          <w:iCs/>
        </w:rPr>
        <w:t>Energy Economics</w:t>
      </w:r>
      <w:r w:rsidRPr="00312AA5">
        <w:t xml:space="preserve"> </w:t>
      </w:r>
      <w:r w:rsidRPr="00312AA5">
        <w:rPr>
          <w:b/>
          <w:bCs/>
        </w:rPr>
        <w:t>65</w:t>
      </w:r>
      <w:r w:rsidRPr="00312AA5">
        <w:t>, 137–147 (2017).</w:t>
      </w:r>
    </w:p>
    <w:p w14:paraId="27430849" w14:textId="77777777" w:rsidR="00D66E15" w:rsidRPr="00312AA5" w:rsidRDefault="00D66E15" w:rsidP="00D66E15">
      <w:pPr>
        <w:pStyle w:val="Bibliography"/>
      </w:pPr>
      <w:r w:rsidRPr="00312AA5">
        <w:lastRenderedPageBreak/>
        <w:t>10.</w:t>
      </w:r>
      <w:r w:rsidRPr="00312AA5">
        <w:tab/>
        <w:t xml:space="preserve">Wang, Z., Su, B., Xie, R. &amp; Long, H. China’s aggregate embodied CO2 emission intensity from 2007 to 2012: A multi-region multiplicative structural decomposition analysis. </w:t>
      </w:r>
      <w:r w:rsidRPr="00312AA5">
        <w:rPr>
          <w:i/>
          <w:iCs/>
        </w:rPr>
        <w:t>Energy Economics</w:t>
      </w:r>
      <w:r w:rsidRPr="00312AA5">
        <w:t xml:space="preserve"> </w:t>
      </w:r>
      <w:r w:rsidRPr="00312AA5">
        <w:rPr>
          <w:b/>
          <w:bCs/>
        </w:rPr>
        <w:t>85</w:t>
      </w:r>
      <w:r w:rsidRPr="00312AA5">
        <w:t>, 104568 (2020).</w:t>
      </w:r>
    </w:p>
    <w:p w14:paraId="5ED780F2" w14:textId="51A194D6" w:rsidR="00D66E15" w:rsidRPr="000A77F0" w:rsidRDefault="00D66E15" w:rsidP="00D66E15">
      <w:r>
        <w:fldChar w:fldCharType="end"/>
      </w:r>
    </w:p>
    <w:sectPr w:rsidR="00D66E15" w:rsidRPr="000A77F0">
      <w:headerReference w:type="default" r:id="rId31"/>
      <w:footerReference w:type="default" r:id="rId32"/>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B45FB" w14:textId="77777777" w:rsidR="00483A3B" w:rsidRPr="000A77F0" w:rsidRDefault="00483A3B" w:rsidP="00B40225">
      <w:r w:rsidRPr="000A77F0">
        <w:separator/>
      </w:r>
    </w:p>
  </w:endnote>
  <w:endnote w:type="continuationSeparator" w:id="0">
    <w:p w14:paraId="579B8129" w14:textId="77777777" w:rsidR="00483A3B" w:rsidRPr="000A77F0" w:rsidRDefault="00483A3B" w:rsidP="00B40225">
      <w:r w:rsidRPr="000A77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69551B08" w:rsidRPr="000A77F0" w14:paraId="75DC7017" w14:textId="77777777" w:rsidTr="69551B08">
      <w:trPr>
        <w:trHeight w:val="300"/>
      </w:trPr>
      <w:tc>
        <w:tcPr>
          <w:tcW w:w="3135" w:type="dxa"/>
        </w:tcPr>
        <w:p w14:paraId="1CC672B1" w14:textId="06C218E0" w:rsidR="69551B08" w:rsidRPr="000A77F0" w:rsidRDefault="69551B08" w:rsidP="00B40225">
          <w:pPr>
            <w:pStyle w:val="Header"/>
          </w:pPr>
        </w:p>
      </w:tc>
      <w:tc>
        <w:tcPr>
          <w:tcW w:w="3135" w:type="dxa"/>
        </w:tcPr>
        <w:p w14:paraId="1DC73062" w14:textId="7B8AD79B" w:rsidR="69551B08" w:rsidRPr="000A77F0" w:rsidRDefault="69551B08" w:rsidP="00B40225">
          <w:pPr>
            <w:pStyle w:val="Header"/>
          </w:pPr>
        </w:p>
      </w:tc>
      <w:tc>
        <w:tcPr>
          <w:tcW w:w="3135" w:type="dxa"/>
        </w:tcPr>
        <w:p w14:paraId="32112B03" w14:textId="04E12BFE" w:rsidR="69551B08" w:rsidRPr="000A77F0" w:rsidRDefault="69551B08" w:rsidP="00B40225">
          <w:pPr>
            <w:pStyle w:val="Header"/>
          </w:pPr>
        </w:p>
      </w:tc>
    </w:tr>
  </w:tbl>
  <w:p w14:paraId="4F7F234F" w14:textId="36A1612C" w:rsidR="69551B08" w:rsidRPr="000A77F0" w:rsidRDefault="69551B08" w:rsidP="00B40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90A0A" w14:textId="77777777" w:rsidR="00483A3B" w:rsidRPr="000A77F0" w:rsidRDefault="00483A3B" w:rsidP="00B40225">
      <w:r w:rsidRPr="000A77F0">
        <w:separator/>
      </w:r>
    </w:p>
  </w:footnote>
  <w:footnote w:type="continuationSeparator" w:id="0">
    <w:p w14:paraId="5A94FA1C" w14:textId="77777777" w:rsidR="00483A3B" w:rsidRPr="000A77F0" w:rsidRDefault="00483A3B" w:rsidP="00B40225">
      <w:r w:rsidRPr="000A77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69551B08" w:rsidRPr="000A77F0" w14:paraId="3FABDABE" w14:textId="77777777" w:rsidTr="69551B08">
      <w:trPr>
        <w:trHeight w:val="300"/>
      </w:trPr>
      <w:tc>
        <w:tcPr>
          <w:tcW w:w="3135" w:type="dxa"/>
        </w:tcPr>
        <w:p w14:paraId="2E7B0579" w14:textId="1D39A31A" w:rsidR="69551B08" w:rsidRPr="000A77F0" w:rsidRDefault="69551B08" w:rsidP="00B40225">
          <w:pPr>
            <w:pStyle w:val="Header"/>
          </w:pPr>
        </w:p>
      </w:tc>
      <w:tc>
        <w:tcPr>
          <w:tcW w:w="3135" w:type="dxa"/>
        </w:tcPr>
        <w:p w14:paraId="091847BB" w14:textId="07C33B90" w:rsidR="69551B08" w:rsidRPr="000A77F0" w:rsidRDefault="69551B08" w:rsidP="00B40225">
          <w:pPr>
            <w:pStyle w:val="Header"/>
          </w:pPr>
        </w:p>
      </w:tc>
      <w:tc>
        <w:tcPr>
          <w:tcW w:w="3135" w:type="dxa"/>
        </w:tcPr>
        <w:p w14:paraId="02E1F0C8" w14:textId="01A0C9CC" w:rsidR="69551B08" w:rsidRPr="000A77F0" w:rsidRDefault="69551B08" w:rsidP="00B40225">
          <w:pPr>
            <w:pStyle w:val="Header"/>
          </w:pPr>
        </w:p>
      </w:tc>
    </w:tr>
  </w:tbl>
  <w:p w14:paraId="679C519F" w14:textId="4F7CC403" w:rsidR="69551B08" w:rsidRPr="000A77F0" w:rsidRDefault="69551B08" w:rsidP="00B40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17F69BA"/>
    <w:multiLevelType w:val="multilevel"/>
    <w:tmpl w:val="3956088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06DB226B"/>
    <w:multiLevelType w:val="hybridMultilevel"/>
    <w:tmpl w:val="59F2257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0515FE6"/>
    <w:multiLevelType w:val="hybridMultilevel"/>
    <w:tmpl w:val="848EB7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382D4744"/>
    <w:multiLevelType w:val="multilevel"/>
    <w:tmpl w:val="9BD4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5A74E"/>
    <w:multiLevelType w:val="hybridMultilevel"/>
    <w:tmpl w:val="289E917E"/>
    <w:lvl w:ilvl="0" w:tplc="F54891C2">
      <w:start w:val="1"/>
      <w:numFmt w:val="lowerLetter"/>
      <w:lvlText w:val="%1."/>
      <w:lvlJc w:val="left"/>
      <w:pPr>
        <w:ind w:left="720" w:hanging="360"/>
      </w:pPr>
    </w:lvl>
    <w:lvl w:ilvl="1" w:tplc="499AE90A">
      <w:start w:val="1"/>
      <w:numFmt w:val="lowerLetter"/>
      <w:lvlText w:val="%2."/>
      <w:lvlJc w:val="left"/>
      <w:pPr>
        <w:ind w:left="1440" w:hanging="360"/>
      </w:pPr>
    </w:lvl>
    <w:lvl w:ilvl="2" w:tplc="C9DA27A4">
      <w:start w:val="1"/>
      <w:numFmt w:val="lowerRoman"/>
      <w:lvlText w:val="%3."/>
      <w:lvlJc w:val="right"/>
      <w:pPr>
        <w:ind w:left="2160" w:hanging="180"/>
      </w:pPr>
    </w:lvl>
    <w:lvl w:ilvl="3" w:tplc="1FC87EAC">
      <w:start w:val="1"/>
      <w:numFmt w:val="decimal"/>
      <w:lvlText w:val="%4."/>
      <w:lvlJc w:val="left"/>
      <w:pPr>
        <w:ind w:left="2880" w:hanging="360"/>
      </w:pPr>
    </w:lvl>
    <w:lvl w:ilvl="4" w:tplc="2C8A12CC">
      <w:start w:val="1"/>
      <w:numFmt w:val="lowerLetter"/>
      <w:lvlText w:val="%5."/>
      <w:lvlJc w:val="left"/>
      <w:pPr>
        <w:ind w:left="3600" w:hanging="360"/>
      </w:pPr>
    </w:lvl>
    <w:lvl w:ilvl="5" w:tplc="8438E288">
      <w:start w:val="1"/>
      <w:numFmt w:val="lowerRoman"/>
      <w:lvlText w:val="%6."/>
      <w:lvlJc w:val="right"/>
      <w:pPr>
        <w:ind w:left="4320" w:hanging="180"/>
      </w:pPr>
    </w:lvl>
    <w:lvl w:ilvl="6" w:tplc="2498687E">
      <w:start w:val="1"/>
      <w:numFmt w:val="decimal"/>
      <w:lvlText w:val="%7."/>
      <w:lvlJc w:val="left"/>
      <w:pPr>
        <w:ind w:left="5040" w:hanging="360"/>
      </w:pPr>
    </w:lvl>
    <w:lvl w:ilvl="7" w:tplc="1102CAD0">
      <w:start w:val="1"/>
      <w:numFmt w:val="lowerLetter"/>
      <w:lvlText w:val="%8."/>
      <w:lvlJc w:val="left"/>
      <w:pPr>
        <w:ind w:left="5760" w:hanging="360"/>
      </w:pPr>
    </w:lvl>
    <w:lvl w:ilvl="8" w:tplc="2AF0B84E">
      <w:start w:val="1"/>
      <w:numFmt w:val="lowerRoman"/>
      <w:lvlText w:val="%9."/>
      <w:lvlJc w:val="right"/>
      <w:pPr>
        <w:ind w:left="6480" w:hanging="180"/>
      </w:pPr>
    </w:lvl>
  </w:abstractNum>
  <w:abstractNum w:abstractNumId="5" w15:restartNumberingAfterBreak="0">
    <w:nsid w:val="4FCE6754"/>
    <w:multiLevelType w:val="multilevel"/>
    <w:tmpl w:val="7B92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3EF072"/>
    <w:multiLevelType w:val="multilevel"/>
    <w:tmpl w:val="CF14EE1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7" w15:restartNumberingAfterBreak="0">
    <w:nsid w:val="58527B6E"/>
    <w:multiLevelType w:val="hybridMultilevel"/>
    <w:tmpl w:val="FED24FE8"/>
    <w:lvl w:ilvl="0" w:tplc="B84E0C80">
      <w:numFmt w:val="bullet"/>
      <w:lvlText w:val="-"/>
      <w:lvlJc w:val="left"/>
      <w:pPr>
        <w:ind w:left="720" w:hanging="360"/>
      </w:pPr>
      <w:rPr>
        <w:rFonts w:ascii="Cambria" w:eastAsiaTheme="minorHAnsi" w:hAnsi="Cambria"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97D5375"/>
    <w:multiLevelType w:val="hybridMultilevel"/>
    <w:tmpl w:val="8640DDFE"/>
    <w:lvl w:ilvl="0" w:tplc="6C80F206">
      <w:start w:val="1"/>
      <w:numFmt w:val="decimal"/>
      <w:lvlText w:val="%1)"/>
      <w:lvlJc w:val="left"/>
      <w:pPr>
        <w:ind w:left="720" w:hanging="360"/>
      </w:pPr>
      <w:rPr>
        <w:rFonts w:asciiTheme="minorHAnsi" w:eastAsiaTheme="minorHAnsi" w:hAnsiTheme="minorHAnsi" w:cstheme="minorBidi" w:hint="default"/>
        <w:b w:val="0"/>
        <w:color w:val="auto"/>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6A37EA"/>
    <w:multiLevelType w:val="hybridMultilevel"/>
    <w:tmpl w:val="8DB8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6D0D38"/>
    <w:multiLevelType w:val="multilevel"/>
    <w:tmpl w:val="A992EA32"/>
    <w:lvl w:ilvl="0">
      <w:start w:val="1"/>
      <w:numFmt w:val="decimal"/>
      <w:lvlText w:val="%1."/>
      <w:lvlJc w:val="left"/>
      <w:pPr>
        <w:tabs>
          <w:tab w:val="num" w:pos="1777"/>
        </w:tabs>
        <w:ind w:left="177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3D3CD0"/>
    <w:multiLevelType w:val="multilevel"/>
    <w:tmpl w:val="7498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5E79F6"/>
    <w:multiLevelType w:val="multilevel"/>
    <w:tmpl w:val="40461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BE73B0"/>
    <w:multiLevelType w:val="hybridMultilevel"/>
    <w:tmpl w:val="9FCE0DB0"/>
    <w:lvl w:ilvl="0" w:tplc="FB7697EC">
      <w:start w:val="4"/>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0121060">
    <w:abstractNumId w:val="4"/>
  </w:num>
  <w:num w:numId="2" w16cid:durableId="792140167">
    <w:abstractNumId w:val="0"/>
  </w:num>
  <w:num w:numId="3" w16cid:durableId="1363289297">
    <w:abstractNumId w:val="6"/>
  </w:num>
  <w:num w:numId="4" w16cid:durableId="1894926259">
    <w:abstractNumId w:val="8"/>
  </w:num>
  <w:num w:numId="5" w16cid:durableId="1997148062">
    <w:abstractNumId w:val="9"/>
  </w:num>
  <w:num w:numId="6" w16cid:durableId="77529698">
    <w:abstractNumId w:val="10"/>
    <w:lvlOverride w:ilvl="0">
      <w:startOverride w:val="1"/>
    </w:lvlOverride>
  </w:num>
  <w:num w:numId="7" w16cid:durableId="687684101">
    <w:abstractNumId w:val="13"/>
  </w:num>
  <w:num w:numId="8" w16cid:durableId="1294096386">
    <w:abstractNumId w:val="1"/>
  </w:num>
  <w:num w:numId="9" w16cid:durableId="1387072904">
    <w:abstractNumId w:val="7"/>
  </w:num>
  <w:num w:numId="10" w16cid:durableId="851917154">
    <w:abstractNumId w:val="5"/>
  </w:num>
  <w:num w:numId="11" w16cid:durableId="9003652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7784350">
    <w:abstractNumId w:val="11"/>
  </w:num>
  <w:num w:numId="13" w16cid:durableId="283538001">
    <w:abstractNumId w:val="3"/>
  </w:num>
  <w:num w:numId="14" w16cid:durableId="5221366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saxs0ps5p0xwezpf8p9arfwewffspeww0x&quot;&gt;Endnote_Richard_x2025&lt;record-ids&gt;&lt;item&gt;9426&lt;/item&gt;&lt;item&gt;9679&lt;/item&gt;&lt;item&gt;9681&lt;/item&gt;&lt;item&gt;9943&lt;/item&gt;&lt;item&gt;9944&lt;/item&gt;&lt;item&gt;9945&lt;/item&gt;&lt;item&gt;9953&lt;/item&gt;&lt;item&gt;9954&lt;/item&gt;&lt;item&gt;9958&lt;/item&gt;&lt;item&gt;9965&lt;/item&gt;&lt;item&gt;10258&lt;/item&gt;&lt;item&gt;10259&lt;/item&gt;&lt;/record-ids&gt;&lt;/item&gt;&lt;/Libraries&gt;"/>
  </w:docVars>
  <w:rsids>
    <w:rsidRoot w:val="00590D07"/>
    <w:rsid w:val="00000399"/>
    <w:rsid w:val="00001558"/>
    <w:rsid w:val="00001BF0"/>
    <w:rsid w:val="00001D27"/>
    <w:rsid w:val="000029BE"/>
    <w:rsid w:val="00002BF5"/>
    <w:rsid w:val="0000385B"/>
    <w:rsid w:val="00006596"/>
    <w:rsid w:val="000068EF"/>
    <w:rsid w:val="00006CF5"/>
    <w:rsid w:val="00006F7C"/>
    <w:rsid w:val="000077DC"/>
    <w:rsid w:val="00010995"/>
    <w:rsid w:val="000116AF"/>
    <w:rsid w:val="00011C8B"/>
    <w:rsid w:val="00014F09"/>
    <w:rsid w:val="00015619"/>
    <w:rsid w:val="000156BC"/>
    <w:rsid w:val="00017F5C"/>
    <w:rsid w:val="00021EAF"/>
    <w:rsid w:val="00021FFE"/>
    <w:rsid w:val="0002292B"/>
    <w:rsid w:val="000234C1"/>
    <w:rsid w:val="00023C16"/>
    <w:rsid w:val="00024731"/>
    <w:rsid w:val="0002622D"/>
    <w:rsid w:val="0003166A"/>
    <w:rsid w:val="000329A6"/>
    <w:rsid w:val="0003512F"/>
    <w:rsid w:val="00036A12"/>
    <w:rsid w:val="00042B62"/>
    <w:rsid w:val="00042D85"/>
    <w:rsid w:val="0004432C"/>
    <w:rsid w:val="00045EB7"/>
    <w:rsid w:val="0004702E"/>
    <w:rsid w:val="00051A9C"/>
    <w:rsid w:val="00052B6E"/>
    <w:rsid w:val="00055981"/>
    <w:rsid w:val="0005605F"/>
    <w:rsid w:val="0005684D"/>
    <w:rsid w:val="00056DDB"/>
    <w:rsid w:val="00060DE9"/>
    <w:rsid w:val="00060E37"/>
    <w:rsid w:val="00061762"/>
    <w:rsid w:val="00064464"/>
    <w:rsid w:val="00064663"/>
    <w:rsid w:val="00065586"/>
    <w:rsid w:val="00065B76"/>
    <w:rsid w:val="00067A47"/>
    <w:rsid w:val="00067B79"/>
    <w:rsid w:val="00067C8F"/>
    <w:rsid w:val="00070CC9"/>
    <w:rsid w:val="000734BE"/>
    <w:rsid w:val="00075B75"/>
    <w:rsid w:val="00075DC0"/>
    <w:rsid w:val="0007700D"/>
    <w:rsid w:val="00081AA5"/>
    <w:rsid w:val="00082098"/>
    <w:rsid w:val="00084647"/>
    <w:rsid w:val="00085376"/>
    <w:rsid w:val="00086CF0"/>
    <w:rsid w:val="00094404"/>
    <w:rsid w:val="00095028"/>
    <w:rsid w:val="00097410"/>
    <w:rsid w:val="000A0499"/>
    <w:rsid w:val="000A155B"/>
    <w:rsid w:val="000A19E3"/>
    <w:rsid w:val="000A2734"/>
    <w:rsid w:val="000A3312"/>
    <w:rsid w:val="000A499F"/>
    <w:rsid w:val="000A5FF3"/>
    <w:rsid w:val="000A6C42"/>
    <w:rsid w:val="000A75A4"/>
    <w:rsid w:val="000A77F0"/>
    <w:rsid w:val="000B095F"/>
    <w:rsid w:val="000B1063"/>
    <w:rsid w:val="000B110F"/>
    <w:rsid w:val="000B3F79"/>
    <w:rsid w:val="000B4408"/>
    <w:rsid w:val="000B468C"/>
    <w:rsid w:val="000B5620"/>
    <w:rsid w:val="000B6B3A"/>
    <w:rsid w:val="000C0C98"/>
    <w:rsid w:val="000C24F7"/>
    <w:rsid w:val="000C33A3"/>
    <w:rsid w:val="000C351B"/>
    <w:rsid w:val="000C3529"/>
    <w:rsid w:val="000C3A40"/>
    <w:rsid w:val="000C4654"/>
    <w:rsid w:val="000C5D61"/>
    <w:rsid w:val="000D2AFC"/>
    <w:rsid w:val="000D3384"/>
    <w:rsid w:val="000D3467"/>
    <w:rsid w:val="000D5073"/>
    <w:rsid w:val="000D6390"/>
    <w:rsid w:val="000D6A84"/>
    <w:rsid w:val="000D747A"/>
    <w:rsid w:val="000E07CE"/>
    <w:rsid w:val="000E1735"/>
    <w:rsid w:val="000E1E4B"/>
    <w:rsid w:val="000E30D3"/>
    <w:rsid w:val="000E3E01"/>
    <w:rsid w:val="000E6F63"/>
    <w:rsid w:val="000E70B2"/>
    <w:rsid w:val="000E7A8B"/>
    <w:rsid w:val="000F0AA2"/>
    <w:rsid w:val="000F1315"/>
    <w:rsid w:val="000F548E"/>
    <w:rsid w:val="000F5544"/>
    <w:rsid w:val="000F55EE"/>
    <w:rsid w:val="000F6E09"/>
    <w:rsid w:val="000F734D"/>
    <w:rsid w:val="000F7E54"/>
    <w:rsid w:val="001010B5"/>
    <w:rsid w:val="0010257C"/>
    <w:rsid w:val="00103921"/>
    <w:rsid w:val="0010694F"/>
    <w:rsid w:val="0010785B"/>
    <w:rsid w:val="00110C77"/>
    <w:rsid w:val="00110E9E"/>
    <w:rsid w:val="0011147D"/>
    <w:rsid w:val="00111E5C"/>
    <w:rsid w:val="00112260"/>
    <w:rsid w:val="00112A18"/>
    <w:rsid w:val="0011343C"/>
    <w:rsid w:val="00116A80"/>
    <w:rsid w:val="00120006"/>
    <w:rsid w:val="00120FC7"/>
    <w:rsid w:val="001211E2"/>
    <w:rsid w:val="001240DF"/>
    <w:rsid w:val="00125066"/>
    <w:rsid w:val="00125155"/>
    <w:rsid w:val="00125C2B"/>
    <w:rsid w:val="00126DED"/>
    <w:rsid w:val="0012739E"/>
    <w:rsid w:val="00130959"/>
    <w:rsid w:val="0013155A"/>
    <w:rsid w:val="0013162A"/>
    <w:rsid w:val="00132B4F"/>
    <w:rsid w:val="00133033"/>
    <w:rsid w:val="0013387B"/>
    <w:rsid w:val="001353E0"/>
    <w:rsid w:val="00135B41"/>
    <w:rsid w:val="00135F1A"/>
    <w:rsid w:val="00136E2D"/>
    <w:rsid w:val="00140368"/>
    <w:rsid w:val="001407E0"/>
    <w:rsid w:val="00141698"/>
    <w:rsid w:val="0014448F"/>
    <w:rsid w:val="0014617C"/>
    <w:rsid w:val="0014673E"/>
    <w:rsid w:val="00146DA8"/>
    <w:rsid w:val="00150A4A"/>
    <w:rsid w:val="001512A9"/>
    <w:rsid w:val="00152E2E"/>
    <w:rsid w:val="001569F7"/>
    <w:rsid w:val="00162611"/>
    <w:rsid w:val="00164363"/>
    <w:rsid w:val="00166015"/>
    <w:rsid w:val="00166981"/>
    <w:rsid w:val="0017026E"/>
    <w:rsid w:val="0017277E"/>
    <w:rsid w:val="00172871"/>
    <w:rsid w:val="00173DEE"/>
    <w:rsid w:val="00176200"/>
    <w:rsid w:val="00177B38"/>
    <w:rsid w:val="00180904"/>
    <w:rsid w:val="00181546"/>
    <w:rsid w:val="00181CE8"/>
    <w:rsid w:val="0018367C"/>
    <w:rsid w:val="001848CE"/>
    <w:rsid w:val="0018569B"/>
    <w:rsid w:val="001870A4"/>
    <w:rsid w:val="001915EC"/>
    <w:rsid w:val="00191BFB"/>
    <w:rsid w:val="001923CD"/>
    <w:rsid w:val="001957F1"/>
    <w:rsid w:val="001970BD"/>
    <w:rsid w:val="001974C0"/>
    <w:rsid w:val="001A0179"/>
    <w:rsid w:val="001A2FD8"/>
    <w:rsid w:val="001A4734"/>
    <w:rsid w:val="001A486A"/>
    <w:rsid w:val="001A5A12"/>
    <w:rsid w:val="001A6CF3"/>
    <w:rsid w:val="001A7BA2"/>
    <w:rsid w:val="001B0F8E"/>
    <w:rsid w:val="001B158B"/>
    <w:rsid w:val="001B22EE"/>
    <w:rsid w:val="001B2982"/>
    <w:rsid w:val="001B2C85"/>
    <w:rsid w:val="001B391F"/>
    <w:rsid w:val="001B4472"/>
    <w:rsid w:val="001B5509"/>
    <w:rsid w:val="001B6E40"/>
    <w:rsid w:val="001B782D"/>
    <w:rsid w:val="001B7926"/>
    <w:rsid w:val="001C083D"/>
    <w:rsid w:val="001C3713"/>
    <w:rsid w:val="001C55B1"/>
    <w:rsid w:val="001D14EE"/>
    <w:rsid w:val="001D1C53"/>
    <w:rsid w:val="001D3526"/>
    <w:rsid w:val="001D4F23"/>
    <w:rsid w:val="001D5BD0"/>
    <w:rsid w:val="001D71DE"/>
    <w:rsid w:val="001E1E64"/>
    <w:rsid w:val="001E1FEA"/>
    <w:rsid w:val="001E2561"/>
    <w:rsid w:val="001E35C2"/>
    <w:rsid w:val="001F0618"/>
    <w:rsid w:val="001F147D"/>
    <w:rsid w:val="001F163B"/>
    <w:rsid w:val="001F1DDE"/>
    <w:rsid w:val="001F260A"/>
    <w:rsid w:val="001F35DB"/>
    <w:rsid w:val="001F394F"/>
    <w:rsid w:val="001F3A95"/>
    <w:rsid w:val="001F610D"/>
    <w:rsid w:val="0020079F"/>
    <w:rsid w:val="00200A9F"/>
    <w:rsid w:val="00202CA9"/>
    <w:rsid w:val="002030A4"/>
    <w:rsid w:val="002036A2"/>
    <w:rsid w:val="00203C9E"/>
    <w:rsid w:val="00203E90"/>
    <w:rsid w:val="0020530F"/>
    <w:rsid w:val="00205E95"/>
    <w:rsid w:val="00206D5F"/>
    <w:rsid w:val="00210180"/>
    <w:rsid w:val="002117D1"/>
    <w:rsid w:val="002125E0"/>
    <w:rsid w:val="00212B84"/>
    <w:rsid w:val="00212FC4"/>
    <w:rsid w:val="0021363B"/>
    <w:rsid w:val="00215E0D"/>
    <w:rsid w:val="00216122"/>
    <w:rsid w:val="00222028"/>
    <w:rsid w:val="00223039"/>
    <w:rsid w:val="0022372C"/>
    <w:rsid w:val="00225347"/>
    <w:rsid w:val="00225812"/>
    <w:rsid w:val="00231A82"/>
    <w:rsid w:val="00233A0D"/>
    <w:rsid w:val="00235791"/>
    <w:rsid w:val="00237E9A"/>
    <w:rsid w:val="00240936"/>
    <w:rsid w:val="00246AC2"/>
    <w:rsid w:val="00247296"/>
    <w:rsid w:val="00250ECF"/>
    <w:rsid w:val="00253D47"/>
    <w:rsid w:val="00254793"/>
    <w:rsid w:val="00254E3D"/>
    <w:rsid w:val="00254F6D"/>
    <w:rsid w:val="00255EC7"/>
    <w:rsid w:val="0025688D"/>
    <w:rsid w:val="00256DF8"/>
    <w:rsid w:val="002609DE"/>
    <w:rsid w:val="00260B37"/>
    <w:rsid w:val="002610C8"/>
    <w:rsid w:val="0026116B"/>
    <w:rsid w:val="002615C6"/>
    <w:rsid w:val="0026186C"/>
    <w:rsid w:val="00261D41"/>
    <w:rsid w:val="00263D64"/>
    <w:rsid w:val="00266C59"/>
    <w:rsid w:val="00266F98"/>
    <w:rsid w:val="002708B6"/>
    <w:rsid w:val="00272302"/>
    <w:rsid w:val="0027245C"/>
    <w:rsid w:val="00272543"/>
    <w:rsid w:val="002730EC"/>
    <w:rsid w:val="00274802"/>
    <w:rsid w:val="00275F2E"/>
    <w:rsid w:val="002760AB"/>
    <w:rsid w:val="00276814"/>
    <w:rsid w:val="00276F9E"/>
    <w:rsid w:val="00277147"/>
    <w:rsid w:val="002820DB"/>
    <w:rsid w:val="0029219B"/>
    <w:rsid w:val="00294003"/>
    <w:rsid w:val="00294181"/>
    <w:rsid w:val="00294794"/>
    <w:rsid w:val="002959B4"/>
    <w:rsid w:val="00297656"/>
    <w:rsid w:val="002A15B8"/>
    <w:rsid w:val="002A3AEB"/>
    <w:rsid w:val="002A3EBD"/>
    <w:rsid w:val="002A4470"/>
    <w:rsid w:val="002A4CFA"/>
    <w:rsid w:val="002A5D73"/>
    <w:rsid w:val="002A6DDB"/>
    <w:rsid w:val="002B02EB"/>
    <w:rsid w:val="002B0BFC"/>
    <w:rsid w:val="002B31BD"/>
    <w:rsid w:val="002B484A"/>
    <w:rsid w:val="002B51C6"/>
    <w:rsid w:val="002B6FB9"/>
    <w:rsid w:val="002C0411"/>
    <w:rsid w:val="002C074B"/>
    <w:rsid w:val="002C27CB"/>
    <w:rsid w:val="002C3994"/>
    <w:rsid w:val="002C4721"/>
    <w:rsid w:val="002D05D3"/>
    <w:rsid w:val="002D15EA"/>
    <w:rsid w:val="002D2295"/>
    <w:rsid w:val="002D362A"/>
    <w:rsid w:val="002D7231"/>
    <w:rsid w:val="002E09A7"/>
    <w:rsid w:val="002E2898"/>
    <w:rsid w:val="002E2DE3"/>
    <w:rsid w:val="002E650A"/>
    <w:rsid w:val="002E69DC"/>
    <w:rsid w:val="002E7611"/>
    <w:rsid w:val="002F0FBB"/>
    <w:rsid w:val="002F1B15"/>
    <w:rsid w:val="002F239C"/>
    <w:rsid w:val="002F52EA"/>
    <w:rsid w:val="002F5BD0"/>
    <w:rsid w:val="002F6091"/>
    <w:rsid w:val="0030007C"/>
    <w:rsid w:val="00300A3E"/>
    <w:rsid w:val="00301E60"/>
    <w:rsid w:val="00302048"/>
    <w:rsid w:val="003044D1"/>
    <w:rsid w:val="00306DA2"/>
    <w:rsid w:val="00312AA5"/>
    <w:rsid w:val="00313153"/>
    <w:rsid w:val="0031411D"/>
    <w:rsid w:val="00316581"/>
    <w:rsid w:val="003212D4"/>
    <w:rsid w:val="003213FB"/>
    <w:rsid w:val="00326CD8"/>
    <w:rsid w:val="003276BD"/>
    <w:rsid w:val="00331A00"/>
    <w:rsid w:val="0033280C"/>
    <w:rsid w:val="00334191"/>
    <w:rsid w:val="0033557E"/>
    <w:rsid w:val="00335821"/>
    <w:rsid w:val="00342D26"/>
    <w:rsid w:val="00342EB0"/>
    <w:rsid w:val="003440C8"/>
    <w:rsid w:val="00345062"/>
    <w:rsid w:val="0034574B"/>
    <w:rsid w:val="00346412"/>
    <w:rsid w:val="0034768B"/>
    <w:rsid w:val="00347D01"/>
    <w:rsid w:val="0035006D"/>
    <w:rsid w:val="003500C6"/>
    <w:rsid w:val="00350CE5"/>
    <w:rsid w:val="00350FBE"/>
    <w:rsid w:val="0035242C"/>
    <w:rsid w:val="003542E3"/>
    <w:rsid w:val="003548E7"/>
    <w:rsid w:val="00355364"/>
    <w:rsid w:val="003612D6"/>
    <w:rsid w:val="00361E62"/>
    <w:rsid w:val="003621B8"/>
    <w:rsid w:val="00362333"/>
    <w:rsid w:val="003623A2"/>
    <w:rsid w:val="003625D9"/>
    <w:rsid w:val="00362AAC"/>
    <w:rsid w:val="00363D3A"/>
    <w:rsid w:val="003654D7"/>
    <w:rsid w:val="00365F91"/>
    <w:rsid w:val="00366DEF"/>
    <w:rsid w:val="00370CE3"/>
    <w:rsid w:val="00372B66"/>
    <w:rsid w:val="00372DDF"/>
    <w:rsid w:val="0037514C"/>
    <w:rsid w:val="0037721D"/>
    <w:rsid w:val="00382A7C"/>
    <w:rsid w:val="00384DB4"/>
    <w:rsid w:val="003855CE"/>
    <w:rsid w:val="00385DD3"/>
    <w:rsid w:val="00390C38"/>
    <w:rsid w:val="00392F62"/>
    <w:rsid w:val="0039396E"/>
    <w:rsid w:val="0039459B"/>
    <w:rsid w:val="003948FC"/>
    <w:rsid w:val="00394EF8"/>
    <w:rsid w:val="00397492"/>
    <w:rsid w:val="003A01C7"/>
    <w:rsid w:val="003A1071"/>
    <w:rsid w:val="003A18F3"/>
    <w:rsid w:val="003A1FFD"/>
    <w:rsid w:val="003A28D9"/>
    <w:rsid w:val="003A387D"/>
    <w:rsid w:val="003A6192"/>
    <w:rsid w:val="003A6B91"/>
    <w:rsid w:val="003B13CE"/>
    <w:rsid w:val="003B4128"/>
    <w:rsid w:val="003B4A08"/>
    <w:rsid w:val="003B4F60"/>
    <w:rsid w:val="003B4F78"/>
    <w:rsid w:val="003B5227"/>
    <w:rsid w:val="003B6685"/>
    <w:rsid w:val="003B74A2"/>
    <w:rsid w:val="003B7FE2"/>
    <w:rsid w:val="003C0DE9"/>
    <w:rsid w:val="003C3355"/>
    <w:rsid w:val="003C38A4"/>
    <w:rsid w:val="003C4102"/>
    <w:rsid w:val="003C4B1F"/>
    <w:rsid w:val="003C57BF"/>
    <w:rsid w:val="003C7F58"/>
    <w:rsid w:val="003D015E"/>
    <w:rsid w:val="003D2168"/>
    <w:rsid w:val="003D336B"/>
    <w:rsid w:val="003D62BF"/>
    <w:rsid w:val="003E079A"/>
    <w:rsid w:val="003E48A2"/>
    <w:rsid w:val="003F038D"/>
    <w:rsid w:val="003F2578"/>
    <w:rsid w:val="003F323B"/>
    <w:rsid w:val="003F45E4"/>
    <w:rsid w:val="003F4657"/>
    <w:rsid w:val="003F48B1"/>
    <w:rsid w:val="003F4DC1"/>
    <w:rsid w:val="003F7F2D"/>
    <w:rsid w:val="004006C8"/>
    <w:rsid w:val="00404574"/>
    <w:rsid w:val="004047E6"/>
    <w:rsid w:val="00404955"/>
    <w:rsid w:val="0040599D"/>
    <w:rsid w:val="004069D0"/>
    <w:rsid w:val="004105AA"/>
    <w:rsid w:val="004114BC"/>
    <w:rsid w:val="00411F2C"/>
    <w:rsid w:val="0041233C"/>
    <w:rsid w:val="0041436F"/>
    <w:rsid w:val="004146E3"/>
    <w:rsid w:val="00417BA0"/>
    <w:rsid w:val="00420FF2"/>
    <w:rsid w:val="00421DFF"/>
    <w:rsid w:val="00422230"/>
    <w:rsid w:val="004237AC"/>
    <w:rsid w:val="0042705C"/>
    <w:rsid w:val="00427B01"/>
    <w:rsid w:val="00430276"/>
    <w:rsid w:val="004327D0"/>
    <w:rsid w:val="00434406"/>
    <w:rsid w:val="00435687"/>
    <w:rsid w:val="004356FE"/>
    <w:rsid w:val="004359CB"/>
    <w:rsid w:val="00441037"/>
    <w:rsid w:val="004431BE"/>
    <w:rsid w:val="004452B4"/>
    <w:rsid w:val="00446A7D"/>
    <w:rsid w:val="004504D5"/>
    <w:rsid w:val="00450C88"/>
    <w:rsid w:val="00450F35"/>
    <w:rsid w:val="00451013"/>
    <w:rsid w:val="004517AA"/>
    <w:rsid w:val="004553F4"/>
    <w:rsid w:val="004556C4"/>
    <w:rsid w:val="004567E6"/>
    <w:rsid w:val="00456D50"/>
    <w:rsid w:val="00462AB0"/>
    <w:rsid w:val="004631EF"/>
    <w:rsid w:val="0046754A"/>
    <w:rsid w:val="00471F5E"/>
    <w:rsid w:val="00474F10"/>
    <w:rsid w:val="0048139D"/>
    <w:rsid w:val="00481AEE"/>
    <w:rsid w:val="00481D73"/>
    <w:rsid w:val="00482777"/>
    <w:rsid w:val="00483A3B"/>
    <w:rsid w:val="00484A1E"/>
    <w:rsid w:val="00484D6F"/>
    <w:rsid w:val="004851C9"/>
    <w:rsid w:val="004913CA"/>
    <w:rsid w:val="004923BF"/>
    <w:rsid w:val="00492DC4"/>
    <w:rsid w:val="00494E66"/>
    <w:rsid w:val="00495B2C"/>
    <w:rsid w:val="0049613A"/>
    <w:rsid w:val="004966C9"/>
    <w:rsid w:val="0049739E"/>
    <w:rsid w:val="004A1C42"/>
    <w:rsid w:val="004A2BAC"/>
    <w:rsid w:val="004A3662"/>
    <w:rsid w:val="004A429E"/>
    <w:rsid w:val="004A4A18"/>
    <w:rsid w:val="004A5F52"/>
    <w:rsid w:val="004A67C4"/>
    <w:rsid w:val="004A7B21"/>
    <w:rsid w:val="004B02D7"/>
    <w:rsid w:val="004B1980"/>
    <w:rsid w:val="004B1BC2"/>
    <w:rsid w:val="004B224F"/>
    <w:rsid w:val="004B2544"/>
    <w:rsid w:val="004B275B"/>
    <w:rsid w:val="004B4C9E"/>
    <w:rsid w:val="004B5E34"/>
    <w:rsid w:val="004B62B3"/>
    <w:rsid w:val="004B69C5"/>
    <w:rsid w:val="004B74B3"/>
    <w:rsid w:val="004B7872"/>
    <w:rsid w:val="004C1AAD"/>
    <w:rsid w:val="004C35B1"/>
    <w:rsid w:val="004C4C1F"/>
    <w:rsid w:val="004C5331"/>
    <w:rsid w:val="004D0F44"/>
    <w:rsid w:val="004D3993"/>
    <w:rsid w:val="004D3C21"/>
    <w:rsid w:val="004D5D52"/>
    <w:rsid w:val="004D7933"/>
    <w:rsid w:val="004D7938"/>
    <w:rsid w:val="004E116F"/>
    <w:rsid w:val="004E16A8"/>
    <w:rsid w:val="004E20E9"/>
    <w:rsid w:val="004E29B3"/>
    <w:rsid w:val="004E3AA8"/>
    <w:rsid w:val="004E3E48"/>
    <w:rsid w:val="004E48DD"/>
    <w:rsid w:val="004E7AA8"/>
    <w:rsid w:val="004F0155"/>
    <w:rsid w:val="004F2C69"/>
    <w:rsid w:val="004F372B"/>
    <w:rsid w:val="004F5110"/>
    <w:rsid w:val="004F6EE4"/>
    <w:rsid w:val="005000BE"/>
    <w:rsid w:val="005027E0"/>
    <w:rsid w:val="005028C9"/>
    <w:rsid w:val="00505079"/>
    <w:rsid w:val="00507BBB"/>
    <w:rsid w:val="00510981"/>
    <w:rsid w:val="00512305"/>
    <w:rsid w:val="00512EF4"/>
    <w:rsid w:val="00514CBB"/>
    <w:rsid w:val="00516A21"/>
    <w:rsid w:val="005174B6"/>
    <w:rsid w:val="00523016"/>
    <w:rsid w:val="005232F0"/>
    <w:rsid w:val="00525351"/>
    <w:rsid w:val="00525F20"/>
    <w:rsid w:val="0052654E"/>
    <w:rsid w:val="005274E7"/>
    <w:rsid w:val="00532592"/>
    <w:rsid w:val="00532C24"/>
    <w:rsid w:val="005333A9"/>
    <w:rsid w:val="00534722"/>
    <w:rsid w:val="005353DB"/>
    <w:rsid w:val="005368A0"/>
    <w:rsid w:val="005431E3"/>
    <w:rsid w:val="00545ED2"/>
    <w:rsid w:val="005467EA"/>
    <w:rsid w:val="005472E6"/>
    <w:rsid w:val="005510F9"/>
    <w:rsid w:val="00551324"/>
    <w:rsid w:val="00552089"/>
    <w:rsid w:val="005523C7"/>
    <w:rsid w:val="00552690"/>
    <w:rsid w:val="005526CD"/>
    <w:rsid w:val="00553305"/>
    <w:rsid w:val="005564B4"/>
    <w:rsid w:val="0055749B"/>
    <w:rsid w:val="005577A8"/>
    <w:rsid w:val="0056066B"/>
    <w:rsid w:val="00560E6C"/>
    <w:rsid w:val="0056263E"/>
    <w:rsid w:val="005666A8"/>
    <w:rsid w:val="00570703"/>
    <w:rsid w:val="00572530"/>
    <w:rsid w:val="005737AF"/>
    <w:rsid w:val="00573E00"/>
    <w:rsid w:val="00575054"/>
    <w:rsid w:val="00575463"/>
    <w:rsid w:val="00575518"/>
    <w:rsid w:val="00576906"/>
    <w:rsid w:val="00577B8A"/>
    <w:rsid w:val="00581E9F"/>
    <w:rsid w:val="00582B93"/>
    <w:rsid w:val="005841CD"/>
    <w:rsid w:val="005863D3"/>
    <w:rsid w:val="00586810"/>
    <w:rsid w:val="00590D07"/>
    <w:rsid w:val="00591063"/>
    <w:rsid w:val="00591C3A"/>
    <w:rsid w:val="005928D4"/>
    <w:rsid w:val="005929F5"/>
    <w:rsid w:val="005958AC"/>
    <w:rsid w:val="005961B1"/>
    <w:rsid w:val="0059659C"/>
    <w:rsid w:val="005972EE"/>
    <w:rsid w:val="00597592"/>
    <w:rsid w:val="005A1A3A"/>
    <w:rsid w:val="005A352B"/>
    <w:rsid w:val="005A48A1"/>
    <w:rsid w:val="005A54EE"/>
    <w:rsid w:val="005A6007"/>
    <w:rsid w:val="005A6A2C"/>
    <w:rsid w:val="005B022E"/>
    <w:rsid w:val="005B0A59"/>
    <w:rsid w:val="005B2415"/>
    <w:rsid w:val="005B24E4"/>
    <w:rsid w:val="005B4428"/>
    <w:rsid w:val="005B4BA0"/>
    <w:rsid w:val="005C03CA"/>
    <w:rsid w:val="005C08DB"/>
    <w:rsid w:val="005C1F24"/>
    <w:rsid w:val="005C26B8"/>
    <w:rsid w:val="005C29EA"/>
    <w:rsid w:val="005C2F10"/>
    <w:rsid w:val="005C3AED"/>
    <w:rsid w:val="005C3B79"/>
    <w:rsid w:val="005C4B6C"/>
    <w:rsid w:val="005C4C10"/>
    <w:rsid w:val="005C5341"/>
    <w:rsid w:val="005C7D63"/>
    <w:rsid w:val="005D21D5"/>
    <w:rsid w:val="005D27E0"/>
    <w:rsid w:val="005D3710"/>
    <w:rsid w:val="005D47C1"/>
    <w:rsid w:val="005D65A4"/>
    <w:rsid w:val="005D6820"/>
    <w:rsid w:val="005D692E"/>
    <w:rsid w:val="005D6DB0"/>
    <w:rsid w:val="005E0C8A"/>
    <w:rsid w:val="005E5485"/>
    <w:rsid w:val="005E568D"/>
    <w:rsid w:val="005E6536"/>
    <w:rsid w:val="005E6715"/>
    <w:rsid w:val="005E6AA0"/>
    <w:rsid w:val="005E7CBA"/>
    <w:rsid w:val="005F134E"/>
    <w:rsid w:val="005F1490"/>
    <w:rsid w:val="005F1B09"/>
    <w:rsid w:val="005F1E7F"/>
    <w:rsid w:val="005F2B7C"/>
    <w:rsid w:val="005F30CD"/>
    <w:rsid w:val="005F359A"/>
    <w:rsid w:val="005F424D"/>
    <w:rsid w:val="005F46AB"/>
    <w:rsid w:val="005F562C"/>
    <w:rsid w:val="005F715F"/>
    <w:rsid w:val="005F7B71"/>
    <w:rsid w:val="005F7D7D"/>
    <w:rsid w:val="0060048C"/>
    <w:rsid w:val="006008B6"/>
    <w:rsid w:val="00603A37"/>
    <w:rsid w:val="00604C91"/>
    <w:rsid w:val="00604D52"/>
    <w:rsid w:val="00606B5E"/>
    <w:rsid w:val="00606BF3"/>
    <w:rsid w:val="006102B1"/>
    <w:rsid w:val="0061054D"/>
    <w:rsid w:val="00611895"/>
    <w:rsid w:val="00612C33"/>
    <w:rsid w:val="00613F4E"/>
    <w:rsid w:val="00614817"/>
    <w:rsid w:val="00614CBD"/>
    <w:rsid w:val="0061755F"/>
    <w:rsid w:val="00617C77"/>
    <w:rsid w:val="00620796"/>
    <w:rsid w:val="00622241"/>
    <w:rsid w:val="006240A4"/>
    <w:rsid w:val="00624BAB"/>
    <w:rsid w:val="00625FAE"/>
    <w:rsid w:val="00626553"/>
    <w:rsid w:val="00626BF2"/>
    <w:rsid w:val="00627B64"/>
    <w:rsid w:val="00627F77"/>
    <w:rsid w:val="006317E8"/>
    <w:rsid w:val="00632845"/>
    <w:rsid w:val="00632CC7"/>
    <w:rsid w:val="00633766"/>
    <w:rsid w:val="006357B9"/>
    <w:rsid w:val="006361F3"/>
    <w:rsid w:val="006401B3"/>
    <w:rsid w:val="00642318"/>
    <w:rsid w:val="006426D5"/>
    <w:rsid w:val="00647EFC"/>
    <w:rsid w:val="006505AD"/>
    <w:rsid w:val="00653B68"/>
    <w:rsid w:val="00654EAF"/>
    <w:rsid w:val="00655888"/>
    <w:rsid w:val="00656A9D"/>
    <w:rsid w:val="00660CEE"/>
    <w:rsid w:val="00661B44"/>
    <w:rsid w:val="0066337D"/>
    <w:rsid w:val="00664F63"/>
    <w:rsid w:val="00665AB8"/>
    <w:rsid w:val="0066684E"/>
    <w:rsid w:val="0066734B"/>
    <w:rsid w:val="00671F0E"/>
    <w:rsid w:val="00672909"/>
    <w:rsid w:val="00673A83"/>
    <w:rsid w:val="006741B0"/>
    <w:rsid w:val="00674FCF"/>
    <w:rsid w:val="00675B45"/>
    <w:rsid w:val="006769B6"/>
    <w:rsid w:val="00684BF4"/>
    <w:rsid w:val="006853E6"/>
    <w:rsid w:val="00685C72"/>
    <w:rsid w:val="006862BC"/>
    <w:rsid w:val="006863F8"/>
    <w:rsid w:val="00686E2A"/>
    <w:rsid w:val="00686E55"/>
    <w:rsid w:val="006903E5"/>
    <w:rsid w:val="00691F50"/>
    <w:rsid w:val="00692698"/>
    <w:rsid w:val="0069422D"/>
    <w:rsid w:val="00697D0D"/>
    <w:rsid w:val="006A18E3"/>
    <w:rsid w:val="006A1D40"/>
    <w:rsid w:val="006A23A0"/>
    <w:rsid w:val="006A257D"/>
    <w:rsid w:val="006A2B7F"/>
    <w:rsid w:val="006A2F42"/>
    <w:rsid w:val="006A3696"/>
    <w:rsid w:val="006A40A4"/>
    <w:rsid w:val="006A6F8A"/>
    <w:rsid w:val="006A73EA"/>
    <w:rsid w:val="006B0EB9"/>
    <w:rsid w:val="006B235A"/>
    <w:rsid w:val="006B2D9D"/>
    <w:rsid w:val="006B2E95"/>
    <w:rsid w:val="006B3DE5"/>
    <w:rsid w:val="006B5D35"/>
    <w:rsid w:val="006B61BB"/>
    <w:rsid w:val="006B68D6"/>
    <w:rsid w:val="006C02BC"/>
    <w:rsid w:val="006C2368"/>
    <w:rsid w:val="006C3660"/>
    <w:rsid w:val="006C44B8"/>
    <w:rsid w:val="006C473E"/>
    <w:rsid w:val="006C506E"/>
    <w:rsid w:val="006C5403"/>
    <w:rsid w:val="006C5E8C"/>
    <w:rsid w:val="006C636B"/>
    <w:rsid w:val="006C6DF3"/>
    <w:rsid w:val="006C78B8"/>
    <w:rsid w:val="006D3841"/>
    <w:rsid w:val="006D3A58"/>
    <w:rsid w:val="006D547C"/>
    <w:rsid w:val="006E3201"/>
    <w:rsid w:val="006E397B"/>
    <w:rsid w:val="006E4592"/>
    <w:rsid w:val="006E6F13"/>
    <w:rsid w:val="006E7867"/>
    <w:rsid w:val="006F0667"/>
    <w:rsid w:val="006F1F3B"/>
    <w:rsid w:val="006F2DC6"/>
    <w:rsid w:val="006F45FE"/>
    <w:rsid w:val="006F4ECF"/>
    <w:rsid w:val="006F5CAF"/>
    <w:rsid w:val="006F5F4C"/>
    <w:rsid w:val="006F6AB3"/>
    <w:rsid w:val="006F6B63"/>
    <w:rsid w:val="007002FE"/>
    <w:rsid w:val="00701882"/>
    <w:rsid w:val="00702825"/>
    <w:rsid w:val="00703ACE"/>
    <w:rsid w:val="00704017"/>
    <w:rsid w:val="0070402C"/>
    <w:rsid w:val="00704800"/>
    <w:rsid w:val="00706D02"/>
    <w:rsid w:val="00707897"/>
    <w:rsid w:val="00707BA1"/>
    <w:rsid w:val="00707D31"/>
    <w:rsid w:val="0071012A"/>
    <w:rsid w:val="00712413"/>
    <w:rsid w:val="00712613"/>
    <w:rsid w:val="0071266B"/>
    <w:rsid w:val="00712F5B"/>
    <w:rsid w:val="0071505F"/>
    <w:rsid w:val="007159DA"/>
    <w:rsid w:val="00716BEF"/>
    <w:rsid w:val="00716CE4"/>
    <w:rsid w:val="00717503"/>
    <w:rsid w:val="007212E8"/>
    <w:rsid w:val="00721590"/>
    <w:rsid w:val="00721ABE"/>
    <w:rsid w:val="00722596"/>
    <w:rsid w:val="0072286E"/>
    <w:rsid w:val="00724EA4"/>
    <w:rsid w:val="007254C2"/>
    <w:rsid w:val="007266FF"/>
    <w:rsid w:val="007319C9"/>
    <w:rsid w:val="00731D7D"/>
    <w:rsid w:val="00732485"/>
    <w:rsid w:val="0073329F"/>
    <w:rsid w:val="00736CBA"/>
    <w:rsid w:val="0074022B"/>
    <w:rsid w:val="00740599"/>
    <w:rsid w:val="00740652"/>
    <w:rsid w:val="00742848"/>
    <w:rsid w:val="0074318F"/>
    <w:rsid w:val="00744A7D"/>
    <w:rsid w:val="00744AD8"/>
    <w:rsid w:val="00745A77"/>
    <w:rsid w:val="00745ACB"/>
    <w:rsid w:val="00745E87"/>
    <w:rsid w:val="00746386"/>
    <w:rsid w:val="00746A10"/>
    <w:rsid w:val="007501BB"/>
    <w:rsid w:val="00750377"/>
    <w:rsid w:val="007532C5"/>
    <w:rsid w:val="00753ED7"/>
    <w:rsid w:val="00753F1A"/>
    <w:rsid w:val="007543CA"/>
    <w:rsid w:val="0075611B"/>
    <w:rsid w:val="00756E54"/>
    <w:rsid w:val="00757460"/>
    <w:rsid w:val="00757C86"/>
    <w:rsid w:val="007600D0"/>
    <w:rsid w:val="00760EFC"/>
    <w:rsid w:val="007618C9"/>
    <w:rsid w:val="00762D97"/>
    <w:rsid w:val="0076317B"/>
    <w:rsid w:val="0076360E"/>
    <w:rsid w:val="00763B66"/>
    <w:rsid w:val="007652DA"/>
    <w:rsid w:val="00766628"/>
    <w:rsid w:val="00766714"/>
    <w:rsid w:val="00767813"/>
    <w:rsid w:val="00770372"/>
    <w:rsid w:val="00771E6F"/>
    <w:rsid w:val="00772467"/>
    <w:rsid w:val="00772D7F"/>
    <w:rsid w:val="00773126"/>
    <w:rsid w:val="007746E6"/>
    <w:rsid w:val="00777A92"/>
    <w:rsid w:val="00780E06"/>
    <w:rsid w:val="007837A6"/>
    <w:rsid w:val="00783AD1"/>
    <w:rsid w:val="00784D58"/>
    <w:rsid w:val="00787C75"/>
    <w:rsid w:val="0079193C"/>
    <w:rsid w:val="007923E4"/>
    <w:rsid w:val="00792464"/>
    <w:rsid w:val="007932DB"/>
    <w:rsid w:val="007935BB"/>
    <w:rsid w:val="007944CA"/>
    <w:rsid w:val="007962B3"/>
    <w:rsid w:val="00796803"/>
    <w:rsid w:val="0079683A"/>
    <w:rsid w:val="007A1596"/>
    <w:rsid w:val="007A1C3C"/>
    <w:rsid w:val="007A3F82"/>
    <w:rsid w:val="007A5F69"/>
    <w:rsid w:val="007A7632"/>
    <w:rsid w:val="007A799F"/>
    <w:rsid w:val="007B051A"/>
    <w:rsid w:val="007B1B1E"/>
    <w:rsid w:val="007B5C3B"/>
    <w:rsid w:val="007B7077"/>
    <w:rsid w:val="007B7726"/>
    <w:rsid w:val="007C05DB"/>
    <w:rsid w:val="007C0ADF"/>
    <w:rsid w:val="007C2010"/>
    <w:rsid w:val="007C2221"/>
    <w:rsid w:val="007C2796"/>
    <w:rsid w:val="007C2E29"/>
    <w:rsid w:val="007C5637"/>
    <w:rsid w:val="007C5C9E"/>
    <w:rsid w:val="007D10B2"/>
    <w:rsid w:val="007D447C"/>
    <w:rsid w:val="007E10C9"/>
    <w:rsid w:val="007E32D2"/>
    <w:rsid w:val="007E437D"/>
    <w:rsid w:val="007E4463"/>
    <w:rsid w:val="007E46BB"/>
    <w:rsid w:val="007E7A10"/>
    <w:rsid w:val="007E7AED"/>
    <w:rsid w:val="007F0F3E"/>
    <w:rsid w:val="007F2A34"/>
    <w:rsid w:val="007F2EB3"/>
    <w:rsid w:val="007F437D"/>
    <w:rsid w:val="007F4727"/>
    <w:rsid w:val="007F5D09"/>
    <w:rsid w:val="007F6326"/>
    <w:rsid w:val="007F64F8"/>
    <w:rsid w:val="007F6C29"/>
    <w:rsid w:val="0080273A"/>
    <w:rsid w:val="00802F64"/>
    <w:rsid w:val="00803569"/>
    <w:rsid w:val="00805255"/>
    <w:rsid w:val="00805E17"/>
    <w:rsid w:val="00805F49"/>
    <w:rsid w:val="008069FF"/>
    <w:rsid w:val="008078F5"/>
    <w:rsid w:val="00812AD7"/>
    <w:rsid w:val="00812F51"/>
    <w:rsid w:val="008135AA"/>
    <w:rsid w:val="00814D5D"/>
    <w:rsid w:val="008154A3"/>
    <w:rsid w:val="00815F30"/>
    <w:rsid w:val="00816B19"/>
    <w:rsid w:val="00817565"/>
    <w:rsid w:val="00817984"/>
    <w:rsid w:val="00820027"/>
    <w:rsid w:val="00821102"/>
    <w:rsid w:val="00821D12"/>
    <w:rsid w:val="00822A87"/>
    <w:rsid w:val="00825081"/>
    <w:rsid w:val="00825D66"/>
    <w:rsid w:val="008266E6"/>
    <w:rsid w:val="008316B9"/>
    <w:rsid w:val="00832AB1"/>
    <w:rsid w:val="00832BDA"/>
    <w:rsid w:val="008332C3"/>
    <w:rsid w:val="00833432"/>
    <w:rsid w:val="008349E8"/>
    <w:rsid w:val="008353AE"/>
    <w:rsid w:val="00836619"/>
    <w:rsid w:val="008368F3"/>
    <w:rsid w:val="0083733A"/>
    <w:rsid w:val="008439B2"/>
    <w:rsid w:val="00843D09"/>
    <w:rsid w:val="00844316"/>
    <w:rsid w:val="0084482B"/>
    <w:rsid w:val="00844CFD"/>
    <w:rsid w:val="00844F13"/>
    <w:rsid w:val="0084523E"/>
    <w:rsid w:val="00846AB3"/>
    <w:rsid w:val="008505CC"/>
    <w:rsid w:val="00850984"/>
    <w:rsid w:val="00853FB7"/>
    <w:rsid w:val="00854118"/>
    <w:rsid w:val="008553A0"/>
    <w:rsid w:val="0085792F"/>
    <w:rsid w:val="0086096B"/>
    <w:rsid w:val="00861038"/>
    <w:rsid w:val="00862DEF"/>
    <w:rsid w:val="0086469B"/>
    <w:rsid w:val="00867D0A"/>
    <w:rsid w:val="0087123A"/>
    <w:rsid w:val="00872BF2"/>
    <w:rsid w:val="00872D8E"/>
    <w:rsid w:val="008745D4"/>
    <w:rsid w:val="00876097"/>
    <w:rsid w:val="00876B36"/>
    <w:rsid w:val="00877BBB"/>
    <w:rsid w:val="00880F16"/>
    <w:rsid w:val="00883551"/>
    <w:rsid w:val="00886B8A"/>
    <w:rsid w:val="008930B5"/>
    <w:rsid w:val="008945BF"/>
    <w:rsid w:val="00894B04"/>
    <w:rsid w:val="00895394"/>
    <w:rsid w:val="00895989"/>
    <w:rsid w:val="00896945"/>
    <w:rsid w:val="008A19F4"/>
    <w:rsid w:val="008A1D4C"/>
    <w:rsid w:val="008A2AF7"/>
    <w:rsid w:val="008A2E00"/>
    <w:rsid w:val="008A2FF9"/>
    <w:rsid w:val="008A37EE"/>
    <w:rsid w:val="008A6A31"/>
    <w:rsid w:val="008B0791"/>
    <w:rsid w:val="008B0F04"/>
    <w:rsid w:val="008B20D1"/>
    <w:rsid w:val="008B3D5D"/>
    <w:rsid w:val="008B4720"/>
    <w:rsid w:val="008C0234"/>
    <w:rsid w:val="008C1237"/>
    <w:rsid w:val="008C2436"/>
    <w:rsid w:val="008C2965"/>
    <w:rsid w:val="008C436E"/>
    <w:rsid w:val="008C61E6"/>
    <w:rsid w:val="008C7E91"/>
    <w:rsid w:val="008D1488"/>
    <w:rsid w:val="008D28A7"/>
    <w:rsid w:val="008D50CB"/>
    <w:rsid w:val="008D62FA"/>
    <w:rsid w:val="008D6863"/>
    <w:rsid w:val="008D6FDB"/>
    <w:rsid w:val="008D7515"/>
    <w:rsid w:val="008D7A25"/>
    <w:rsid w:val="008D7F31"/>
    <w:rsid w:val="008E0999"/>
    <w:rsid w:val="008E0B11"/>
    <w:rsid w:val="008E147D"/>
    <w:rsid w:val="008E1618"/>
    <w:rsid w:val="008E1E6C"/>
    <w:rsid w:val="008E2EAD"/>
    <w:rsid w:val="008E37E1"/>
    <w:rsid w:val="008E605E"/>
    <w:rsid w:val="008E6986"/>
    <w:rsid w:val="008E7BC2"/>
    <w:rsid w:val="008E7F6F"/>
    <w:rsid w:val="008F1A43"/>
    <w:rsid w:val="008F23E0"/>
    <w:rsid w:val="008F3E87"/>
    <w:rsid w:val="00900A3F"/>
    <w:rsid w:val="009015AC"/>
    <w:rsid w:val="009020C3"/>
    <w:rsid w:val="00902352"/>
    <w:rsid w:val="0090498D"/>
    <w:rsid w:val="00906532"/>
    <w:rsid w:val="009102EA"/>
    <w:rsid w:val="00911250"/>
    <w:rsid w:val="00915062"/>
    <w:rsid w:val="009157A8"/>
    <w:rsid w:val="009159AC"/>
    <w:rsid w:val="009167FF"/>
    <w:rsid w:val="00920642"/>
    <w:rsid w:val="00924C03"/>
    <w:rsid w:val="009259B8"/>
    <w:rsid w:val="00926642"/>
    <w:rsid w:val="00926CAC"/>
    <w:rsid w:val="00927393"/>
    <w:rsid w:val="0093046B"/>
    <w:rsid w:val="00930927"/>
    <w:rsid w:val="00930B20"/>
    <w:rsid w:val="00930C29"/>
    <w:rsid w:val="009338A8"/>
    <w:rsid w:val="00934337"/>
    <w:rsid w:val="009351A1"/>
    <w:rsid w:val="0093781F"/>
    <w:rsid w:val="00940B76"/>
    <w:rsid w:val="00943081"/>
    <w:rsid w:val="00943DED"/>
    <w:rsid w:val="00947403"/>
    <w:rsid w:val="00951838"/>
    <w:rsid w:val="009534ED"/>
    <w:rsid w:val="00953D10"/>
    <w:rsid w:val="0095469D"/>
    <w:rsid w:val="009552AD"/>
    <w:rsid w:val="00956688"/>
    <w:rsid w:val="00957890"/>
    <w:rsid w:val="009603DD"/>
    <w:rsid w:val="00962299"/>
    <w:rsid w:val="00962CE9"/>
    <w:rsid w:val="00963917"/>
    <w:rsid w:val="00963DE4"/>
    <w:rsid w:val="00964321"/>
    <w:rsid w:val="00965A8B"/>
    <w:rsid w:val="009661B0"/>
    <w:rsid w:val="009667D1"/>
    <w:rsid w:val="00974DC5"/>
    <w:rsid w:val="00974F8D"/>
    <w:rsid w:val="00981F66"/>
    <w:rsid w:val="009829D4"/>
    <w:rsid w:val="00982C87"/>
    <w:rsid w:val="0098621F"/>
    <w:rsid w:val="00986C4E"/>
    <w:rsid w:val="00987C7E"/>
    <w:rsid w:val="0099098B"/>
    <w:rsid w:val="00990A84"/>
    <w:rsid w:val="00990AA0"/>
    <w:rsid w:val="00992315"/>
    <w:rsid w:val="009940EA"/>
    <w:rsid w:val="00994378"/>
    <w:rsid w:val="009947C6"/>
    <w:rsid w:val="0099573E"/>
    <w:rsid w:val="00996050"/>
    <w:rsid w:val="00996500"/>
    <w:rsid w:val="009A0775"/>
    <w:rsid w:val="009A33FC"/>
    <w:rsid w:val="009A48A4"/>
    <w:rsid w:val="009A4EC7"/>
    <w:rsid w:val="009A5E69"/>
    <w:rsid w:val="009A7111"/>
    <w:rsid w:val="009B054E"/>
    <w:rsid w:val="009B17CC"/>
    <w:rsid w:val="009B2886"/>
    <w:rsid w:val="009B2A6A"/>
    <w:rsid w:val="009B57EC"/>
    <w:rsid w:val="009B5C8F"/>
    <w:rsid w:val="009B7D52"/>
    <w:rsid w:val="009C2AF5"/>
    <w:rsid w:val="009C34FF"/>
    <w:rsid w:val="009C3ED6"/>
    <w:rsid w:val="009C49C0"/>
    <w:rsid w:val="009C5EBF"/>
    <w:rsid w:val="009D0CFA"/>
    <w:rsid w:val="009D0FED"/>
    <w:rsid w:val="009D17ED"/>
    <w:rsid w:val="009D2EA2"/>
    <w:rsid w:val="009D5F1C"/>
    <w:rsid w:val="009E222A"/>
    <w:rsid w:val="009F01C0"/>
    <w:rsid w:val="009F095D"/>
    <w:rsid w:val="009F158A"/>
    <w:rsid w:val="009F1C4C"/>
    <w:rsid w:val="009F2065"/>
    <w:rsid w:val="009F2DF9"/>
    <w:rsid w:val="009F44C0"/>
    <w:rsid w:val="009F46BC"/>
    <w:rsid w:val="009F64C0"/>
    <w:rsid w:val="009F65FC"/>
    <w:rsid w:val="009F6763"/>
    <w:rsid w:val="00A01CB8"/>
    <w:rsid w:val="00A0358D"/>
    <w:rsid w:val="00A04024"/>
    <w:rsid w:val="00A04072"/>
    <w:rsid w:val="00A04E52"/>
    <w:rsid w:val="00A05044"/>
    <w:rsid w:val="00A05D6F"/>
    <w:rsid w:val="00A118DD"/>
    <w:rsid w:val="00A13A6F"/>
    <w:rsid w:val="00A13E2D"/>
    <w:rsid w:val="00A16830"/>
    <w:rsid w:val="00A16B41"/>
    <w:rsid w:val="00A1727F"/>
    <w:rsid w:val="00A201D8"/>
    <w:rsid w:val="00A20330"/>
    <w:rsid w:val="00A23766"/>
    <w:rsid w:val="00A24150"/>
    <w:rsid w:val="00A24A60"/>
    <w:rsid w:val="00A256E8"/>
    <w:rsid w:val="00A25A6D"/>
    <w:rsid w:val="00A25FBA"/>
    <w:rsid w:val="00A26FC9"/>
    <w:rsid w:val="00A3078F"/>
    <w:rsid w:val="00A31979"/>
    <w:rsid w:val="00A329D9"/>
    <w:rsid w:val="00A33E02"/>
    <w:rsid w:val="00A343CA"/>
    <w:rsid w:val="00A35C94"/>
    <w:rsid w:val="00A36EA6"/>
    <w:rsid w:val="00A4032A"/>
    <w:rsid w:val="00A404C3"/>
    <w:rsid w:val="00A41D58"/>
    <w:rsid w:val="00A41D80"/>
    <w:rsid w:val="00A43645"/>
    <w:rsid w:val="00A44D00"/>
    <w:rsid w:val="00A46F52"/>
    <w:rsid w:val="00A504A7"/>
    <w:rsid w:val="00A50B50"/>
    <w:rsid w:val="00A50DEE"/>
    <w:rsid w:val="00A51355"/>
    <w:rsid w:val="00A516C8"/>
    <w:rsid w:val="00A52AC8"/>
    <w:rsid w:val="00A53773"/>
    <w:rsid w:val="00A5426E"/>
    <w:rsid w:val="00A548CE"/>
    <w:rsid w:val="00A548F5"/>
    <w:rsid w:val="00A54D76"/>
    <w:rsid w:val="00A56A69"/>
    <w:rsid w:val="00A614CD"/>
    <w:rsid w:val="00A621E2"/>
    <w:rsid w:val="00A634D5"/>
    <w:rsid w:val="00A6428F"/>
    <w:rsid w:val="00A73039"/>
    <w:rsid w:val="00A73443"/>
    <w:rsid w:val="00A7476C"/>
    <w:rsid w:val="00A74D37"/>
    <w:rsid w:val="00A75A17"/>
    <w:rsid w:val="00A76DFE"/>
    <w:rsid w:val="00A772C0"/>
    <w:rsid w:val="00A77E67"/>
    <w:rsid w:val="00A809ED"/>
    <w:rsid w:val="00A80B67"/>
    <w:rsid w:val="00A838A3"/>
    <w:rsid w:val="00A83C51"/>
    <w:rsid w:val="00A844C1"/>
    <w:rsid w:val="00A912C5"/>
    <w:rsid w:val="00A9193B"/>
    <w:rsid w:val="00A919F8"/>
    <w:rsid w:val="00A94AAC"/>
    <w:rsid w:val="00A94C3D"/>
    <w:rsid w:val="00A95CDF"/>
    <w:rsid w:val="00A95D2E"/>
    <w:rsid w:val="00A96ECE"/>
    <w:rsid w:val="00A97554"/>
    <w:rsid w:val="00A975B6"/>
    <w:rsid w:val="00AA043A"/>
    <w:rsid w:val="00AA0A5A"/>
    <w:rsid w:val="00AA0B56"/>
    <w:rsid w:val="00AA18C0"/>
    <w:rsid w:val="00AA20A6"/>
    <w:rsid w:val="00AA2BA0"/>
    <w:rsid w:val="00AA367C"/>
    <w:rsid w:val="00AA4673"/>
    <w:rsid w:val="00AA4BC6"/>
    <w:rsid w:val="00AA5060"/>
    <w:rsid w:val="00AA6264"/>
    <w:rsid w:val="00AA7818"/>
    <w:rsid w:val="00AB06A9"/>
    <w:rsid w:val="00AB5C31"/>
    <w:rsid w:val="00AC0394"/>
    <w:rsid w:val="00AC1454"/>
    <w:rsid w:val="00AC1619"/>
    <w:rsid w:val="00AC27E9"/>
    <w:rsid w:val="00AC32CE"/>
    <w:rsid w:val="00AC43E9"/>
    <w:rsid w:val="00AC677E"/>
    <w:rsid w:val="00AC6D9B"/>
    <w:rsid w:val="00AD1540"/>
    <w:rsid w:val="00AD35DA"/>
    <w:rsid w:val="00AD45C9"/>
    <w:rsid w:val="00AD5DCE"/>
    <w:rsid w:val="00AE064A"/>
    <w:rsid w:val="00AE309A"/>
    <w:rsid w:val="00AE6F09"/>
    <w:rsid w:val="00AF185B"/>
    <w:rsid w:val="00AF2051"/>
    <w:rsid w:val="00AF439E"/>
    <w:rsid w:val="00AF53F0"/>
    <w:rsid w:val="00AF7CDC"/>
    <w:rsid w:val="00B00B94"/>
    <w:rsid w:val="00B010FF"/>
    <w:rsid w:val="00B0205D"/>
    <w:rsid w:val="00B03404"/>
    <w:rsid w:val="00B03C71"/>
    <w:rsid w:val="00B03DBF"/>
    <w:rsid w:val="00B06D11"/>
    <w:rsid w:val="00B11031"/>
    <w:rsid w:val="00B11BA1"/>
    <w:rsid w:val="00B12546"/>
    <w:rsid w:val="00B12DC6"/>
    <w:rsid w:val="00B1344B"/>
    <w:rsid w:val="00B136F9"/>
    <w:rsid w:val="00B15E16"/>
    <w:rsid w:val="00B170CB"/>
    <w:rsid w:val="00B17726"/>
    <w:rsid w:val="00B17A5E"/>
    <w:rsid w:val="00B217A2"/>
    <w:rsid w:val="00B234BA"/>
    <w:rsid w:val="00B31145"/>
    <w:rsid w:val="00B320CE"/>
    <w:rsid w:val="00B32300"/>
    <w:rsid w:val="00B32A4B"/>
    <w:rsid w:val="00B34A93"/>
    <w:rsid w:val="00B40225"/>
    <w:rsid w:val="00B4084F"/>
    <w:rsid w:val="00B41249"/>
    <w:rsid w:val="00B41543"/>
    <w:rsid w:val="00B42C97"/>
    <w:rsid w:val="00B4353C"/>
    <w:rsid w:val="00B439BA"/>
    <w:rsid w:val="00B45749"/>
    <w:rsid w:val="00B476C7"/>
    <w:rsid w:val="00B50255"/>
    <w:rsid w:val="00B51C4C"/>
    <w:rsid w:val="00B5229D"/>
    <w:rsid w:val="00B531D7"/>
    <w:rsid w:val="00B55311"/>
    <w:rsid w:val="00B55BBD"/>
    <w:rsid w:val="00B600D2"/>
    <w:rsid w:val="00B60920"/>
    <w:rsid w:val="00B6489C"/>
    <w:rsid w:val="00B6549E"/>
    <w:rsid w:val="00B661DC"/>
    <w:rsid w:val="00B6646A"/>
    <w:rsid w:val="00B67471"/>
    <w:rsid w:val="00B67C37"/>
    <w:rsid w:val="00B67C77"/>
    <w:rsid w:val="00B70A7B"/>
    <w:rsid w:val="00B738F5"/>
    <w:rsid w:val="00B747C3"/>
    <w:rsid w:val="00B74B92"/>
    <w:rsid w:val="00B75B76"/>
    <w:rsid w:val="00B7756F"/>
    <w:rsid w:val="00B776DA"/>
    <w:rsid w:val="00B81174"/>
    <w:rsid w:val="00B83CA7"/>
    <w:rsid w:val="00B84A68"/>
    <w:rsid w:val="00B8655C"/>
    <w:rsid w:val="00B86B75"/>
    <w:rsid w:val="00B87026"/>
    <w:rsid w:val="00B927CC"/>
    <w:rsid w:val="00B92940"/>
    <w:rsid w:val="00B940FE"/>
    <w:rsid w:val="00B950CE"/>
    <w:rsid w:val="00B9778F"/>
    <w:rsid w:val="00BA23C7"/>
    <w:rsid w:val="00BA46B1"/>
    <w:rsid w:val="00BA5586"/>
    <w:rsid w:val="00BA5E75"/>
    <w:rsid w:val="00BA6AE7"/>
    <w:rsid w:val="00BA7B01"/>
    <w:rsid w:val="00BB0B88"/>
    <w:rsid w:val="00BB23DB"/>
    <w:rsid w:val="00BB2EE6"/>
    <w:rsid w:val="00BB3041"/>
    <w:rsid w:val="00BB44D7"/>
    <w:rsid w:val="00BB52BE"/>
    <w:rsid w:val="00BB5937"/>
    <w:rsid w:val="00BC0C62"/>
    <w:rsid w:val="00BC0CDB"/>
    <w:rsid w:val="00BC0F6B"/>
    <w:rsid w:val="00BC1984"/>
    <w:rsid w:val="00BC3A04"/>
    <w:rsid w:val="00BC48D5"/>
    <w:rsid w:val="00BC59F5"/>
    <w:rsid w:val="00BC776F"/>
    <w:rsid w:val="00BD169A"/>
    <w:rsid w:val="00BD4194"/>
    <w:rsid w:val="00BD47CD"/>
    <w:rsid w:val="00BD7B5F"/>
    <w:rsid w:val="00BE0B3B"/>
    <w:rsid w:val="00BE0F9F"/>
    <w:rsid w:val="00BE223C"/>
    <w:rsid w:val="00BE3158"/>
    <w:rsid w:val="00BE4794"/>
    <w:rsid w:val="00BE5159"/>
    <w:rsid w:val="00BE67C0"/>
    <w:rsid w:val="00BE72E0"/>
    <w:rsid w:val="00BF0C45"/>
    <w:rsid w:val="00BF211D"/>
    <w:rsid w:val="00BF3987"/>
    <w:rsid w:val="00BF4995"/>
    <w:rsid w:val="00BF4E4E"/>
    <w:rsid w:val="00C00DE2"/>
    <w:rsid w:val="00C017A3"/>
    <w:rsid w:val="00C01A51"/>
    <w:rsid w:val="00C04B82"/>
    <w:rsid w:val="00C04DC0"/>
    <w:rsid w:val="00C06F8D"/>
    <w:rsid w:val="00C07EE1"/>
    <w:rsid w:val="00C119C3"/>
    <w:rsid w:val="00C11A8A"/>
    <w:rsid w:val="00C12376"/>
    <w:rsid w:val="00C137DE"/>
    <w:rsid w:val="00C14A7E"/>
    <w:rsid w:val="00C14C94"/>
    <w:rsid w:val="00C1570D"/>
    <w:rsid w:val="00C166EB"/>
    <w:rsid w:val="00C2040C"/>
    <w:rsid w:val="00C23675"/>
    <w:rsid w:val="00C248ED"/>
    <w:rsid w:val="00C24DF4"/>
    <w:rsid w:val="00C26255"/>
    <w:rsid w:val="00C263A5"/>
    <w:rsid w:val="00C276FD"/>
    <w:rsid w:val="00C27F7D"/>
    <w:rsid w:val="00C315D2"/>
    <w:rsid w:val="00C328AF"/>
    <w:rsid w:val="00C356E2"/>
    <w:rsid w:val="00C36279"/>
    <w:rsid w:val="00C36CCD"/>
    <w:rsid w:val="00C40A21"/>
    <w:rsid w:val="00C41AD2"/>
    <w:rsid w:val="00C42E44"/>
    <w:rsid w:val="00C4339E"/>
    <w:rsid w:val="00C43D6A"/>
    <w:rsid w:val="00C43EBC"/>
    <w:rsid w:val="00C44F6A"/>
    <w:rsid w:val="00C45EAF"/>
    <w:rsid w:val="00C4604A"/>
    <w:rsid w:val="00C46487"/>
    <w:rsid w:val="00C46607"/>
    <w:rsid w:val="00C46806"/>
    <w:rsid w:val="00C513C4"/>
    <w:rsid w:val="00C5212E"/>
    <w:rsid w:val="00C53BA7"/>
    <w:rsid w:val="00C542AB"/>
    <w:rsid w:val="00C54777"/>
    <w:rsid w:val="00C55EA6"/>
    <w:rsid w:val="00C55FCA"/>
    <w:rsid w:val="00C560B7"/>
    <w:rsid w:val="00C57874"/>
    <w:rsid w:val="00C612E1"/>
    <w:rsid w:val="00C638DE"/>
    <w:rsid w:val="00C64978"/>
    <w:rsid w:val="00C65C64"/>
    <w:rsid w:val="00C65F68"/>
    <w:rsid w:val="00C661D0"/>
    <w:rsid w:val="00C70CA8"/>
    <w:rsid w:val="00C70E34"/>
    <w:rsid w:val="00C70E3A"/>
    <w:rsid w:val="00C72D7D"/>
    <w:rsid w:val="00C73E34"/>
    <w:rsid w:val="00C74507"/>
    <w:rsid w:val="00C75B8B"/>
    <w:rsid w:val="00C7688C"/>
    <w:rsid w:val="00C77667"/>
    <w:rsid w:val="00C80D16"/>
    <w:rsid w:val="00C81FF1"/>
    <w:rsid w:val="00C823F5"/>
    <w:rsid w:val="00C82ECA"/>
    <w:rsid w:val="00C83A17"/>
    <w:rsid w:val="00C83A5D"/>
    <w:rsid w:val="00C909F0"/>
    <w:rsid w:val="00C914D2"/>
    <w:rsid w:val="00C9220B"/>
    <w:rsid w:val="00C9388D"/>
    <w:rsid w:val="00CA7986"/>
    <w:rsid w:val="00CB228D"/>
    <w:rsid w:val="00CB2F2D"/>
    <w:rsid w:val="00CB33AA"/>
    <w:rsid w:val="00CB390F"/>
    <w:rsid w:val="00CB50D3"/>
    <w:rsid w:val="00CB57A3"/>
    <w:rsid w:val="00CB6589"/>
    <w:rsid w:val="00CB6E5B"/>
    <w:rsid w:val="00CB6EEC"/>
    <w:rsid w:val="00CC06B1"/>
    <w:rsid w:val="00CC0F08"/>
    <w:rsid w:val="00CC2487"/>
    <w:rsid w:val="00CC2C04"/>
    <w:rsid w:val="00CC43F6"/>
    <w:rsid w:val="00CC4DEC"/>
    <w:rsid w:val="00CC7CE9"/>
    <w:rsid w:val="00CD03C6"/>
    <w:rsid w:val="00CD348D"/>
    <w:rsid w:val="00CD4424"/>
    <w:rsid w:val="00CD60B9"/>
    <w:rsid w:val="00CD7258"/>
    <w:rsid w:val="00CE0D85"/>
    <w:rsid w:val="00CE1AF3"/>
    <w:rsid w:val="00CE20D1"/>
    <w:rsid w:val="00CE22BC"/>
    <w:rsid w:val="00CE3343"/>
    <w:rsid w:val="00CE3821"/>
    <w:rsid w:val="00CF0772"/>
    <w:rsid w:val="00D00E4B"/>
    <w:rsid w:val="00D01993"/>
    <w:rsid w:val="00D01C03"/>
    <w:rsid w:val="00D01D7D"/>
    <w:rsid w:val="00D02CBC"/>
    <w:rsid w:val="00D0316D"/>
    <w:rsid w:val="00D036AE"/>
    <w:rsid w:val="00D03CDE"/>
    <w:rsid w:val="00D03D40"/>
    <w:rsid w:val="00D040AF"/>
    <w:rsid w:val="00D052BD"/>
    <w:rsid w:val="00D0654B"/>
    <w:rsid w:val="00D06996"/>
    <w:rsid w:val="00D0733D"/>
    <w:rsid w:val="00D075FC"/>
    <w:rsid w:val="00D10809"/>
    <w:rsid w:val="00D117D9"/>
    <w:rsid w:val="00D120EE"/>
    <w:rsid w:val="00D154D0"/>
    <w:rsid w:val="00D157B7"/>
    <w:rsid w:val="00D17AF2"/>
    <w:rsid w:val="00D207C5"/>
    <w:rsid w:val="00D215B6"/>
    <w:rsid w:val="00D21C50"/>
    <w:rsid w:val="00D22608"/>
    <w:rsid w:val="00D24D23"/>
    <w:rsid w:val="00D27DB7"/>
    <w:rsid w:val="00D30D35"/>
    <w:rsid w:val="00D32570"/>
    <w:rsid w:val="00D343B7"/>
    <w:rsid w:val="00D36122"/>
    <w:rsid w:val="00D377D3"/>
    <w:rsid w:val="00D37AB7"/>
    <w:rsid w:val="00D40AB4"/>
    <w:rsid w:val="00D41A9E"/>
    <w:rsid w:val="00D41E3A"/>
    <w:rsid w:val="00D43883"/>
    <w:rsid w:val="00D43DBD"/>
    <w:rsid w:val="00D46817"/>
    <w:rsid w:val="00D47715"/>
    <w:rsid w:val="00D500B7"/>
    <w:rsid w:val="00D50BDD"/>
    <w:rsid w:val="00D51B2F"/>
    <w:rsid w:val="00D52D11"/>
    <w:rsid w:val="00D52F89"/>
    <w:rsid w:val="00D54052"/>
    <w:rsid w:val="00D55743"/>
    <w:rsid w:val="00D57AD5"/>
    <w:rsid w:val="00D62CC9"/>
    <w:rsid w:val="00D62D41"/>
    <w:rsid w:val="00D64E47"/>
    <w:rsid w:val="00D66E15"/>
    <w:rsid w:val="00D67AEE"/>
    <w:rsid w:val="00D67F78"/>
    <w:rsid w:val="00D7055B"/>
    <w:rsid w:val="00D70ACF"/>
    <w:rsid w:val="00D71557"/>
    <w:rsid w:val="00D745E6"/>
    <w:rsid w:val="00D765D9"/>
    <w:rsid w:val="00D76B09"/>
    <w:rsid w:val="00D81C22"/>
    <w:rsid w:val="00D82F76"/>
    <w:rsid w:val="00D84910"/>
    <w:rsid w:val="00D84E2B"/>
    <w:rsid w:val="00D84EB6"/>
    <w:rsid w:val="00D85BAC"/>
    <w:rsid w:val="00D85C2D"/>
    <w:rsid w:val="00D86F37"/>
    <w:rsid w:val="00D87759"/>
    <w:rsid w:val="00D907FE"/>
    <w:rsid w:val="00D90FC0"/>
    <w:rsid w:val="00D920EC"/>
    <w:rsid w:val="00D9252D"/>
    <w:rsid w:val="00D9255F"/>
    <w:rsid w:val="00D927E9"/>
    <w:rsid w:val="00D92888"/>
    <w:rsid w:val="00D93A59"/>
    <w:rsid w:val="00D9461C"/>
    <w:rsid w:val="00D956FC"/>
    <w:rsid w:val="00D96555"/>
    <w:rsid w:val="00D97DA7"/>
    <w:rsid w:val="00DA1391"/>
    <w:rsid w:val="00DA1958"/>
    <w:rsid w:val="00DA1B81"/>
    <w:rsid w:val="00DA33CE"/>
    <w:rsid w:val="00DA5528"/>
    <w:rsid w:val="00DB0492"/>
    <w:rsid w:val="00DB4B08"/>
    <w:rsid w:val="00DB573D"/>
    <w:rsid w:val="00DB5CC0"/>
    <w:rsid w:val="00DB67B5"/>
    <w:rsid w:val="00DB68DC"/>
    <w:rsid w:val="00DC1086"/>
    <w:rsid w:val="00DC172F"/>
    <w:rsid w:val="00DC1CA2"/>
    <w:rsid w:val="00DC3D53"/>
    <w:rsid w:val="00DC3F64"/>
    <w:rsid w:val="00DC41E1"/>
    <w:rsid w:val="00DC48E3"/>
    <w:rsid w:val="00DC4AE4"/>
    <w:rsid w:val="00DC544B"/>
    <w:rsid w:val="00DC65F4"/>
    <w:rsid w:val="00DC6D49"/>
    <w:rsid w:val="00DE0085"/>
    <w:rsid w:val="00DE14CE"/>
    <w:rsid w:val="00DE15F1"/>
    <w:rsid w:val="00DE243A"/>
    <w:rsid w:val="00DE2AF5"/>
    <w:rsid w:val="00DE302D"/>
    <w:rsid w:val="00DE4129"/>
    <w:rsid w:val="00DE4B8E"/>
    <w:rsid w:val="00DE4C5F"/>
    <w:rsid w:val="00DE5C5C"/>
    <w:rsid w:val="00DF10DF"/>
    <w:rsid w:val="00DF1107"/>
    <w:rsid w:val="00DF1523"/>
    <w:rsid w:val="00DF19DB"/>
    <w:rsid w:val="00DF3473"/>
    <w:rsid w:val="00DF51FB"/>
    <w:rsid w:val="00DF6847"/>
    <w:rsid w:val="00DF7D78"/>
    <w:rsid w:val="00E0093C"/>
    <w:rsid w:val="00E01B12"/>
    <w:rsid w:val="00E021B6"/>
    <w:rsid w:val="00E03618"/>
    <w:rsid w:val="00E05F74"/>
    <w:rsid w:val="00E10196"/>
    <w:rsid w:val="00E116F5"/>
    <w:rsid w:val="00E12021"/>
    <w:rsid w:val="00E12768"/>
    <w:rsid w:val="00E12C10"/>
    <w:rsid w:val="00E13AB8"/>
    <w:rsid w:val="00E1474D"/>
    <w:rsid w:val="00E15174"/>
    <w:rsid w:val="00E15976"/>
    <w:rsid w:val="00E16B46"/>
    <w:rsid w:val="00E23540"/>
    <w:rsid w:val="00E24E70"/>
    <w:rsid w:val="00E276A8"/>
    <w:rsid w:val="00E315A3"/>
    <w:rsid w:val="00E32065"/>
    <w:rsid w:val="00E32B51"/>
    <w:rsid w:val="00E32BBE"/>
    <w:rsid w:val="00E32E3A"/>
    <w:rsid w:val="00E3622D"/>
    <w:rsid w:val="00E363D5"/>
    <w:rsid w:val="00E42C3D"/>
    <w:rsid w:val="00E4324A"/>
    <w:rsid w:val="00E43EFC"/>
    <w:rsid w:val="00E45F9C"/>
    <w:rsid w:val="00E50AF9"/>
    <w:rsid w:val="00E517CD"/>
    <w:rsid w:val="00E53F3C"/>
    <w:rsid w:val="00E53FA3"/>
    <w:rsid w:val="00E53FA6"/>
    <w:rsid w:val="00E546D8"/>
    <w:rsid w:val="00E55931"/>
    <w:rsid w:val="00E55E54"/>
    <w:rsid w:val="00E56079"/>
    <w:rsid w:val="00E56E75"/>
    <w:rsid w:val="00E57704"/>
    <w:rsid w:val="00E62AE4"/>
    <w:rsid w:val="00E65169"/>
    <w:rsid w:val="00E679D5"/>
    <w:rsid w:val="00E70FE5"/>
    <w:rsid w:val="00E72EA4"/>
    <w:rsid w:val="00E7570D"/>
    <w:rsid w:val="00E759E1"/>
    <w:rsid w:val="00E76E61"/>
    <w:rsid w:val="00E83199"/>
    <w:rsid w:val="00E8374F"/>
    <w:rsid w:val="00E85608"/>
    <w:rsid w:val="00E8581E"/>
    <w:rsid w:val="00E87619"/>
    <w:rsid w:val="00E915D5"/>
    <w:rsid w:val="00E91B3F"/>
    <w:rsid w:val="00E9270A"/>
    <w:rsid w:val="00E95812"/>
    <w:rsid w:val="00E9589D"/>
    <w:rsid w:val="00EA002E"/>
    <w:rsid w:val="00EA03B6"/>
    <w:rsid w:val="00EA09CE"/>
    <w:rsid w:val="00EA1121"/>
    <w:rsid w:val="00EA1C4B"/>
    <w:rsid w:val="00EA4A88"/>
    <w:rsid w:val="00EA522A"/>
    <w:rsid w:val="00EA525B"/>
    <w:rsid w:val="00EA57EB"/>
    <w:rsid w:val="00EA79A2"/>
    <w:rsid w:val="00EA7C42"/>
    <w:rsid w:val="00EA7C78"/>
    <w:rsid w:val="00EB1EF6"/>
    <w:rsid w:val="00EB29E4"/>
    <w:rsid w:val="00EB71B3"/>
    <w:rsid w:val="00EB73F6"/>
    <w:rsid w:val="00EB755E"/>
    <w:rsid w:val="00EC0BD1"/>
    <w:rsid w:val="00EC0E10"/>
    <w:rsid w:val="00EC15F4"/>
    <w:rsid w:val="00EC1DA3"/>
    <w:rsid w:val="00EC1F05"/>
    <w:rsid w:val="00EC2443"/>
    <w:rsid w:val="00EC39E3"/>
    <w:rsid w:val="00EC3DAC"/>
    <w:rsid w:val="00EC3DF3"/>
    <w:rsid w:val="00EC3F8C"/>
    <w:rsid w:val="00EC4097"/>
    <w:rsid w:val="00EC604A"/>
    <w:rsid w:val="00EC6891"/>
    <w:rsid w:val="00EC7C3C"/>
    <w:rsid w:val="00ED0B42"/>
    <w:rsid w:val="00ED31FA"/>
    <w:rsid w:val="00ED37C4"/>
    <w:rsid w:val="00ED3CD9"/>
    <w:rsid w:val="00ED531C"/>
    <w:rsid w:val="00ED6FE0"/>
    <w:rsid w:val="00ED7935"/>
    <w:rsid w:val="00EE0B01"/>
    <w:rsid w:val="00EE137D"/>
    <w:rsid w:val="00EE1756"/>
    <w:rsid w:val="00EE1CF0"/>
    <w:rsid w:val="00EE2B6D"/>
    <w:rsid w:val="00EE2C43"/>
    <w:rsid w:val="00EE33DE"/>
    <w:rsid w:val="00EE7E75"/>
    <w:rsid w:val="00EF0826"/>
    <w:rsid w:val="00EF12AC"/>
    <w:rsid w:val="00EF25FB"/>
    <w:rsid w:val="00EF291E"/>
    <w:rsid w:val="00EF37E9"/>
    <w:rsid w:val="00EF4D26"/>
    <w:rsid w:val="00EF5B8A"/>
    <w:rsid w:val="00EF6026"/>
    <w:rsid w:val="00F0099B"/>
    <w:rsid w:val="00F02827"/>
    <w:rsid w:val="00F029CA"/>
    <w:rsid w:val="00F033B1"/>
    <w:rsid w:val="00F075FC"/>
    <w:rsid w:val="00F07CB3"/>
    <w:rsid w:val="00F1126B"/>
    <w:rsid w:val="00F113D5"/>
    <w:rsid w:val="00F1183A"/>
    <w:rsid w:val="00F14462"/>
    <w:rsid w:val="00F16BC9"/>
    <w:rsid w:val="00F2160E"/>
    <w:rsid w:val="00F22AE3"/>
    <w:rsid w:val="00F23EFB"/>
    <w:rsid w:val="00F246FA"/>
    <w:rsid w:val="00F25F03"/>
    <w:rsid w:val="00F270DF"/>
    <w:rsid w:val="00F300DA"/>
    <w:rsid w:val="00F30979"/>
    <w:rsid w:val="00F31CF6"/>
    <w:rsid w:val="00F32536"/>
    <w:rsid w:val="00F33B4F"/>
    <w:rsid w:val="00F34637"/>
    <w:rsid w:val="00F3589E"/>
    <w:rsid w:val="00F40B46"/>
    <w:rsid w:val="00F4117E"/>
    <w:rsid w:val="00F4248A"/>
    <w:rsid w:val="00F4404B"/>
    <w:rsid w:val="00F4509A"/>
    <w:rsid w:val="00F45A0E"/>
    <w:rsid w:val="00F463C3"/>
    <w:rsid w:val="00F4658E"/>
    <w:rsid w:val="00F46A72"/>
    <w:rsid w:val="00F47C7A"/>
    <w:rsid w:val="00F5317B"/>
    <w:rsid w:val="00F5337D"/>
    <w:rsid w:val="00F549DD"/>
    <w:rsid w:val="00F557EE"/>
    <w:rsid w:val="00F563ED"/>
    <w:rsid w:val="00F56D00"/>
    <w:rsid w:val="00F56EFD"/>
    <w:rsid w:val="00F57A50"/>
    <w:rsid w:val="00F60AEC"/>
    <w:rsid w:val="00F62690"/>
    <w:rsid w:val="00F62DA7"/>
    <w:rsid w:val="00F64E84"/>
    <w:rsid w:val="00F6654A"/>
    <w:rsid w:val="00F70856"/>
    <w:rsid w:val="00F70F89"/>
    <w:rsid w:val="00F7100B"/>
    <w:rsid w:val="00F74821"/>
    <w:rsid w:val="00F75796"/>
    <w:rsid w:val="00F77E87"/>
    <w:rsid w:val="00F77E91"/>
    <w:rsid w:val="00F8338B"/>
    <w:rsid w:val="00F83C38"/>
    <w:rsid w:val="00F85133"/>
    <w:rsid w:val="00F866B1"/>
    <w:rsid w:val="00F86ED2"/>
    <w:rsid w:val="00F90696"/>
    <w:rsid w:val="00F970D2"/>
    <w:rsid w:val="00F974C5"/>
    <w:rsid w:val="00FA0422"/>
    <w:rsid w:val="00FA08A4"/>
    <w:rsid w:val="00FA210E"/>
    <w:rsid w:val="00FA2360"/>
    <w:rsid w:val="00FA2D7E"/>
    <w:rsid w:val="00FA3E37"/>
    <w:rsid w:val="00FA45A1"/>
    <w:rsid w:val="00FA4944"/>
    <w:rsid w:val="00FA5665"/>
    <w:rsid w:val="00FB1BA1"/>
    <w:rsid w:val="00FB6A99"/>
    <w:rsid w:val="00FB6FA5"/>
    <w:rsid w:val="00FB7093"/>
    <w:rsid w:val="00FB73FE"/>
    <w:rsid w:val="00FC07B2"/>
    <w:rsid w:val="00FC1F89"/>
    <w:rsid w:val="00FC243F"/>
    <w:rsid w:val="00FC4295"/>
    <w:rsid w:val="00FC4AB0"/>
    <w:rsid w:val="00FC5CBD"/>
    <w:rsid w:val="00FC67BA"/>
    <w:rsid w:val="00FD0A2C"/>
    <w:rsid w:val="00FD0C99"/>
    <w:rsid w:val="00FD18A7"/>
    <w:rsid w:val="00FD490D"/>
    <w:rsid w:val="00FD4E98"/>
    <w:rsid w:val="00FD72E4"/>
    <w:rsid w:val="00FD7F2D"/>
    <w:rsid w:val="00FE0455"/>
    <w:rsid w:val="00FE2AC6"/>
    <w:rsid w:val="00FE2FB8"/>
    <w:rsid w:val="00FE3500"/>
    <w:rsid w:val="00FE5EBB"/>
    <w:rsid w:val="00FE5F20"/>
    <w:rsid w:val="00FE66E4"/>
    <w:rsid w:val="00FE701E"/>
    <w:rsid w:val="00FE7B65"/>
    <w:rsid w:val="00FE7D79"/>
    <w:rsid w:val="00FF1DEF"/>
    <w:rsid w:val="00FF1EF1"/>
    <w:rsid w:val="00FF2D6F"/>
    <w:rsid w:val="00FF346C"/>
    <w:rsid w:val="00FF47EE"/>
    <w:rsid w:val="00FF4E30"/>
    <w:rsid w:val="00FF5606"/>
    <w:rsid w:val="011A0324"/>
    <w:rsid w:val="011D14A9"/>
    <w:rsid w:val="0151E8A1"/>
    <w:rsid w:val="01810878"/>
    <w:rsid w:val="019ABD9F"/>
    <w:rsid w:val="01BBED92"/>
    <w:rsid w:val="024D242E"/>
    <w:rsid w:val="02505B4F"/>
    <w:rsid w:val="026C5774"/>
    <w:rsid w:val="0285488E"/>
    <w:rsid w:val="02E71A14"/>
    <w:rsid w:val="0378DA43"/>
    <w:rsid w:val="03A0C0A8"/>
    <w:rsid w:val="03DA06CD"/>
    <w:rsid w:val="0404E11A"/>
    <w:rsid w:val="04266FDE"/>
    <w:rsid w:val="045FFEB7"/>
    <w:rsid w:val="04FE7B61"/>
    <w:rsid w:val="051E48AA"/>
    <w:rsid w:val="055A90D1"/>
    <w:rsid w:val="058AF6A9"/>
    <w:rsid w:val="06582D4A"/>
    <w:rsid w:val="08508E77"/>
    <w:rsid w:val="08E898BF"/>
    <w:rsid w:val="09621D29"/>
    <w:rsid w:val="09DEE30B"/>
    <w:rsid w:val="0A0D7A03"/>
    <w:rsid w:val="0B22B4E6"/>
    <w:rsid w:val="0B7E57B3"/>
    <w:rsid w:val="0CB2E5D2"/>
    <w:rsid w:val="0CDBA821"/>
    <w:rsid w:val="0DF0CD63"/>
    <w:rsid w:val="0EEB41BA"/>
    <w:rsid w:val="0F4F819F"/>
    <w:rsid w:val="0F919970"/>
    <w:rsid w:val="100457B3"/>
    <w:rsid w:val="10656659"/>
    <w:rsid w:val="10D1EC6D"/>
    <w:rsid w:val="11973ACF"/>
    <w:rsid w:val="11A199AC"/>
    <w:rsid w:val="12204941"/>
    <w:rsid w:val="124A4102"/>
    <w:rsid w:val="128F5184"/>
    <w:rsid w:val="12B1BD9F"/>
    <w:rsid w:val="12E14958"/>
    <w:rsid w:val="12FB781B"/>
    <w:rsid w:val="13DA0E3F"/>
    <w:rsid w:val="15C2F756"/>
    <w:rsid w:val="160B19FB"/>
    <w:rsid w:val="17316BBD"/>
    <w:rsid w:val="17788DAE"/>
    <w:rsid w:val="17B94492"/>
    <w:rsid w:val="180271FF"/>
    <w:rsid w:val="194C3F6A"/>
    <w:rsid w:val="19AEED51"/>
    <w:rsid w:val="1A1A5E00"/>
    <w:rsid w:val="1A4B6068"/>
    <w:rsid w:val="1AEBC028"/>
    <w:rsid w:val="1BD0819E"/>
    <w:rsid w:val="1BF24AB3"/>
    <w:rsid w:val="1C3ED2D3"/>
    <w:rsid w:val="1C46C724"/>
    <w:rsid w:val="1C4FB98B"/>
    <w:rsid w:val="1D30014E"/>
    <w:rsid w:val="1E2C374B"/>
    <w:rsid w:val="1E673434"/>
    <w:rsid w:val="1EF146CA"/>
    <w:rsid w:val="1F277320"/>
    <w:rsid w:val="1F8589D4"/>
    <w:rsid w:val="1F8E0313"/>
    <w:rsid w:val="1FC5B8D7"/>
    <w:rsid w:val="20410B56"/>
    <w:rsid w:val="2041E0A6"/>
    <w:rsid w:val="20B529F0"/>
    <w:rsid w:val="21268F97"/>
    <w:rsid w:val="2143319A"/>
    <w:rsid w:val="21BB8CC3"/>
    <w:rsid w:val="21F1E43B"/>
    <w:rsid w:val="224FC1EE"/>
    <w:rsid w:val="22666863"/>
    <w:rsid w:val="230C6239"/>
    <w:rsid w:val="23F34592"/>
    <w:rsid w:val="24ED09C5"/>
    <w:rsid w:val="2510DA4C"/>
    <w:rsid w:val="251E1C40"/>
    <w:rsid w:val="2575FC13"/>
    <w:rsid w:val="2608DC73"/>
    <w:rsid w:val="265AC03A"/>
    <w:rsid w:val="27250545"/>
    <w:rsid w:val="2771FBA6"/>
    <w:rsid w:val="28EFA3A5"/>
    <w:rsid w:val="29698B94"/>
    <w:rsid w:val="29D4F011"/>
    <w:rsid w:val="29D77E08"/>
    <w:rsid w:val="29F23E53"/>
    <w:rsid w:val="2AC92D37"/>
    <w:rsid w:val="2B248806"/>
    <w:rsid w:val="2C06113D"/>
    <w:rsid w:val="2C597ECC"/>
    <w:rsid w:val="2D576EDF"/>
    <w:rsid w:val="2E081442"/>
    <w:rsid w:val="2E9B45AE"/>
    <w:rsid w:val="2F0D2E5C"/>
    <w:rsid w:val="2F1EEA3F"/>
    <w:rsid w:val="30351437"/>
    <w:rsid w:val="313AFDB4"/>
    <w:rsid w:val="31DE8F7E"/>
    <w:rsid w:val="32019F50"/>
    <w:rsid w:val="326321AD"/>
    <w:rsid w:val="32975929"/>
    <w:rsid w:val="32EAC075"/>
    <w:rsid w:val="32F704CF"/>
    <w:rsid w:val="33941692"/>
    <w:rsid w:val="339E3310"/>
    <w:rsid w:val="344C9D18"/>
    <w:rsid w:val="344F3075"/>
    <w:rsid w:val="34B0A7C4"/>
    <w:rsid w:val="35920632"/>
    <w:rsid w:val="35DF221D"/>
    <w:rsid w:val="37DAFDA2"/>
    <w:rsid w:val="38CA97DB"/>
    <w:rsid w:val="39A83494"/>
    <w:rsid w:val="39F690CA"/>
    <w:rsid w:val="3A04709D"/>
    <w:rsid w:val="3A7BF795"/>
    <w:rsid w:val="3A9A95EB"/>
    <w:rsid w:val="3AD00CC5"/>
    <w:rsid w:val="3B3270C7"/>
    <w:rsid w:val="3B7FABAD"/>
    <w:rsid w:val="3BA210F9"/>
    <w:rsid w:val="3C76DEDA"/>
    <w:rsid w:val="3CB0EC48"/>
    <w:rsid w:val="3D1CDF30"/>
    <w:rsid w:val="3D2F1990"/>
    <w:rsid w:val="3D468425"/>
    <w:rsid w:val="3D5927DD"/>
    <w:rsid w:val="3DF7901A"/>
    <w:rsid w:val="3EA17428"/>
    <w:rsid w:val="3ECA0FF9"/>
    <w:rsid w:val="3F069D66"/>
    <w:rsid w:val="3F28E4AB"/>
    <w:rsid w:val="40873103"/>
    <w:rsid w:val="40E2E257"/>
    <w:rsid w:val="41CAAFB6"/>
    <w:rsid w:val="41EBDF29"/>
    <w:rsid w:val="425E5D74"/>
    <w:rsid w:val="425ECFFA"/>
    <w:rsid w:val="42A53C6A"/>
    <w:rsid w:val="42B37403"/>
    <w:rsid w:val="42B960F3"/>
    <w:rsid w:val="435271D0"/>
    <w:rsid w:val="43598B8D"/>
    <w:rsid w:val="43FD0509"/>
    <w:rsid w:val="44D3B0F2"/>
    <w:rsid w:val="44F01045"/>
    <w:rsid w:val="451E2245"/>
    <w:rsid w:val="455453C0"/>
    <w:rsid w:val="45941EBB"/>
    <w:rsid w:val="45C1BAA9"/>
    <w:rsid w:val="4622C83D"/>
    <w:rsid w:val="46E7A1F4"/>
    <w:rsid w:val="475B1BE1"/>
    <w:rsid w:val="479B5F3F"/>
    <w:rsid w:val="48573E94"/>
    <w:rsid w:val="4875161E"/>
    <w:rsid w:val="48DC1BB4"/>
    <w:rsid w:val="4A751F01"/>
    <w:rsid w:val="4A793815"/>
    <w:rsid w:val="4ABA10AF"/>
    <w:rsid w:val="4B7CBA67"/>
    <w:rsid w:val="4BE2BBA4"/>
    <w:rsid w:val="4CDF23D6"/>
    <w:rsid w:val="4D097B8F"/>
    <w:rsid w:val="4D40EB54"/>
    <w:rsid w:val="4D871E9A"/>
    <w:rsid w:val="4DA0FF6E"/>
    <w:rsid w:val="4DFAA4FC"/>
    <w:rsid w:val="4E05959F"/>
    <w:rsid w:val="4E07F9AD"/>
    <w:rsid w:val="4E179AD7"/>
    <w:rsid w:val="4E5B5020"/>
    <w:rsid w:val="4E5C9E26"/>
    <w:rsid w:val="4E89A7B7"/>
    <w:rsid w:val="4F1D3F12"/>
    <w:rsid w:val="4F2D3CE1"/>
    <w:rsid w:val="4FD6A780"/>
    <w:rsid w:val="4FE61DEA"/>
    <w:rsid w:val="500D3BC9"/>
    <w:rsid w:val="5050D1C6"/>
    <w:rsid w:val="508171DC"/>
    <w:rsid w:val="5122C75C"/>
    <w:rsid w:val="519EBDC9"/>
    <w:rsid w:val="522D5081"/>
    <w:rsid w:val="52490A02"/>
    <w:rsid w:val="5252D045"/>
    <w:rsid w:val="525819CA"/>
    <w:rsid w:val="52AEC89D"/>
    <w:rsid w:val="533BDD13"/>
    <w:rsid w:val="535CDEB9"/>
    <w:rsid w:val="536C7E47"/>
    <w:rsid w:val="537CDB95"/>
    <w:rsid w:val="5685D3BC"/>
    <w:rsid w:val="569DBB01"/>
    <w:rsid w:val="56C70E0B"/>
    <w:rsid w:val="56F40E48"/>
    <w:rsid w:val="5721F181"/>
    <w:rsid w:val="57350C37"/>
    <w:rsid w:val="57B1EF0E"/>
    <w:rsid w:val="580A5B39"/>
    <w:rsid w:val="581C1E02"/>
    <w:rsid w:val="58D09FF4"/>
    <w:rsid w:val="58DEC188"/>
    <w:rsid w:val="5916B4EA"/>
    <w:rsid w:val="5924D223"/>
    <w:rsid w:val="59BC2589"/>
    <w:rsid w:val="59D1E24C"/>
    <w:rsid w:val="5C28DFEA"/>
    <w:rsid w:val="5CA2323E"/>
    <w:rsid w:val="5CA38AD8"/>
    <w:rsid w:val="5CAB88A9"/>
    <w:rsid w:val="5D4480CB"/>
    <w:rsid w:val="5E3CC5B2"/>
    <w:rsid w:val="5ED7C0D4"/>
    <w:rsid w:val="5F5960E7"/>
    <w:rsid w:val="5F675A7D"/>
    <w:rsid w:val="5FAE99A2"/>
    <w:rsid w:val="60EBBF13"/>
    <w:rsid w:val="60F924CA"/>
    <w:rsid w:val="6149B74F"/>
    <w:rsid w:val="61A377DD"/>
    <w:rsid w:val="61B25ED0"/>
    <w:rsid w:val="61CA2C6C"/>
    <w:rsid w:val="61CCFD65"/>
    <w:rsid w:val="621AD70C"/>
    <w:rsid w:val="622A781D"/>
    <w:rsid w:val="6252D427"/>
    <w:rsid w:val="62790131"/>
    <w:rsid w:val="6291FC00"/>
    <w:rsid w:val="62F66FB1"/>
    <w:rsid w:val="6344A58F"/>
    <w:rsid w:val="63579E70"/>
    <w:rsid w:val="637832DF"/>
    <w:rsid w:val="63B164D0"/>
    <w:rsid w:val="63CD9F1F"/>
    <w:rsid w:val="642D368E"/>
    <w:rsid w:val="6502609C"/>
    <w:rsid w:val="65383932"/>
    <w:rsid w:val="66172DD0"/>
    <w:rsid w:val="6669CE7A"/>
    <w:rsid w:val="66C916D8"/>
    <w:rsid w:val="66F4FD77"/>
    <w:rsid w:val="67095859"/>
    <w:rsid w:val="67EF3235"/>
    <w:rsid w:val="67F50C18"/>
    <w:rsid w:val="68480939"/>
    <w:rsid w:val="6885189E"/>
    <w:rsid w:val="69003B62"/>
    <w:rsid w:val="69457756"/>
    <w:rsid w:val="69551B08"/>
    <w:rsid w:val="69C33443"/>
    <w:rsid w:val="69F37BDF"/>
    <w:rsid w:val="6B4BBCF4"/>
    <w:rsid w:val="6B84A2B9"/>
    <w:rsid w:val="6BD45F5A"/>
    <w:rsid w:val="6C06A442"/>
    <w:rsid w:val="6C113ED9"/>
    <w:rsid w:val="6C34FD89"/>
    <w:rsid w:val="6CA607C4"/>
    <w:rsid w:val="6D81DF87"/>
    <w:rsid w:val="6D84B937"/>
    <w:rsid w:val="6DB5F527"/>
    <w:rsid w:val="6DB8DFC5"/>
    <w:rsid w:val="6DCD6DB0"/>
    <w:rsid w:val="6E6F6152"/>
    <w:rsid w:val="6E94F5A1"/>
    <w:rsid w:val="6F6DE6D4"/>
    <w:rsid w:val="6FB790C3"/>
    <w:rsid w:val="70DB35DA"/>
    <w:rsid w:val="721038F3"/>
    <w:rsid w:val="723FAF17"/>
    <w:rsid w:val="731FEBBD"/>
    <w:rsid w:val="737FDF33"/>
    <w:rsid w:val="738FFEDF"/>
    <w:rsid w:val="73ADF9F7"/>
    <w:rsid w:val="744FD8EA"/>
    <w:rsid w:val="74BA663A"/>
    <w:rsid w:val="74FD7221"/>
    <w:rsid w:val="7505E1FF"/>
    <w:rsid w:val="752E99E1"/>
    <w:rsid w:val="7671F9F5"/>
    <w:rsid w:val="76804A05"/>
    <w:rsid w:val="76E1614E"/>
    <w:rsid w:val="76E9FB65"/>
    <w:rsid w:val="77695F1B"/>
    <w:rsid w:val="779DFB73"/>
    <w:rsid w:val="785AF4BC"/>
    <w:rsid w:val="7868F210"/>
    <w:rsid w:val="78F04760"/>
    <w:rsid w:val="79BF45C8"/>
    <w:rsid w:val="79D63D96"/>
    <w:rsid w:val="7A8A4A7F"/>
    <w:rsid w:val="7B291418"/>
    <w:rsid w:val="7BC7CA27"/>
    <w:rsid w:val="7BF45391"/>
    <w:rsid w:val="7C09C08A"/>
    <w:rsid w:val="7C0CA017"/>
    <w:rsid w:val="7C401C37"/>
    <w:rsid w:val="7C65DC39"/>
    <w:rsid w:val="7DA0326A"/>
    <w:rsid w:val="7DE3D539"/>
    <w:rsid w:val="7E383096"/>
    <w:rsid w:val="7ED40350"/>
    <w:rsid w:val="7EFA4C32"/>
    <w:rsid w:val="7F38DFE5"/>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B3E4F"/>
  <w15:docId w15:val="{9B9901C6-F64C-4807-B55C-17EE6C7A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0225"/>
    <w:pPr>
      <w:spacing w:after="130"/>
      <w:jc w:val="both"/>
    </w:pPr>
    <w:rPr>
      <w:rFonts w:ascii="Times New Roman" w:eastAsia="Calibri" w:hAnsi="Times New Roman" w:cs="Times New Roman"/>
      <w:lang w:val="en-AU"/>
    </w:rPr>
  </w:style>
  <w:style w:type="paragraph" w:styleId="Heading1">
    <w:name w:val="heading 1"/>
    <w:basedOn w:val="Title"/>
    <w:next w:val="BodyText"/>
    <w:uiPriority w:val="9"/>
    <w:qFormat/>
    <w:rsid w:val="001B5509"/>
    <w:pPr>
      <w:jc w:val="left"/>
      <w:outlineLvl w:val="0"/>
    </w:pPr>
    <w:rPr>
      <w:rFonts w:ascii="Times New Roman" w:hAnsi="Times New Roman" w:cs="Times New Roman"/>
      <w:b w:val="0"/>
      <w:color w:val="000000" w:themeColor="text1"/>
    </w:rPr>
  </w:style>
  <w:style w:type="paragraph" w:styleId="Heading2">
    <w:name w:val="heading 2"/>
    <w:basedOn w:val="Normal"/>
    <w:next w:val="BodyText"/>
    <w:uiPriority w:val="9"/>
    <w:unhideWhenUsed/>
    <w:qFormat/>
    <w:rsid w:val="00712613"/>
    <w:pPr>
      <w:outlineLvl w:val="1"/>
    </w:pPr>
    <w:rPr>
      <w:rFonts w:eastAsiaTheme="majorEastAsia"/>
      <w:b/>
      <w:bCs/>
      <w:color w:val="000000" w:themeColor="text1"/>
    </w:rPr>
  </w:style>
  <w:style w:type="paragraph" w:styleId="Heading3">
    <w:name w:val="heading 3"/>
    <w:basedOn w:val="Normal"/>
    <w:next w:val="BodyText"/>
    <w:uiPriority w:val="9"/>
    <w:unhideWhenUsed/>
    <w:qFormat/>
    <w:rsid w:val="003F48B1"/>
    <w:pPr>
      <w:keepNext/>
      <w:keepLines/>
      <w:spacing w:before="200" w:after="0"/>
      <w:outlineLvl w:val="2"/>
    </w:pPr>
    <w:rPr>
      <w:rFonts w:eastAsiaTheme="majorEastAsia"/>
      <w:b/>
      <w:bCs/>
    </w:rPr>
  </w:style>
  <w:style w:type="paragraph" w:styleId="Heading4">
    <w:name w:val="heading 4"/>
    <w:basedOn w:val="Normal"/>
    <w:next w:val="BodyText"/>
    <w:uiPriority w:val="9"/>
    <w:unhideWhenUsed/>
    <w:qFormat/>
    <w:rsid w:val="00AF53F0"/>
    <w:pPr>
      <w:keepNext/>
      <w:keepLines/>
      <w:spacing w:before="200" w:after="0"/>
      <w:outlineLvl w:val="3"/>
    </w:pPr>
    <w:rPr>
      <w:rFonts w:eastAsiaTheme="majorEastAsia"/>
      <w:b/>
      <w:bCs/>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link w:val="FirstParagraphChar"/>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pPr>
      <w:tabs>
        <w:tab w:val="left" w:pos="384"/>
      </w:tabs>
      <w:spacing w:after="0" w:line="480" w:lineRule="auto"/>
      <w:ind w:left="384" w:hanging="384"/>
    </w:pPr>
  </w:style>
  <w:style w:type="paragraph" w:styleId="BlockText">
    <w:name w:val="Block Text"/>
    <w:basedOn w:val="Normal"/>
    <w:next w:val="BodyText"/>
    <w:uiPriority w:val="9"/>
    <w:unhideWhenUsed/>
    <w:qFormat/>
    <w:rsid w:val="00B40225"/>
    <w:rPr>
      <w:i/>
      <w:i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customStyle="1" w:styleId="EndNoteBibliographyTitle">
    <w:name w:val="EndNote Bibliography Title"/>
    <w:basedOn w:val="Normal"/>
    <w:link w:val="EndNoteBibliographyTitleChar"/>
    <w:rsid w:val="00EA1C4B"/>
    <w:pPr>
      <w:spacing w:after="0"/>
      <w:jc w:val="center"/>
    </w:pPr>
    <w:rPr>
      <w:rFonts w:ascii="Cambria" w:hAnsi="Cambria"/>
      <w:noProof/>
    </w:rPr>
  </w:style>
  <w:style w:type="character" w:customStyle="1" w:styleId="BodyTextChar">
    <w:name w:val="Body Text Char"/>
    <w:basedOn w:val="DefaultParagraphFont"/>
    <w:link w:val="BodyText"/>
    <w:rsid w:val="00EA1C4B"/>
  </w:style>
  <w:style w:type="character" w:customStyle="1" w:styleId="FirstParagraphChar">
    <w:name w:val="First Paragraph Char"/>
    <w:basedOn w:val="BodyTextChar"/>
    <w:link w:val="FirstParagraph"/>
    <w:rsid w:val="00EA1C4B"/>
  </w:style>
  <w:style w:type="character" w:customStyle="1" w:styleId="EndNoteBibliographyTitleChar">
    <w:name w:val="EndNote Bibliography Title Char"/>
    <w:basedOn w:val="FirstParagraphChar"/>
    <w:link w:val="EndNoteBibliographyTitle"/>
    <w:rsid w:val="00EA1C4B"/>
    <w:rPr>
      <w:rFonts w:ascii="Cambria" w:hAnsi="Cambria"/>
      <w:noProof/>
    </w:rPr>
  </w:style>
  <w:style w:type="paragraph" w:customStyle="1" w:styleId="EndNoteBibliography">
    <w:name w:val="EndNote Bibliography"/>
    <w:basedOn w:val="Normal"/>
    <w:link w:val="EndNoteBibliographyChar"/>
    <w:rsid w:val="00EA1C4B"/>
    <w:rPr>
      <w:rFonts w:ascii="Cambria" w:hAnsi="Cambria"/>
      <w:noProof/>
    </w:rPr>
  </w:style>
  <w:style w:type="character" w:customStyle="1" w:styleId="EndNoteBibliographyChar">
    <w:name w:val="EndNote Bibliography Char"/>
    <w:basedOn w:val="FirstParagraphChar"/>
    <w:link w:val="EndNoteBibliography"/>
    <w:rsid w:val="00EA1C4B"/>
    <w:rPr>
      <w:rFonts w:ascii="Cambria" w:hAnsi="Cambria"/>
      <w:noProof/>
    </w:rPr>
  </w:style>
  <w:style w:type="paragraph" w:styleId="ListParagraph">
    <w:name w:val="List Paragraph"/>
    <w:basedOn w:val="Normal"/>
    <w:rsid w:val="0085792F"/>
    <w:pPr>
      <w:ind w:left="720"/>
      <w:contextualSpacing/>
    </w:pPr>
  </w:style>
  <w:style w:type="table" w:styleId="TableGrid">
    <w:name w:val="Table Grid"/>
    <w:basedOn w:val="TableNormal"/>
    <w:uiPriority w:val="39"/>
    <w:rsid w:val="007463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6386"/>
    <w:rPr>
      <w:sz w:val="16"/>
      <w:szCs w:val="16"/>
    </w:rPr>
  </w:style>
  <w:style w:type="paragraph" w:styleId="CommentText">
    <w:name w:val="annotation text"/>
    <w:basedOn w:val="Normal"/>
    <w:link w:val="CommentTextChar"/>
    <w:uiPriority w:val="99"/>
    <w:unhideWhenUsed/>
    <w:rsid w:val="00746386"/>
    <w:rPr>
      <w:sz w:val="20"/>
      <w:szCs w:val="20"/>
    </w:rPr>
  </w:style>
  <w:style w:type="character" w:customStyle="1" w:styleId="CommentTextChar">
    <w:name w:val="Comment Text Char"/>
    <w:basedOn w:val="DefaultParagraphFont"/>
    <w:link w:val="CommentText"/>
    <w:uiPriority w:val="99"/>
    <w:rsid w:val="00746386"/>
    <w:rPr>
      <w:sz w:val="20"/>
      <w:szCs w:val="20"/>
    </w:rPr>
  </w:style>
  <w:style w:type="paragraph" w:styleId="CommentSubject">
    <w:name w:val="annotation subject"/>
    <w:basedOn w:val="CommentText"/>
    <w:next w:val="CommentText"/>
    <w:link w:val="CommentSubjectChar"/>
    <w:semiHidden/>
    <w:unhideWhenUsed/>
    <w:rsid w:val="00746386"/>
    <w:rPr>
      <w:b/>
      <w:bCs/>
    </w:rPr>
  </w:style>
  <w:style w:type="character" w:customStyle="1" w:styleId="CommentSubjectChar">
    <w:name w:val="Comment Subject Char"/>
    <w:basedOn w:val="CommentTextChar"/>
    <w:link w:val="CommentSubject"/>
    <w:semiHidden/>
    <w:rsid w:val="00746386"/>
    <w:rPr>
      <w:b/>
      <w:bCs/>
      <w:sz w:val="20"/>
      <w:szCs w:val="20"/>
    </w:rPr>
  </w:style>
  <w:style w:type="paragraph" w:styleId="BalloonText">
    <w:name w:val="Balloon Text"/>
    <w:basedOn w:val="Normal"/>
    <w:link w:val="BalloonTextChar"/>
    <w:semiHidden/>
    <w:unhideWhenUsed/>
    <w:rsid w:val="0074638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746386"/>
    <w:rPr>
      <w:rFonts w:ascii="Segoe UI" w:hAnsi="Segoe UI" w:cs="Segoe UI"/>
      <w:sz w:val="18"/>
      <w:szCs w:val="18"/>
    </w:rPr>
  </w:style>
  <w:style w:type="paragraph" w:styleId="NormalWeb">
    <w:name w:val="Normal (Web)"/>
    <w:basedOn w:val="Normal"/>
    <w:uiPriority w:val="99"/>
    <w:unhideWhenUsed/>
    <w:rsid w:val="007A7632"/>
    <w:pPr>
      <w:spacing w:before="100" w:beforeAutospacing="1" w:after="100" w:afterAutospacing="1"/>
    </w:pPr>
    <w:rPr>
      <w:rFonts w:eastAsia="Times New Roman"/>
      <w:lang w:val="en-GB" w:eastAsia="en-GB"/>
    </w:rPr>
  </w:style>
  <w:style w:type="table" w:styleId="GridTable2">
    <w:name w:val="Grid Table 2"/>
    <w:basedOn w:val="TableNormal"/>
    <w:rsid w:val="00BB2EE6"/>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22241"/>
    <w:rPr>
      <w:color w:val="605E5C"/>
      <w:shd w:val="clear" w:color="auto" w:fill="E1DFDD"/>
    </w:rPr>
  </w:style>
  <w:style w:type="character" w:styleId="FollowedHyperlink">
    <w:name w:val="FollowedHyperlink"/>
    <w:basedOn w:val="DefaultParagraphFont"/>
    <w:rsid w:val="00D85C2D"/>
    <w:rPr>
      <w:color w:val="800080" w:themeColor="followedHyperlink"/>
      <w:u w:val="single"/>
    </w:rPr>
  </w:style>
  <w:style w:type="paragraph" w:styleId="Header">
    <w:name w:val="header"/>
    <w:basedOn w:val="Normal"/>
    <w:link w:val="HeaderChar"/>
    <w:unhideWhenUsed/>
    <w:rsid w:val="0086096B"/>
    <w:pPr>
      <w:tabs>
        <w:tab w:val="center" w:pos="4680"/>
        <w:tab w:val="right" w:pos="9360"/>
      </w:tabs>
      <w:spacing w:after="0"/>
    </w:pPr>
  </w:style>
  <w:style w:type="character" w:customStyle="1" w:styleId="HeaderChar">
    <w:name w:val="Header Char"/>
    <w:basedOn w:val="DefaultParagraphFont"/>
    <w:link w:val="Header"/>
    <w:rsid w:val="0086096B"/>
  </w:style>
  <w:style w:type="paragraph" w:styleId="Footer">
    <w:name w:val="footer"/>
    <w:basedOn w:val="Normal"/>
    <w:link w:val="FooterChar"/>
    <w:unhideWhenUsed/>
    <w:rsid w:val="0086096B"/>
    <w:pPr>
      <w:tabs>
        <w:tab w:val="center" w:pos="4680"/>
        <w:tab w:val="right" w:pos="9360"/>
      </w:tabs>
      <w:spacing w:after="0"/>
    </w:pPr>
  </w:style>
  <w:style w:type="character" w:customStyle="1" w:styleId="FooterChar">
    <w:name w:val="Footer Char"/>
    <w:basedOn w:val="DefaultParagraphFont"/>
    <w:link w:val="Footer"/>
    <w:rsid w:val="0086096B"/>
  </w:style>
  <w:style w:type="paragraph" w:styleId="Revision">
    <w:name w:val="Revision"/>
    <w:hidden/>
    <w:semiHidden/>
    <w:rsid w:val="00C81FF1"/>
    <w:pPr>
      <w:spacing w:after="0"/>
    </w:pPr>
  </w:style>
  <w:style w:type="table" w:styleId="PlainTable5">
    <w:name w:val="Plain Table 5"/>
    <w:basedOn w:val="TableNormal"/>
    <w:rsid w:val="009C2AF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rsid w:val="009C2AF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basedOn w:val="DefaultParagraphFont"/>
    <w:uiPriority w:val="22"/>
    <w:qFormat/>
    <w:rsid w:val="00D075FC"/>
    <w:rPr>
      <w:b/>
      <w:bCs/>
    </w:rPr>
  </w:style>
  <w:style w:type="character" w:styleId="Emphasis">
    <w:name w:val="Emphasis"/>
    <w:basedOn w:val="DefaultParagraphFont"/>
    <w:uiPriority w:val="20"/>
    <w:qFormat/>
    <w:rsid w:val="00D075FC"/>
    <w:rPr>
      <w:i/>
      <w:iCs/>
    </w:rPr>
  </w:style>
  <w:style w:type="table" w:styleId="PlainTable1">
    <w:name w:val="Plain Table 1"/>
    <w:basedOn w:val="TableNormal"/>
    <w:rsid w:val="0039396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
    <w:name w:val="Table"/>
    <w:semiHidden/>
    <w:unhideWhenUsed/>
    <w:qFormat/>
    <w:rsid w:val="007F6C29"/>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TitleChar">
    <w:name w:val="Title Char"/>
    <w:basedOn w:val="DefaultParagraphFont"/>
    <w:link w:val="Title"/>
    <w:uiPriority w:val="10"/>
    <w:rsid w:val="00CB57A3"/>
    <w:rPr>
      <w:rFonts w:asciiTheme="majorHAnsi" w:eastAsiaTheme="majorEastAsia" w:hAnsiTheme="majorHAnsi" w:cstheme="majorBidi"/>
      <w:b/>
      <w:bCs/>
      <w:color w:val="345A8A" w:themeColor="accent1" w:themeShade="B5"/>
      <w:sz w:val="36"/>
      <w:szCs w:val="3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83814">
      <w:bodyDiv w:val="1"/>
      <w:marLeft w:val="0"/>
      <w:marRight w:val="0"/>
      <w:marTop w:val="0"/>
      <w:marBottom w:val="0"/>
      <w:divBdr>
        <w:top w:val="none" w:sz="0" w:space="0" w:color="auto"/>
        <w:left w:val="none" w:sz="0" w:space="0" w:color="auto"/>
        <w:bottom w:val="none" w:sz="0" w:space="0" w:color="auto"/>
        <w:right w:val="none" w:sz="0" w:space="0" w:color="auto"/>
      </w:divBdr>
    </w:div>
    <w:div w:id="320040380">
      <w:bodyDiv w:val="1"/>
      <w:marLeft w:val="0"/>
      <w:marRight w:val="0"/>
      <w:marTop w:val="0"/>
      <w:marBottom w:val="0"/>
      <w:divBdr>
        <w:top w:val="none" w:sz="0" w:space="0" w:color="auto"/>
        <w:left w:val="none" w:sz="0" w:space="0" w:color="auto"/>
        <w:bottom w:val="none" w:sz="0" w:space="0" w:color="auto"/>
        <w:right w:val="none" w:sz="0" w:space="0" w:color="auto"/>
      </w:divBdr>
    </w:div>
    <w:div w:id="335503621">
      <w:bodyDiv w:val="1"/>
      <w:marLeft w:val="0"/>
      <w:marRight w:val="0"/>
      <w:marTop w:val="0"/>
      <w:marBottom w:val="0"/>
      <w:divBdr>
        <w:top w:val="none" w:sz="0" w:space="0" w:color="auto"/>
        <w:left w:val="none" w:sz="0" w:space="0" w:color="auto"/>
        <w:bottom w:val="none" w:sz="0" w:space="0" w:color="auto"/>
        <w:right w:val="none" w:sz="0" w:space="0" w:color="auto"/>
      </w:divBdr>
    </w:div>
    <w:div w:id="365327240">
      <w:bodyDiv w:val="1"/>
      <w:marLeft w:val="0"/>
      <w:marRight w:val="0"/>
      <w:marTop w:val="0"/>
      <w:marBottom w:val="0"/>
      <w:divBdr>
        <w:top w:val="none" w:sz="0" w:space="0" w:color="auto"/>
        <w:left w:val="none" w:sz="0" w:space="0" w:color="auto"/>
        <w:bottom w:val="none" w:sz="0" w:space="0" w:color="auto"/>
        <w:right w:val="none" w:sz="0" w:space="0" w:color="auto"/>
      </w:divBdr>
    </w:div>
    <w:div w:id="423649508">
      <w:bodyDiv w:val="1"/>
      <w:marLeft w:val="0"/>
      <w:marRight w:val="0"/>
      <w:marTop w:val="0"/>
      <w:marBottom w:val="0"/>
      <w:divBdr>
        <w:top w:val="none" w:sz="0" w:space="0" w:color="auto"/>
        <w:left w:val="none" w:sz="0" w:space="0" w:color="auto"/>
        <w:bottom w:val="none" w:sz="0" w:space="0" w:color="auto"/>
        <w:right w:val="none" w:sz="0" w:space="0" w:color="auto"/>
      </w:divBdr>
    </w:div>
    <w:div w:id="574633205">
      <w:bodyDiv w:val="1"/>
      <w:marLeft w:val="0"/>
      <w:marRight w:val="0"/>
      <w:marTop w:val="0"/>
      <w:marBottom w:val="0"/>
      <w:divBdr>
        <w:top w:val="none" w:sz="0" w:space="0" w:color="auto"/>
        <w:left w:val="none" w:sz="0" w:space="0" w:color="auto"/>
        <w:bottom w:val="none" w:sz="0" w:space="0" w:color="auto"/>
        <w:right w:val="none" w:sz="0" w:space="0" w:color="auto"/>
      </w:divBdr>
    </w:div>
    <w:div w:id="811756745">
      <w:bodyDiv w:val="1"/>
      <w:marLeft w:val="0"/>
      <w:marRight w:val="0"/>
      <w:marTop w:val="0"/>
      <w:marBottom w:val="0"/>
      <w:divBdr>
        <w:top w:val="none" w:sz="0" w:space="0" w:color="auto"/>
        <w:left w:val="none" w:sz="0" w:space="0" w:color="auto"/>
        <w:bottom w:val="none" w:sz="0" w:space="0" w:color="auto"/>
        <w:right w:val="none" w:sz="0" w:space="0" w:color="auto"/>
      </w:divBdr>
    </w:div>
    <w:div w:id="1010259332">
      <w:bodyDiv w:val="1"/>
      <w:marLeft w:val="0"/>
      <w:marRight w:val="0"/>
      <w:marTop w:val="0"/>
      <w:marBottom w:val="0"/>
      <w:divBdr>
        <w:top w:val="none" w:sz="0" w:space="0" w:color="auto"/>
        <w:left w:val="none" w:sz="0" w:space="0" w:color="auto"/>
        <w:bottom w:val="none" w:sz="0" w:space="0" w:color="auto"/>
        <w:right w:val="none" w:sz="0" w:space="0" w:color="auto"/>
      </w:divBdr>
    </w:div>
    <w:div w:id="1026709389">
      <w:bodyDiv w:val="1"/>
      <w:marLeft w:val="0"/>
      <w:marRight w:val="0"/>
      <w:marTop w:val="0"/>
      <w:marBottom w:val="0"/>
      <w:divBdr>
        <w:top w:val="none" w:sz="0" w:space="0" w:color="auto"/>
        <w:left w:val="none" w:sz="0" w:space="0" w:color="auto"/>
        <w:bottom w:val="none" w:sz="0" w:space="0" w:color="auto"/>
        <w:right w:val="none" w:sz="0" w:space="0" w:color="auto"/>
      </w:divBdr>
    </w:div>
    <w:div w:id="1048996983">
      <w:bodyDiv w:val="1"/>
      <w:marLeft w:val="0"/>
      <w:marRight w:val="0"/>
      <w:marTop w:val="0"/>
      <w:marBottom w:val="0"/>
      <w:divBdr>
        <w:top w:val="none" w:sz="0" w:space="0" w:color="auto"/>
        <w:left w:val="none" w:sz="0" w:space="0" w:color="auto"/>
        <w:bottom w:val="none" w:sz="0" w:space="0" w:color="auto"/>
        <w:right w:val="none" w:sz="0" w:space="0" w:color="auto"/>
      </w:divBdr>
    </w:div>
    <w:div w:id="1049692986">
      <w:bodyDiv w:val="1"/>
      <w:marLeft w:val="0"/>
      <w:marRight w:val="0"/>
      <w:marTop w:val="0"/>
      <w:marBottom w:val="0"/>
      <w:divBdr>
        <w:top w:val="none" w:sz="0" w:space="0" w:color="auto"/>
        <w:left w:val="none" w:sz="0" w:space="0" w:color="auto"/>
        <w:bottom w:val="none" w:sz="0" w:space="0" w:color="auto"/>
        <w:right w:val="none" w:sz="0" w:space="0" w:color="auto"/>
      </w:divBdr>
    </w:div>
    <w:div w:id="1101727965">
      <w:bodyDiv w:val="1"/>
      <w:marLeft w:val="0"/>
      <w:marRight w:val="0"/>
      <w:marTop w:val="0"/>
      <w:marBottom w:val="0"/>
      <w:divBdr>
        <w:top w:val="none" w:sz="0" w:space="0" w:color="auto"/>
        <w:left w:val="none" w:sz="0" w:space="0" w:color="auto"/>
        <w:bottom w:val="none" w:sz="0" w:space="0" w:color="auto"/>
        <w:right w:val="none" w:sz="0" w:space="0" w:color="auto"/>
      </w:divBdr>
    </w:div>
    <w:div w:id="1146361300">
      <w:bodyDiv w:val="1"/>
      <w:marLeft w:val="0"/>
      <w:marRight w:val="0"/>
      <w:marTop w:val="0"/>
      <w:marBottom w:val="0"/>
      <w:divBdr>
        <w:top w:val="none" w:sz="0" w:space="0" w:color="auto"/>
        <w:left w:val="none" w:sz="0" w:space="0" w:color="auto"/>
        <w:bottom w:val="none" w:sz="0" w:space="0" w:color="auto"/>
        <w:right w:val="none" w:sz="0" w:space="0" w:color="auto"/>
      </w:divBdr>
    </w:div>
    <w:div w:id="1209219410">
      <w:bodyDiv w:val="1"/>
      <w:marLeft w:val="0"/>
      <w:marRight w:val="0"/>
      <w:marTop w:val="0"/>
      <w:marBottom w:val="0"/>
      <w:divBdr>
        <w:top w:val="none" w:sz="0" w:space="0" w:color="auto"/>
        <w:left w:val="none" w:sz="0" w:space="0" w:color="auto"/>
        <w:bottom w:val="none" w:sz="0" w:space="0" w:color="auto"/>
        <w:right w:val="none" w:sz="0" w:space="0" w:color="auto"/>
      </w:divBdr>
    </w:div>
    <w:div w:id="1216773540">
      <w:bodyDiv w:val="1"/>
      <w:marLeft w:val="0"/>
      <w:marRight w:val="0"/>
      <w:marTop w:val="0"/>
      <w:marBottom w:val="0"/>
      <w:divBdr>
        <w:top w:val="none" w:sz="0" w:space="0" w:color="auto"/>
        <w:left w:val="none" w:sz="0" w:space="0" w:color="auto"/>
        <w:bottom w:val="none" w:sz="0" w:space="0" w:color="auto"/>
        <w:right w:val="none" w:sz="0" w:space="0" w:color="auto"/>
      </w:divBdr>
    </w:div>
    <w:div w:id="1250507051">
      <w:bodyDiv w:val="1"/>
      <w:marLeft w:val="0"/>
      <w:marRight w:val="0"/>
      <w:marTop w:val="0"/>
      <w:marBottom w:val="0"/>
      <w:divBdr>
        <w:top w:val="none" w:sz="0" w:space="0" w:color="auto"/>
        <w:left w:val="none" w:sz="0" w:space="0" w:color="auto"/>
        <w:bottom w:val="none" w:sz="0" w:space="0" w:color="auto"/>
        <w:right w:val="none" w:sz="0" w:space="0" w:color="auto"/>
      </w:divBdr>
    </w:div>
    <w:div w:id="1279875064">
      <w:bodyDiv w:val="1"/>
      <w:marLeft w:val="0"/>
      <w:marRight w:val="0"/>
      <w:marTop w:val="0"/>
      <w:marBottom w:val="0"/>
      <w:divBdr>
        <w:top w:val="none" w:sz="0" w:space="0" w:color="auto"/>
        <w:left w:val="none" w:sz="0" w:space="0" w:color="auto"/>
        <w:bottom w:val="none" w:sz="0" w:space="0" w:color="auto"/>
        <w:right w:val="none" w:sz="0" w:space="0" w:color="auto"/>
      </w:divBdr>
    </w:div>
    <w:div w:id="1358317174">
      <w:bodyDiv w:val="1"/>
      <w:marLeft w:val="0"/>
      <w:marRight w:val="0"/>
      <w:marTop w:val="0"/>
      <w:marBottom w:val="0"/>
      <w:divBdr>
        <w:top w:val="none" w:sz="0" w:space="0" w:color="auto"/>
        <w:left w:val="none" w:sz="0" w:space="0" w:color="auto"/>
        <w:bottom w:val="none" w:sz="0" w:space="0" w:color="auto"/>
        <w:right w:val="none" w:sz="0" w:space="0" w:color="auto"/>
      </w:divBdr>
      <w:divsChild>
        <w:div w:id="1634209371">
          <w:marLeft w:val="0"/>
          <w:marRight w:val="0"/>
          <w:marTop w:val="0"/>
          <w:marBottom w:val="0"/>
          <w:divBdr>
            <w:top w:val="none" w:sz="0" w:space="0" w:color="auto"/>
            <w:left w:val="none" w:sz="0" w:space="0" w:color="auto"/>
            <w:bottom w:val="none" w:sz="0" w:space="0" w:color="auto"/>
            <w:right w:val="none" w:sz="0" w:space="0" w:color="auto"/>
          </w:divBdr>
          <w:divsChild>
            <w:div w:id="4002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5510">
      <w:bodyDiv w:val="1"/>
      <w:marLeft w:val="0"/>
      <w:marRight w:val="0"/>
      <w:marTop w:val="0"/>
      <w:marBottom w:val="0"/>
      <w:divBdr>
        <w:top w:val="none" w:sz="0" w:space="0" w:color="auto"/>
        <w:left w:val="none" w:sz="0" w:space="0" w:color="auto"/>
        <w:bottom w:val="none" w:sz="0" w:space="0" w:color="auto"/>
        <w:right w:val="none" w:sz="0" w:space="0" w:color="auto"/>
      </w:divBdr>
    </w:div>
    <w:div w:id="1456212238">
      <w:bodyDiv w:val="1"/>
      <w:marLeft w:val="0"/>
      <w:marRight w:val="0"/>
      <w:marTop w:val="0"/>
      <w:marBottom w:val="0"/>
      <w:divBdr>
        <w:top w:val="none" w:sz="0" w:space="0" w:color="auto"/>
        <w:left w:val="none" w:sz="0" w:space="0" w:color="auto"/>
        <w:bottom w:val="none" w:sz="0" w:space="0" w:color="auto"/>
        <w:right w:val="none" w:sz="0" w:space="0" w:color="auto"/>
      </w:divBdr>
    </w:div>
    <w:div w:id="1468815626">
      <w:bodyDiv w:val="1"/>
      <w:marLeft w:val="0"/>
      <w:marRight w:val="0"/>
      <w:marTop w:val="0"/>
      <w:marBottom w:val="0"/>
      <w:divBdr>
        <w:top w:val="none" w:sz="0" w:space="0" w:color="auto"/>
        <w:left w:val="none" w:sz="0" w:space="0" w:color="auto"/>
        <w:bottom w:val="none" w:sz="0" w:space="0" w:color="auto"/>
        <w:right w:val="none" w:sz="0" w:space="0" w:color="auto"/>
      </w:divBdr>
    </w:div>
    <w:div w:id="1529291415">
      <w:bodyDiv w:val="1"/>
      <w:marLeft w:val="0"/>
      <w:marRight w:val="0"/>
      <w:marTop w:val="0"/>
      <w:marBottom w:val="0"/>
      <w:divBdr>
        <w:top w:val="none" w:sz="0" w:space="0" w:color="auto"/>
        <w:left w:val="none" w:sz="0" w:space="0" w:color="auto"/>
        <w:bottom w:val="none" w:sz="0" w:space="0" w:color="auto"/>
        <w:right w:val="none" w:sz="0" w:space="0" w:color="auto"/>
      </w:divBdr>
    </w:div>
    <w:div w:id="1549217060">
      <w:bodyDiv w:val="1"/>
      <w:marLeft w:val="0"/>
      <w:marRight w:val="0"/>
      <w:marTop w:val="0"/>
      <w:marBottom w:val="0"/>
      <w:divBdr>
        <w:top w:val="none" w:sz="0" w:space="0" w:color="auto"/>
        <w:left w:val="none" w:sz="0" w:space="0" w:color="auto"/>
        <w:bottom w:val="none" w:sz="0" w:space="0" w:color="auto"/>
        <w:right w:val="none" w:sz="0" w:space="0" w:color="auto"/>
      </w:divBdr>
    </w:div>
    <w:div w:id="1580208843">
      <w:bodyDiv w:val="1"/>
      <w:marLeft w:val="0"/>
      <w:marRight w:val="0"/>
      <w:marTop w:val="0"/>
      <w:marBottom w:val="0"/>
      <w:divBdr>
        <w:top w:val="none" w:sz="0" w:space="0" w:color="auto"/>
        <w:left w:val="none" w:sz="0" w:space="0" w:color="auto"/>
        <w:bottom w:val="none" w:sz="0" w:space="0" w:color="auto"/>
        <w:right w:val="none" w:sz="0" w:space="0" w:color="auto"/>
      </w:divBdr>
    </w:div>
    <w:div w:id="1665862948">
      <w:bodyDiv w:val="1"/>
      <w:marLeft w:val="0"/>
      <w:marRight w:val="0"/>
      <w:marTop w:val="0"/>
      <w:marBottom w:val="0"/>
      <w:divBdr>
        <w:top w:val="none" w:sz="0" w:space="0" w:color="auto"/>
        <w:left w:val="none" w:sz="0" w:space="0" w:color="auto"/>
        <w:bottom w:val="none" w:sz="0" w:space="0" w:color="auto"/>
        <w:right w:val="none" w:sz="0" w:space="0" w:color="auto"/>
      </w:divBdr>
    </w:div>
    <w:div w:id="1673531870">
      <w:bodyDiv w:val="1"/>
      <w:marLeft w:val="0"/>
      <w:marRight w:val="0"/>
      <w:marTop w:val="0"/>
      <w:marBottom w:val="0"/>
      <w:divBdr>
        <w:top w:val="none" w:sz="0" w:space="0" w:color="auto"/>
        <w:left w:val="none" w:sz="0" w:space="0" w:color="auto"/>
        <w:bottom w:val="none" w:sz="0" w:space="0" w:color="auto"/>
        <w:right w:val="none" w:sz="0" w:space="0" w:color="auto"/>
      </w:divBdr>
      <w:divsChild>
        <w:div w:id="572929724">
          <w:marLeft w:val="0"/>
          <w:marRight w:val="0"/>
          <w:marTop w:val="0"/>
          <w:marBottom w:val="0"/>
          <w:divBdr>
            <w:top w:val="none" w:sz="0" w:space="0" w:color="auto"/>
            <w:left w:val="none" w:sz="0" w:space="0" w:color="auto"/>
            <w:bottom w:val="none" w:sz="0" w:space="0" w:color="auto"/>
            <w:right w:val="none" w:sz="0" w:space="0" w:color="auto"/>
          </w:divBdr>
          <w:divsChild>
            <w:div w:id="16051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77193">
      <w:bodyDiv w:val="1"/>
      <w:marLeft w:val="0"/>
      <w:marRight w:val="0"/>
      <w:marTop w:val="0"/>
      <w:marBottom w:val="0"/>
      <w:divBdr>
        <w:top w:val="none" w:sz="0" w:space="0" w:color="auto"/>
        <w:left w:val="none" w:sz="0" w:space="0" w:color="auto"/>
        <w:bottom w:val="none" w:sz="0" w:space="0" w:color="auto"/>
        <w:right w:val="none" w:sz="0" w:space="0" w:color="auto"/>
      </w:divBdr>
    </w:div>
    <w:div w:id="1719282518">
      <w:bodyDiv w:val="1"/>
      <w:marLeft w:val="0"/>
      <w:marRight w:val="0"/>
      <w:marTop w:val="0"/>
      <w:marBottom w:val="0"/>
      <w:divBdr>
        <w:top w:val="none" w:sz="0" w:space="0" w:color="auto"/>
        <w:left w:val="none" w:sz="0" w:space="0" w:color="auto"/>
        <w:bottom w:val="none" w:sz="0" w:space="0" w:color="auto"/>
        <w:right w:val="none" w:sz="0" w:space="0" w:color="auto"/>
      </w:divBdr>
    </w:div>
    <w:div w:id="1766000091">
      <w:bodyDiv w:val="1"/>
      <w:marLeft w:val="0"/>
      <w:marRight w:val="0"/>
      <w:marTop w:val="0"/>
      <w:marBottom w:val="0"/>
      <w:divBdr>
        <w:top w:val="none" w:sz="0" w:space="0" w:color="auto"/>
        <w:left w:val="none" w:sz="0" w:space="0" w:color="auto"/>
        <w:bottom w:val="none" w:sz="0" w:space="0" w:color="auto"/>
        <w:right w:val="none" w:sz="0" w:space="0" w:color="auto"/>
      </w:divBdr>
    </w:div>
    <w:div w:id="1771777372">
      <w:bodyDiv w:val="1"/>
      <w:marLeft w:val="0"/>
      <w:marRight w:val="0"/>
      <w:marTop w:val="0"/>
      <w:marBottom w:val="0"/>
      <w:divBdr>
        <w:top w:val="none" w:sz="0" w:space="0" w:color="auto"/>
        <w:left w:val="none" w:sz="0" w:space="0" w:color="auto"/>
        <w:bottom w:val="none" w:sz="0" w:space="0" w:color="auto"/>
        <w:right w:val="none" w:sz="0" w:space="0" w:color="auto"/>
      </w:divBdr>
    </w:div>
    <w:div w:id="1808233134">
      <w:bodyDiv w:val="1"/>
      <w:marLeft w:val="0"/>
      <w:marRight w:val="0"/>
      <w:marTop w:val="0"/>
      <w:marBottom w:val="0"/>
      <w:divBdr>
        <w:top w:val="none" w:sz="0" w:space="0" w:color="auto"/>
        <w:left w:val="none" w:sz="0" w:space="0" w:color="auto"/>
        <w:bottom w:val="none" w:sz="0" w:space="0" w:color="auto"/>
        <w:right w:val="none" w:sz="0" w:space="0" w:color="auto"/>
      </w:divBdr>
    </w:div>
    <w:div w:id="1832746309">
      <w:bodyDiv w:val="1"/>
      <w:marLeft w:val="0"/>
      <w:marRight w:val="0"/>
      <w:marTop w:val="0"/>
      <w:marBottom w:val="0"/>
      <w:divBdr>
        <w:top w:val="none" w:sz="0" w:space="0" w:color="auto"/>
        <w:left w:val="none" w:sz="0" w:space="0" w:color="auto"/>
        <w:bottom w:val="none" w:sz="0" w:space="0" w:color="auto"/>
        <w:right w:val="none" w:sz="0" w:space="0" w:color="auto"/>
      </w:divBdr>
    </w:div>
    <w:div w:id="1901554086">
      <w:bodyDiv w:val="1"/>
      <w:marLeft w:val="0"/>
      <w:marRight w:val="0"/>
      <w:marTop w:val="0"/>
      <w:marBottom w:val="0"/>
      <w:divBdr>
        <w:top w:val="none" w:sz="0" w:space="0" w:color="auto"/>
        <w:left w:val="none" w:sz="0" w:space="0" w:color="auto"/>
        <w:bottom w:val="none" w:sz="0" w:space="0" w:color="auto"/>
        <w:right w:val="none" w:sz="0" w:space="0" w:color="auto"/>
      </w:divBdr>
    </w:div>
    <w:div w:id="1919291124">
      <w:bodyDiv w:val="1"/>
      <w:marLeft w:val="0"/>
      <w:marRight w:val="0"/>
      <w:marTop w:val="0"/>
      <w:marBottom w:val="0"/>
      <w:divBdr>
        <w:top w:val="none" w:sz="0" w:space="0" w:color="auto"/>
        <w:left w:val="none" w:sz="0" w:space="0" w:color="auto"/>
        <w:bottom w:val="none" w:sz="0" w:space="0" w:color="auto"/>
        <w:right w:val="none" w:sz="0" w:space="0" w:color="auto"/>
      </w:divBdr>
    </w:div>
    <w:div w:id="1945838501">
      <w:bodyDiv w:val="1"/>
      <w:marLeft w:val="0"/>
      <w:marRight w:val="0"/>
      <w:marTop w:val="0"/>
      <w:marBottom w:val="0"/>
      <w:divBdr>
        <w:top w:val="none" w:sz="0" w:space="0" w:color="auto"/>
        <w:left w:val="none" w:sz="0" w:space="0" w:color="auto"/>
        <w:bottom w:val="none" w:sz="0" w:space="0" w:color="auto"/>
        <w:right w:val="none" w:sz="0" w:space="0" w:color="auto"/>
      </w:divBdr>
      <w:divsChild>
        <w:div w:id="54932537">
          <w:marLeft w:val="0"/>
          <w:marRight w:val="0"/>
          <w:marTop w:val="0"/>
          <w:marBottom w:val="0"/>
          <w:divBdr>
            <w:top w:val="none" w:sz="0" w:space="0" w:color="auto"/>
            <w:left w:val="none" w:sz="0" w:space="0" w:color="auto"/>
            <w:bottom w:val="none" w:sz="0" w:space="0" w:color="auto"/>
            <w:right w:val="none" w:sz="0" w:space="0" w:color="auto"/>
          </w:divBdr>
          <w:divsChild>
            <w:div w:id="6897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19">
      <w:bodyDiv w:val="1"/>
      <w:marLeft w:val="0"/>
      <w:marRight w:val="0"/>
      <w:marTop w:val="0"/>
      <w:marBottom w:val="0"/>
      <w:divBdr>
        <w:top w:val="none" w:sz="0" w:space="0" w:color="auto"/>
        <w:left w:val="none" w:sz="0" w:space="0" w:color="auto"/>
        <w:bottom w:val="none" w:sz="0" w:space="0" w:color="auto"/>
        <w:right w:val="none" w:sz="0" w:space="0" w:color="auto"/>
      </w:divBdr>
    </w:div>
    <w:div w:id="2127038250">
      <w:bodyDiv w:val="1"/>
      <w:marLeft w:val="0"/>
      <w:marRight w:val="0"/>
      <w:marTop w:val="0"/>
      <w:marBottom w:val="0"/>
      <w:divBdr>
        <w:top w:val="none" w:sz="0" w:space="0" w:color="auto"/>
        <w:left w:val="none" w:sz="0" w:space="0" w:color="auto"/>
        <w:bottom w:val="none" w:sz="0" w:space="0" w:color="auto"/>
        <w:right w:val="none" w:sz="0" w:space="0" w:color="auto"/>
      </w:divBdr>
      <w:divsChild>
        <w:div w:id="324213675">
          <w:marLeft w:val="0"/>
          <w:marRight w:val="0"/>
          <w:marTop w:val="0"/>
          <w:marBottom w:val="0"/>
          <w:divBdr>
            <w:top w:val="none" w:sz="0" w:space="0" w:color="auto"/>
            <w:left w:val="none" w:sz="0" w:space="0" w:color="auto"/>
            <w:bottom w:val="none" w:sz="0" w:space="0" w:color="auto"/>
            <w:right w:val="none" w:sz="0" w:space="0" w:color="auto"/>
          </w:divBdr>
          <w:divsChild>
            <w:div w:id="20922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79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sv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AD389-0DC0-46D9-8C1C-1137BEBAA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27</Pages>
  <Words>7313</Words>
  <Characters>41687</Characters>
  <Application>Microsoft Office Word</Application>
  <DocSecurity>0</DocSecurity>
  <Lines>347</Lines>
  <Paragraphs>97</Paragraphs>
  <ScaleCrop>false</ScaleCrop>
  <Company/>
  <LinksUpToDate>false</LinksUpToDate>
  <CharactersWithSpaces>48903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national environmental performance relative to planetary boundaries -  A Consumption Based Indicator Framework</dc:title>
  <dc:subject/>
  <dc:creator>Konstantin Stadler;Richard Wood</dc:creator>
  <cp:keywords/>
  <dc:description/>
  <cp:lastModifiedBy>Richard Wood</cp:lastModifiedBy>
  <cp:revision>103</cp:revision>
  <dcterms:created xsi:type="dcterms:W3CDTF">2026-05-29T04:37:00Z</dcterms:created>
  <dcterms:modified xsi:type="dcterms:W3CDTF">2026-07-09T05:21:00Z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zotero-version="9.0.5"&gt;&lt;session id="T1bcmtmL"/&gt;&lt;style id="http://www.zotero.org/styles/nature" hasBibliography="1" bibliographyStyleHasBeenSet="1"/&gt;&lt;prefs&gt;&lt;pref name="fieldType" value="Field"/&gt;&lt;/prefs&gt;&lt;/data&gt;</vt:lpwstr>
  </property>
</Properties>
</file>