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5A23" w14:textId="77777777" w:rsidR="007919DC" w:rsidRPr="007919DC" w:rsidRDefault="007919DC" w:rsidP="007919D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919DC">
        <w:rPr>
          <w:rFonts w:asciiTheme="majorBidi" w:hAnsiTheme="majorBidi" w:cstheme="majorBidi"/>
          <w:b/>
          <w:bCs/>
          <w:sz w:val="24"/>
          <w:szCs w:val="24"/>
        </w:rPr>
        <w:t>Supplementary Information</w:t>
      </w:r>
    </w:p>
    <w:p w14:paraId="540722C3" w14:textId="77777777" w:rsidR="007919DC" w:rsidRDefault="007919DC" w:rsidP="007919D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4B0ED66" w14:textId="4060937E" w:rsidR="007919DC" w:rsidRPr="007919DC" w:rsidRDefault="007919DC" w:rsidP="007919DC">
      <w:pPr>
        <w:spacing w:after="0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 xml:space="preserve">The online version contains supplementary material. </w:t>
      </w:r>
      <w:r w:rsidRPr="007919DC">
        <w:rPr>
          <w:rFonts w:asciiTheme="majorBidi" w:hAnsiTheme="majorBidi" w:cstheme="majorBidi"/>
          <w:b/>
          <w:bCs/>
          <w:sz w:val="24"/>
          <w:szCs w:val="24"/>
        </w:rPr>
        <w:t>Online Resource 1</w:t>
      </w:r>
      <w:r w:rsidRPr="007919DC">
        <w:rPr>
          <w:rFonts w:asciiTheme="majorBidi" w:hAnsiTheme="majorBidi" w:cstheme="majorBidi"/>
          <w:sz w:val="24"/>
          <w:szCs w:val="24"/>
        </w:rPr>
        <w:t xml:space="preserve"> provides additional implementation details, complete numerical settings, threshold calibration procedures for the Jensen–Shannon baseline methods, sensitivity analyses for the adaptive-hazard coefficient, additional Monte Carlo summaries, and preprocessing details for the </w:t>
      </w:r>
      <w:proofErr w:type="spellStart"/>
      <w:r w:rsidRPr="007919DC">
        <w:rPr>
          <w:rFonts w:asciiTheme="majorBidi" w:hAnsiTheme="majorBidi" w:cstheme="majorBidi"/>
          <w:sz w:val="24"/>
          <w:szCs w:val="24"/>
        </w:rPr>
        <w:t>arXiv</w:t>
      </w:r>
      <w:proofErr w:type="spellEnd"/>
      <w:r w:rsidRPr="007919DC">
        <w:rPr>
          <w:rFonts w:asciiTheme="majorBidi" w:hAnsiTheme="majorBidi" w:cstheme="majorBidi"/>
          <w:sz w:val="24"/>
          <w:szCs w:val="24"/>
        </w:rPr>
        <w:t xml:space="preserve"> cs.CL application.</w:t>
      </w:r>
    </w:p>
    <w:p w14:paraId="02901F20" w14:textId="6D325E82" w:rsidR="007919DC" w:rsidRPr="007919DC" w:rsidRDefault="007919DC" w:rsidP="007919D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E06C386" w14:textId="77777777" w:rsidR="007919DC" w:rsidRPr="007919DC" w:rsidRDefault="007919DC" w:rsidP="007919D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919DC">
        <w:rPr>
          <w:rFonts w:asciiTheme="majorBidi" w:hAnsiTheme="majorBidi" w:cstheme="majorBidi"/>
          <w:b/>
          <w:bCs/>
          <w:sz w:val="24"/>
          <w:szCs w:val="24"/>
        </w:rPr>
        <w:t>Online Resource 1</w:t>
      </w:r>
    </w:p>
    <w:p w14:paraId="54AC76EC" w14:textId="77777777" w:rsidR="007919DC" w:rsidRDefault="007919DC" w:rsidP="007919D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1487CEAA" w14:textId="30CD7273" w:rsidR="007919DC" w:rsidRPr="007919DC" w:rsidRDefault="007919DC" w:rsidP="007919D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919DC">
        <w:rPr>
          <w:rFonts w:asciiTheme="majorBidi" w:hAnsiTheme="majorBidi" w:cstheme="majorBidi"/>
          <w:b/>
          <w:bCs/>
          <w:sz w:val="24"/>
          <w:szCs w:val="24"/>
        </w:rPr>
        <w:t>Supplementary Material for</w:t>
      </w:r>
    </w:p>
    <w:p w14:paraId="39101837" w14:textId="77777777" w:rsidR="007919DC" w:rsidRPr="007919DC" w:rsidRDefault="007919DC" w:rsidP="007919D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919DC">
        <w:rPr>
          <w:rFonts w:asciiTheme="majorBidi" w:hAnsiTheme="majorBidi" w:cstheme="majorBidi"/>
          <w:b/>
          <w:bCs/>
          <w:sz w:val="24"/>
          <w:szCs w:val="24"/>
        </w:rPr>
        <w:t>Adaptive-Hazard Bayesian Online Change-Point Detection for Text Streams: A Dirichlet-Multinomial Formulation</w:t>
      </w:r>
    </w:p>
    <w:p w14:paraId="00766A9E" w14:textId="77777777" w:rsidR="007919DC" w:rsidRDefault="007919DC" w:rsidP="007919D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397DC242" w14:textId="775B3112" w:rsidR="007919DC" w:rsidRPr="002104F9" w:rsidRDefault="007919DC" w:rsidP="007919DC">
      <w:pPr>
        <w:spacing w:after="0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2104F9">
        <w:rPr>
          <w:rFonts w:cstheme="minorHAnsi"/>
          <w:b/>
          <w:bCs/>
          <w:color w:val="2F5496" w:themeColor="accent1" w:themeShade="BF"/>
          <w:sz w:val="28"/>
          <w:szCs w:val="28"/>
        </w:rPr>
        <w:t>S1 Complete numerical settings</w:t>
      </w:r>
    </w:p>
    <w:p w14:paraId="2892345F" w14:textId="79D4D2E4" w:rsidR="007919DC" w:rsidRPr="007919DC" w:rsidRDefault="007919DC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 xml:space="preserve">This section provides additional numerical details for the experiments reported in Sect. 4. The baseline design used </w:t>
      </w:r>
      <m:oMath>
        <m:r>
          <w:rPr>
            <w:rFonts w:ascii="Cambria Math" w:hAnsi="Cambria Math" w:cstheme="majorBidi"/>
            <w:sz w:val="24"/>
            <w:szCs w:val="24"/>
          </w:rPr>
          <m:t>N=1000</m:t>
        </m:r>
      </m:oMath>
      <w:r w:rsidRPr="007919DC">
        <w:rPr>
          <w:rFonts w:asciiTheme="majorBidi" w:hAnsiTheme="majorBidi" w:cstheme="majorBidi"/>
          <w:sz w:val="24"/>
          <w:szCs w:val="24"/>
        </w:rPr>
        <w:t xml:space="preserve">independent streams per scenario, stream length </w:t>
      </w:r>
      <m:oMath>
        <m:r>
          <w:rPr>
            <w:rFonts w:ascii="Cambria Math" w:hAnsi="Cambria Math" w:cstheme="majorBidi"/>
            <w:sz w:val="24"/>
            <w:szCs w:val="24"/>
          </w:rPr>
          <m:t>T=100</m:t>
        </m:r>
      </m:oMath>
      <w:r w:rsidRPr="007919DC">
        <w:rPr>
          <w:rFonts w:asciiTheme="majorBidi" w:hAnsiTheme="majorBidi" w:cstheme="majorBidi"/>
          <w:sz w:val="24"/>
          <w:szCs w:val="24"/>
        </w:rPr>
        <w:t xml:space="preserve">, vocabulary size </w:t>
      </w:r>
      <m:oMath>
        <m:r>
          <w:rPr>
            <w:rFonts w:ascii="Cambria Math" w:hAnsi="Cambria Math" w:cstheme="majorBidi"/>
            <w:sz w:val="24"/>
            <w:szCs w:val="24"/>
          </w:rPr>
          <m:t>V=1000</m:t>
        </m:r>
      </m:oMath>
      <w:r w:rsidRPr="007919DC">
        <w:rPr>
          <w:rFonts w:asciiTheme="majorBidi" w:hAnsiTheme="majorBidi" w:cstheme="majorBidi"/>
          <w:sz w:val="24"/>
          <w:szCs w:val="24"/>
        </w:rPr>
        <w:t xml:space="preserve">, and </w:t>
      </w:r>
      <m:oMath>
        <m:r>
          <w:rPr>
            <w:rFonts w:ascii="Cambria Math" w:hAnsi="Cambria Math" w:cstheme="majorBidi"/>
            <w:sz w:val="24"/>
            <w:szCs w:val="24"/>
          </w:rPr>
          <m:t>K=6</m:t>
        </m:r>
      </m:oMath>
      <w:r w:rsidRPr="007919DC">
        <w:rPr>
          <w:rFonts w:asciiTheme="majorBidi" w:hAnsiTheme="majorBidi" w:cstheme="majorBidi"/>
          <w:sz w:val="24"/>
          <w:szCs w:val="24"/>
        </w:rPr>
        <w:t>latent topics. Each topic distribution was generated from a structured Dirichlet distribution with topic-specific and background vocabulary components. The document-level word distribution was then drawn from a Dirichlet distribution centered on the active topic distribution, and the observed document was generated as a multinomial count vector.</w:t>
      </w:r>
    </w:p>
    <w:p w14:paraId="0BEFE48D" w14:textId="685BAEE2" w:rsidR="007919DC" w:rsidRDefault="007919DC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 xml:space="preserve">The adaptive-hazard filter used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=1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/</m:t>
        </m:r>
        <m:r>
          <w:rPr>
            <w:rFonts w:ascii="Cambria Math" w:hAnsi="Cambria Math" w:cstheme="majorBidi"/>
            <w:sz w:val="24"/>
            <w:szCs w:val="24"/>
          </w:rPr>
          <m:t>60</m:t>
        </m:r>
      </m:oMath>
      <w:r w:rsidRPr="007919DC">
        <w:rPr>
          <w:rFonts w:asciiTheme="majorBidi" w:hAnsiTheme="majorBidi" w:cstheme="majorBid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min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=0.001</m:t>
        </m:r>
      </m:oMath>
      <w:r w:rsidRPr="007919DC">
        <w:rPr>
          <w:rFonts w:asciiTheme="majorBidi" w:hAnsiTheme="majorBidi" w:cstheme="majorBid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max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=0.15</m:t>
        </m:r>
      </m:oMath>
      <w:r w:rsidRPr="007919DC">
        <w:rPr>
          <w:rFonts w:asciiTheme="majorBidi" w:hAnsiTheme="majorBidi" w:cstheme="majorBidi"/>
          <w:sz w:val="24"/>
          <w:szCs w:val="24"/>
        </w:rPr>
        <w:t xml:space="preserve">, </w:t>
      </w:r>
      <m:oMath>
        <m:r>
          <w:rPr>
            <w:rFonts w:ascii="Cambria Math" w:hAnsi="Cambria Math" w:cstheme="majorBidi"/>
            <w:sz w:val="24"/>
            <w:szCs w:val="24"/>
          </w:rPr>
          <m:t>β=2.0</m:t>
        </m:r>
      </m:oMath>
      <w:r w:rsidRPr="007919DC">
        <w:rPr>
          <w:rFonts w:asciiTheme="majorBidi" w:hAnsiTheme="majorBidi" w:cstheme="majorBidi"/>
          <w:sz w:val="24"/>
          <w:szCs w:val="24"/>
        </w:rPr>
        <w:t xml:space="preserve">, rolling-window size </w:t>
      </w:r>
      <m:oMath>
        <m:r>
          <w:rPr>
            <w:rFonts w:ascii="Cambria Math" w:hAnsi="Cambria Math" w:cstheme="majorBidi"/>
            <w:sz w:val="24"/>
            <w:szCs w:val="24"/>
          </w:rPr>
          <m:t>w=10</m:t>
        </m:r>
      </m:oMath>
      <w:r w:rsidRPr="007919DC">
        <w:rPr>
          <w:rFonts w:asciiTheme="majorBidi" w:hAnsiTheme="majorBidi" w:cstheme="majorBidi"/>
          <w:sz w:val="24"/>
          <w:szCs w:val="24"/>
        </w:rPr>
        <w:t xml:space="preserve">, and pruning threshold </w:t>
      </w:r>
      <m:oMath>
        <m:r>
          <w:rPr>
            <w:rFonts w:ascii="Cambria Math" w:hAnsi="Cambria Math" w:cstheme="majorBidi"/>
            <w:sz w:val="24"/>
            <w:szCs w:val="24"/>
          </w:rPr>
          <m:t>ε=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-8</m:t>
            </m:r>
          </m:sup>
        </m:sSup>
      </m:oMath>
      <w:r w:rsidRPr="007919DC">
        <w:rPr>
          <w:rFonts w:asciiTheme="majorBidi" w:hAnsiTheme="majorBidi" w:cstheme="majorBidi"/>
          <w:sz w:val="24"/>
          <w:szCs w:val="24"/>
        </w:rPr>
        <w:t xml:space="preserve">. The intercept </w:t>
      </w:r>
      <m:oMath>
        <m:r>
          <w:rPr>
            <w:rFonts w:ascii="Cambria Math" w:hAnsi="Cambria Math" w:cstheme="majorBidi"/>
            <w:sz w:val="24"/>
            <w:szCs w:val="24"/>
          </w:rPr>
          <m:t>α</m:t>
        </m:r>
      </m:oMath>
      <w:r w:rsidRPr="007919DC">
        <w:rPr>
          <w:rFonts w:asciiTheme="majorBidi" w:hAnsiTheme="majorBidi" w:cstheme="majorBidi"/>
          <w:sz w:val="24"/>
          <w:szCs w:val="24"/>
        </w:rPr>
        <w:t>was calibrated so that the adaptive hazard coincided with the baseline constant hazard under the constant-hazard restriction. This calibration ensured that the difference between DM-BOCPD-AH and DM-BOCPD-CH was attributable to the feature-dependent hazard response rather than to a different baseline reset probability.</w:t>
      </w:r>
    </w:p>
    <w:p w14:paraId="6F28A64F" w14:textId="77777777" w:rsidR="002104F9" w:rsidRPr="007919DC" w:rsidRDefault="002104F9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</w:p>
    <w:p w14:paraId="0D1FA601" w14:textId="77777777" w:rsidR="007919DC" w:rsidRPr="002104F9" w:rsidRDefault="007919DC" w:rsidP="007919DC">
      <w:pPr>
        <w:spacing w:after="0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2104F9">
        <w:rPr>
          <w:rFonts w:cstheme="minorHAnsi"/>
          <w:b/>
          <w:bCs/>
          <w:color w:val="2F5496" w:themeColor="accent1" w:themeShade="BF"/>
          <w:sz w:val="28"/>
          <w:szCs w:val="28"/>
        </w:rPr>
        <w:t>S2 Detection rule</w:t>
      </w:r>
    </w:p>
    <w:p w14:paraId="1230315C" w14:textId="77777777" w:rsidR="007919DC" w:rsidRPr="007919DC" w:rsidRDefault="007919DC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>The Bayesian filters produce posterior run-length distributions at each time point. To convert the posterior filtering output into an operational detection time, a candidate boundary was declared when the maximum a posteriori run length fell below a reset threshold after the filter had previously accumulated a minimum run length. A minimum spacing rule was imposed between consecutive detections to avoid repeated alarms for the same transition. The same rule was applied to DM-BOCPD-AH and DM-BOCPD-CH.</w:t>
      </w:r>
    </w:p>
    <w:p w14:paraId="5DE2445A" w14:textId="33717922" w:rsidR="007919DC" w:rsidRDefault="007919DC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 xml:space="preserve">For abrupt-shift, sparse-document, and noisy-vocabulary scenarios, the reference boundary was </w:t>
      </w:r>
      <m:oMath>
        <m:r>
          <w:rPr>
            <w:rFonts w:ascii="Cambria Math" w:hAnsi="Cambria Math" w:cstheme="majorBidi"/>
            <w:sz w:val="24"/>
            <w:szCs w:val="24"/>
          </w:rPr>
          <m:t>τ=60</m:t>
        </m:r>
      </m:oMath>
      <w:r w:rsidRPr="007919DC">
        <w:rPr>
          <w:rFonts w:asciiTheme="majorBidi" w:hAnsiTheme="majorBidi" w:cstheme="majorBidi"/>
          <w:sz w:val="24"/>
          <w:szCs w:val="24"/>
        </w:rPr>
        <w:t xml:space="preserve">. For gradual and weak lexical-drift scenarios, the midpoint </w:t>
      </w:r>
      <m:oMath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τ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=60</m:t>
        </m:r>
      </m:oMath>
      <w:r w:rsidRPr="007919DC">
        <w:rPr>
          <w:rFonts w:asciiTheme="majorBidi" w:hAnsiTheme="majorBidi" w:cstheme="majorBidi"/>
          <w:sz w:val="24"/>
          <w:szCs w:val="24"/>
        </w:rPr>
        <w:t xml:space="preserve">was used as the reference boundary. Detections within the gradual transition interval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50</m:t>
            </m:r>
          </m:e>
          <m:e>
            <m:r>
              <w:rPr>
                <w:rFonts w:ascii="Cambria Math" w:hAnsi="Cambria Math" w:cstheme="majorBidi"/>
                <w:sz w:val="24"/>
                <w:szCs w:val="24"/>
              </w:rPr>
              <m:t>70</m:t>
            </m:r>
          </m:e>
        </m:d>
      </m:oMath>
      <w:r w:rsidRPr="007919DC">
        <w:rPr>
          <w:rFonts w:asciiTheme="majorBidi" w:hAnsiTheme="majorBidi" w:cstheme="majorBidi"/>
          <w:sz w:val="24"/>
          <w:szCs w:val="24"/>
        </w:rPr>
        <w:t>were treated as valid early detections. Detections before the start of the transition window were classified as false alarms. In the no-change scenario, all detections were classified as false alarms.</w:t>
      </w:r>
    </w:p>
    <w:p w14:paraId="08022F76" w14:textId="77777777" w:rsidR="002104F9" w:rsidRPr="007919DC" w:rsidRDefault="002104F9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</w:p>
    <w:p w14:paraId="4C6517CC" w14:textId="77777777" w:rsidR="007919DC" w:rsidRPr="002104F9" w:rsidRDefault="007919DC" w:rsidP="007919DC">
      <w:pPr>
        <w:spacing w:after="0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2104F9">
        <w:rPr>
          <w:rFonts w:cstheme="minorHAnsi"/>
          <w:b/>
          <w:bCs/>
          <w:color w:val="2F5496" w:themeColor="accent1" w:themeShade="BF"/>
          <w:sz w:val="28"/>
          <w:szCs w:val="28"/>
        </w:rPr>
        <w:t>S3 Threshold calibration for Jensen–Shannon baselines</w:t>
      </w:r>
    </w:p>
    <w:p w14:paraId="5D4EC48D" w14:textId="77777777" w:rsidR="007919DC" w:rsidRPr="007919DC" w:rsidRDefault="007919DC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 xml:space="preserve">The JS-CUSUM and JS-PH baselines were applied directly to the online Jensen–Shannon divergence sequence. Their thresholds were calibrated using stationary streams so that false alarm </w:t>
      </w:r>
      <w:proofErr w:type="spellStart"/>
      <w:r w:rsidRPr="007919DC">
        <w:rPr>
          <w:rFonts w:asciiTheme="majorBidi" w:hAnsiTheme="majorBidi" w:cstheme="majorBidi"/>
          <w:sz w:val="24"/>
          <w:szCs w:val="24"/>
        </w:rPr>
        <w:t>behavior</w:t>
      </w:r>
      <w:proofErr w:type="spellEnd"/>
      <w:r w:rsidRPr="007919DC">
        <w:rPr>
          <w:rFonts w:asciiTheme="majorBidi" w:hAnsiTheme="majorBidi" w:cstheme="majorBidi"/>
          <w:sz w:val="24"/>
          <w:szCs w:val="24"/>
        </w:rPr>
        <w:t xml:space="preserve"> was determined by the numerical design rather than by arbitrary manual tuning. </w:t>
      </w:r>
      <w:r w:rsidRPr="007919DC">
        <w:rPr>
          <w:rFonts w:asciiTheme="majorBidi" w:hAnsiTheme="majorBidi" w:cstheme="majorBidi"/>
          <w:sz w:val="24"/>
          <w:szCs w:val="24"/>
        </w:rPr>
        <w:lastRenderedPageBreak/>
        <w:t>JS-PELT was used as an offline comparator by applying penalized segmentation to the full Jensen–Shannon divergence sequence.</w:t>
      </w:r>
    </w:p>
    <w:p w14:paraId="31D72E17" w14:textId="77777777" w:rsidR="007919DC" w:rsidRDefault="007919DC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>This calibration strategy allowed a fair comparison between Bayesian run-length filtering and direct monitoring of the same scalar drift feature. The Jensen–Shannon baselines do not maintain a posterior distribution over run length, so posterior entropy, maximum posterior mass, and retained-state summaries were reported only for DM-BOCPD-AH and DM-BOCPD-CH.</w:t>
      </w:r>
    </w:p>
    <w:p w14:paraId="4CC61636" w14:textId="77777777" w:rsidR="002104F9" w:rsidRPr="007919DC" w:rsidRDefault="002104F9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</w:p>
    <w:p w14:paraId="270FEC2B" w14:textId="77777777" w:rsidR="007919DC" w:rsidRPr="002104F9" w:rsidRDefault="007919DC" w:rsidP="007919DC">
      <w:pPr>
        <w:spacing w:after="0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2104F9">
        <w:rPr>
          <w:rFonts w:cstheme="minorHAnsi"/>
          <w:b/>
          <w:bCs/>
          <w:color w:val="2F5496" w:themeColor="accent1" w:themeShade="BF"/>
          <w:sz w:val="28"/>
          <w:szCs w:val="28"/>
        </w:rPr>
        <w:t>S4 Sensitivity analysis for the adaptive-hazard coefficient</w:t>
      </w:r>
    </w:p>
    <w:p w14:paraId="28E3EFDC" w14:textId="5C7E82A0" w:rsidR="007919DC" w:rsidRPr="007919DC" w:rsidRDefault="007919DC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 xml:space="preserve">A sensitivity analysis was conducted by varying the adaptive-hazard coefficient </w:t>
      </w:r>
      <m:oMath>
        <m:r>
          <w:rPr>
            <w:rFonts w:ascii="Cambria Math" w:hAnsi="Cambria Math" w:cstheme="majorBidi"/>
            <w:sz w:val="24"/>
            <w:szCs w:val="24"/>
          </w:rPr>
          <m:t>β</m:t>
        </m:r>
      </m:oMath>
      <w:r w:rsidRPr="007919DC">
        <w:rPr>
          <w:rFonts w:asciiTheme="majorBidi" w:hAnsiTheme="majorBidi" w:cstheme="majorBidi"/>
          <w:sz w:val="24"/>
          <w:szCs w:val="24"/>
        </w:rPr>
        <w:t xml:space="preserve">. The value </w:t>
      </w:r>
      <m:oMath>
        <m:r>
          <w:rPr>
            <w:rFonts w:ascii="Cambria Math" w:hAnsi="Cambria Math" w:cstheme="majorBidi"/>
            <w:sz w:val="24"/>
            <w:szCs w:val="24"/>
          </w:rPr>
          <m:t>β=0</m:t>
        </m:r>
      </m:oMath>
      <w:r w:rsidR="002104F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7919DC">
        <w:rPr>
          <w:rFonts w:asciiTheme="majorBidi" w:hAnsiTheme="majorBidi" w:cstheme="majorBidi"/>
          <w:sz w:val="24"/>
          <w:szCs w:val="24"/>
        </w:rPr>
        <w:t xml:space="preserve">corresponds to the constant-hazard restriction, while positive values allow the reset probability to increase with online lexical-distributional drift. The sensitivity results showed the expected responsiveness–specificity trade-off. Larger </w:t>
      </w:r>
      <m:oMath>
        <m:r>
          <w:rPr>
            <w:rFonts w:ascii="Cambria Math" w:hAnsi="Cambria Math" w:cstheme="majorBidi"/>
            <w:sz w:val="24"/>
            <w:szCs w:val="24"/>
          </w:rPr>
          <m:t>β</m:t>
        </m:r>
      </m:oMath>
      <w:r w:rsidRPr="007919DC">
        <w:rPr>
          <w:rFonts w:asciiTheme="majorBidi" w:hAnsiTheme="majorBidi" w:cstheme="majorBidi"/>
          <w:sz w:val="24"/>
          <w:szCs w:val="24"/>
        </w:rPr>
        <w:t>values increased sensitivity under gradual and weak lexical drift, but they also increased false alarm rates under sparse short-document conditions.</w:t>
      </w:r>
    </w:p>
    <w:p w14:paraId="4B759447" w14:textId="71C55350" w:rsidR="007919DC" w:rsidRPr="007919DC" w:rsidRDefault="007919DC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 xml:space="preserve">The final configuration used </w:t>
      </w:r>
      <m:oMath>
        <m:r>
          <w:rPr>
            <w:rFonts w:ascii="Cambria Math" w:hAnsi="Cambria Math" w:cstheme="majorBidi"/>
            <w:sz w:val="24"/>
            <w:szCs w:val="24"/>
          </w:rPr>
          <m:t>β=2.0</m:t>
        </m:r>
      </m:oMath>
      <w:r w:rsidR="002104F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7919DC">
        <w:rPr>
          <w:rFonts w:asciiTheme="majorBidi" w:hAnsiTheme="majorBidi" w:cstheme="majorBidi"/>
          <w:sz w:val="24"/>
          <w:szCs w:val="24"/>
        </w:rPr>
        <w:t xml:space="preserve">because it provided a stable compromise across scenarios. It improved responsiveness under gradual and weak drift while avoiding the stronger false alarm inflation observed at larger sensitivity values. Thus, </w:t>
      </w:r>
      <m:oMath>
        <m:r>
          <w:rPr>
            <w:rFonts w:ascii="Cambria Math" w:hAnsi="Cambria Math" w:cstheme="majorBidi"/>
            <w:sz w:val="24"/>
            <w:szCs w:val="24"/>
          </w:rPr>
          <m:t>β</m:t>
        </m:r>
      </m:oMath>
      <w:r w:rsidR="002104F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7919DC">
        <w:rPr>
          <w:rFonts w:asciiTheme="majorBidi" w:hAnsiTheme="majorBidi" w:cstheme="majorBidi"/>
          <w:sz w:val="24"/>
          <w:szCs w:val="24"/>
        </w:rPr>
        <w:t>should be viewed as a calibration parameter whose appropriate value depends on document length, lexical sparsity, and the operational cost of false alarms.</w:t>
      </w:r>
    </w:p>
    <w:p w14:paraId="7486FB07" w14:textId="77777777" w:rsidR="002104F9" w:rsidRDefault="002104F9" w:rsidP="007919D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78C63AF6" w14:textId="71235BD5" w:rsidR="007919DC" w:rsidRPr="002104F9" w:rsidRDefault="007919DC" w:rsidP="007919DC">
      <w:pPr>
        <w:spacing w:after="0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2104F9">
        <w:rPr>
          <w:rFonts w:cstheme="minorHAnsi"/>
          <w:b/>
          <w:bCs/>
          <w:color w:val="2F5496" w:themeColor="accent1" w:themeShade="BF"/>
          <w:sz w:val="28"/>
          <w:szCs w:val="28"/>
        </w:rPr>
        <w:t>S5 Additional Monte Carlo summaries</w:t>
      </w:r>
    </w:p>
    <w:p w14:paraId="67D0E108" w14:textId="6AAB7291" w:rsidR="007919DC" w:rsidRDefault="007919DC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 xml:space="preserve">Monte Carlo uncertainty was summarized using standard errors for proportions and means. For a proportion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</m:acc>
      </m:oMath>
      <w:r w:rsidRPr="007919DC">
        <w:rPr>
          <w:rFonts w:asciiTheme="majorBidi" w:hAnsiTheme="majorBidi" w:cstheme="majorBidi"/>
          <w:sz w:val="24"/>
          <w:szCs w:val="24"/>
        </w:rPr>
        <w:t>, the Monte Carlo standard error was computed as</w:t>
      </w:r>
    </w:p>
    <w:p w14:paraId="293D7F98" w14:textId="77777777" w:rsidR="002104F9" w:rsidRPr="007919DC" w:rsidRDefault="002104F9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</w:p>
    <w:p w14:paraId="5355DEE0" w14:textId="33E5B636" w:rsidR="007919DC" w:rsidRPr="007919DC" w:rsidRDefault="007919DC" w:rsidP="007919DC">
      <w:pPr>
        <w:spacing w:after="0"/>
        <w:rPr>
          <w:rFonts w:asciiTheme="majorBidi" w:hAnsiTheme="majorBidi" w:cstheme="majorBid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MCSE</m:t>
          </m:r>
          <m:r>
            <w:rPr>
              <w:rFonts w:ascii="Cambria Math" w:hAnsi="Cambria Math" w:cstheme="majorBidi"/>
              <w:sz w:val="24"/>
              <w:szCs w:val="24"/>
            </w:rPr>
            <m:t>⁡(</m:t>
          </m:r>
          <m:acc>
            <m:acc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p</m:t>
              </m:r>
            </m:e>
          </m:acc>
          <m:r>
            <w:rPr>
              <w:rFonts w:ascii="Cambria Math" w:hAnsi="Cambria Math" w:cstheme="majorBidi"/>
              <w:sz w:val="24"/>
              <w:szCs w:val="24"/>
            </w:rPr>
            <m:t>)=</m:t>
          </m:r>
          <m:rad>
            <m:radPr>
              <m:degHide m:val="1"/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(1-</m:t>
                  </m:r>
                  <m:acc>
                    <m:acc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N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.</m:t>
          </m:r>
          <m:r>
            <w:rPr>
              <w:rFonts w:asciiTheme="majorBidi" w:hAnsiTheme="majorBidi" w:cstheme="majorBidi"/>
              <w:sz w:val="24"/>
              <w:szCs w:val="24"/>
            </w:rPr>
            <w:br/>
          </m:r>
        </m:oMath>
      </m:oMathPara>
    </w:p>
    <w:p w14:paraId="20541197" w14:textId="2E9E68A7" w:rsidR="007919DC" w:rsidRDefault="007919DC" w:rsidP="007919DC">
      <w:pPr>
        <w:spacing w:after="0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 xml:space="preserve">For a mean </w:t>
      </w:r>
      <m:oMath>
        <m:acc>
          <m:accPr>
            <m:chr m:val="ˉ"/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</m:acc>
      </m:oMath>
      <w:r w:rsidRPr="007919DC">
        <w:rPr>
          <w:rFonts w:asciiTheme="majorBidi" w:hAnsiTheme="majorBidi" w:cstheme="majorBidi"/>
          <w:sz w:val="24"/>
          <w:szCs w:val="24"/>
        </w:rPr>
        <w:t>, the Monte Carlo standard error was computed as</w:t>
      </w:r>
    </w:p>
    <w:p w14:paraId="44F31EAC" w14:textId="77777777" w:rsidR="002104F9" w:rsidRPr="007919DC" w:rsidRDefault="002104F9" w:rsidP="007919D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4339C01" w14:textId="3C96B137" w:rsidR="007919DC" w:rsidRPr="007919DC" w:rsidRDefault="007919DC" w:rsidP="007919DC">
      <w:pPr>
        <w:spacing w:after="0"/>
        <w:rPr>
          <w:rFonts w:asciiTheme="majorBidi" w:hAnsiTheme="majorBidi" w:cstheme="majorBid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MCSE</m:t>
          </m:r>
          <m:r>
            <w:rPr>
              <w:rFonts w:ascii="Cambria Math" w:hAnsi="Cambria Math" w:cstheme="majorBidi"/>
              <w:sz w:val="24"/>
              <w:szCs w:val="24"/>
            </w:rPr>
            <m:t>⁡(</m:t>
          </m:r>
          <m:acc>
            <m:accPr>
              <m:chr m:val="ˉ"/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e>
          </m:acc>
          <m:r>
            <w:rPr>
              <w:rFonts w:ascii="Cambria Math" w:hAnsi="Cambria Math" w:cstheme="majorBidi"/>
              <w:sz w:val="24"/>
              <w:szCs w:val="24"/>
            </w:rPr>
            <m:t>)=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y</m:t>
                      </m:r>
                    </m:sub>
                  </m:sSub>
                </m:e>
              </m:rad>
            </m:den>
          </m:f>
          <m:r>
            <w:rPr>
              <w:rFonts w:ascii="Cambria Math" w:hAnsi="Cambria Math" w:cstheme="majorBidi"/>
              <w:sz w:val="24"/>
              <w:szCs w:val="24"/>
            </w:rPr>
            <m:t>,</m:t>
          </m:r>
          <m:r>
            <w:rPr>
              <w:rFonts w:asciiTheme="majorBidi" w:hAnsiTheme="majorBidi" w:cstheme="majorBidi"/>
              <w:i/>
              <w:sz w:val="24"/>
              <w:szCs w:val="24"/>
            </w:rPr>
            <w:br/>
          </m:r>
        </m:oMath>
      </m:oMathPara>
    </w:p>
    <w:p w14:paraId="5AF4BD82" w14:textId="34B65DAA" w:rsidR="007919DC" w:rsidRPr="007919DC" w:rsidRDefault="007919DC" w:rsidP="002104F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sub>
        </m:sSub>
      </m:oMath>
      <w:r w:rsidR="002104F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7919DC">
        <w:rPr>
          <w:rFonts w:asciiTheme="majorBidi" w:hAnsiTheme="majorBidi" w:cstheme="majorBidi"/>
          <w:sz w:val="24"/>
          <w:szCs w:val="24"/>
        </w:rPr>
        <w:t xml:space="preserve">denotes the sample standard deviation over the contributing streams and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sub>
        </m:sSub>
      </m:oMath>
      <w:r w:rsidR="002104F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7919DC">
        <w:rPr>
          <w:rFonts w:asciiTheme="majorBidi" w:hAnsiTheme="majorBidi" w:cstheme="majorBidi"/>
          <w:sz w:val="24"/>
          <w:szCs w:val="24"/>
        </w:rPr>
        <w:t>denotes the number of streams contributing to the mean. These quantities were used to assess the stability of the numerical summaries reported in the main article.</w:t>
      </w:r>
    </w:p>
    <w:p w14:paraId="0E402D87" w14:textId="77777777" w:rsidR="002104F9" w:rsidRDefault="002104F9" w:rsidP="007919D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7A171AAF" w14:textId="533408BD" w:rsidR="007919DC" w:rsidRPr="002104F9" w:rsidRDefault="007919DC" w:rsidP="007919DC">
      <w:pPr>
        <w:spacing w:after="0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2104F9">
        <w:rPr>
          <w:rFonts w:cstheme="minorHAnsi"/>
          <w:b/>
          <w:bCs/>
          <w:color w:val="2F5496" w:themeColor="accent1" w:themeShade="BF"/>
          <w:sz w:val="28"/>
          <w:szCs w:val="28"/>
        </w:rPr>
        <w:t>S6 Posterior pruning and retained states</w:t>
      </w:r>
    </w:p>
    <w:p w14:paraId="6367B271" w14:textId="50056791" w:rsidR="007919DC" w:rsidRPr="007919DC" w:rsidRDefault="007919DC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 xml:space="preserve">Posterior pruning was applied after each filtering update by retaining run-length states whose posterior probability exceeded </w:t>
      </w:r>
      <m:oMath>
        <m:r>
          <w:rPr>
            <w:rFonts w:ascii="Cambria Math" w:hAnsi="Cambria Math" w:cstheme="majorBidi"/>
            <w:sz w:val="24"/>
            <w:szCs w:val="24"/>
          </w:rPr>
          <m:t>ε=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-8</m:t>
            </m:r>
          </m:sup>
        </m:sSup>
      </m:oMath>
      <w:r w:rsidRPr="007919DC">
        <w:rPr>
          <w:rFonts w:asciiTheme="majorBidi" w:hAnsiTheme="majorBidi" w:cstheme="majorBidi"/>
          <w:sz w:val="24"/>
          <w:szCs w:val="24"/>
        </w:rPr>
        <w:t xml:space="preserve">. The reset state and the maximum a posteriori run-length state </w:t>
      </w:r>
      <w:proofErr w:type="gramStart"/>
      <w:r w:rsidRPr="007919DC">
        <w:rPr>
          <w:rFonts w:asciiTheme="majorBidi" w:hAnsiTheme="majorBidi" w:cstheme="majorBidi"/>
          <w:sz w:val="24"/>
          <w:szCs w:val="24"/>
        </w:rPr>
        <w:t>were</w:t>
      </w:r>
      <w:proofErr w:type="gramEnd"/>
      <w:r w:rsidRPr="007919DC">
        <w:rPr>
          <w:rFonts w:asciiTheme="majorBidi" w:hAnsiTheme="majorBidi" w:cstheme="majorBidi"/>
          <w:sz w:val="24"/>
          <w:szCs w:val="24"/>
        </w:rPr>
        <w:t xml:space="preserve"> always retained. This rule prevented the filter from discarding either a newly reset segment or the most probable continuing segment.</w:t>
      </w:r>
    </w:p>
    <w:p w14:paraId="1C359775" w14:textId="77777777" w:rsidR="007919DC" w:rsidRPr="007919DC" w:rsidRDefault="007919DC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 xml:space="preserve">Across the numerical experiments, the retained state space remained small. The adaptive-hazard filter retained fewer than 4.4 run-length states on average across all scenarios, with a </w:t>
      </w:r>
      <w:r w:rsidRPr="007919DC">
        <w:rPr>
          <w:rFonts w:asciiTheme="majorBidi" w:hAnsiTheme="majorBidi" w:cstheme="majorBidi"/>
          <w:sz w:val="24"/>
          <w:szCs w:val="24"/>
        </w:rPr>
        <w:lastRenderedPageBreak/>
        <w:t>maximum retained-state count of 15. These summaries indicate that probability pruning substantially reduced the computational burden relative to the unpruned BOCPD recursion, whose number of run-length states grows linearly with time.</w:t>
      </w:r>
    </w:p>
    <w:p w14:paraId="2EA0F2CD" w14:textId="77777777" w:rsidR="002104F9" w:rsidRDefault="002104F9" w:rsidP="002104F9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F002763" w14:textId="56C715EC" w:rsidR="007919DC" w:rsidRPr="002104F9" w:rsidRDefault="007919DC" w:rsidP="002104F9">
      <w:pPr>
        <w:spacing w:after="0"/>
        <w:jc w:val="both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2104F9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S7 </w:t>
      </w:r>
      <w:proofErr w:type="spellStart"/>
      <w:r w:rsidRPr="002104F9">
        <w:rPr>
          <w:rFonts w:cstheme="minorHAnsi"/>
          <w:b/>
          <w:bCs/>
          <w:color w:val="2F5496" w:themeColor="accent1" w:themeShade="BF"/>
          <w:sz w:val="28"/>
          <w:szCs w:val="28"/>
        </w:rPr>
        <w:t>arXiv</w:t>
      </w:r>
      <w:proofErr w:type="spellEnd"/>
      <w:r w:rsidRPr="002104F9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 cs.CL preprocessing</w:t>
      </w:r>
    </w:p>
    <w:p w14:paraId="53F3F088" w14:textId="7A7C8DBA" w:rsidR="007919DC" w:rsidRPr="007919DC" w:rsidRDefault="007919DC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 xml:space="preserve">The real-data application used publicly available </w:t>
      </w:r>
      <w:proofErr w:type="spellStart"/>
      <w:r w:rsidRPr="007919DC">
        <w:rPr>
          <w:rFonts w:asciiTheme="majorBidi" w:hAnsiTheme="majorBidi" w:cstheme="majorBidi"/>
          <w:sz w:val="24"/>
          <w:szCs w:val="24"/>
        </w:rPr>
        <w:t>arXiv</w:t>
      </w:r>
      <w:proofErr w:type="spellEnd"/>
      <w:r w:rsidRPr="007919DC">
        <w:rPr>
          <w:rFonts w:asciiTheme="majorBidi" w:hAnsiTheme="majorBidi" w:cstheme="majorBidi"/>
          <w:sz w:val="24"/>
          <w:szCs w:val="24"/>
        </w:rPr>
        <w:t xml:space="preserve"> metadata from the cs.CL category. Titles and abstracts from January 2023 to December 2024 were aggregated into weekly text units. Standard text preprocessing was applied before constructing weekly word-count vectors. After vocabulary truncation, the final stream contained </w:t>
      </w:r>
      <m:oMath>
        <m:r>
          <w:rPr>
            <w:rFonts w:ascii="Cambria Math" w:hAnsi="Cambria Math" w:cstheme="majorBidi"/>
            <w:sz w:val="24"/>
            <w:szCs w:val="24"/>
          </w:rPr>
          <m:t>T=106</m:t>
        </m:r>
      </m:oMath>
      <w:r w:rsidR="002104F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7919DC">
        <w:rPr>
          <w:rFonts w:asciiTheme="majorBidi" w:hAnsiTheme="majorBidi" w:cstheme="majorBidi"/>
          <w:sz w:val="24"/>
          <w:szCs w:val="24"/>
        </w:rPr>
        <w:t>weekly periods, 5262 documents, and 1000 retained terms.</w:t>
      </w:r>
    </w:p>
    <w:p w14:paraId="505F7D01" w14:textId="77777777" w:rsidR="007919DC" w:rsidRDefault="007919DC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7919DC">
        <w:rPr>
          <w:rFonts w:asciiTheme="majorBidi" w:hAnsiTheme="majorBidi" w:cstheme="majorBidi"/>
          <w:sz w:val="24"/>
          <w:szCs w:val="24"/>
        </w:rPr>
        <w:t>arXiv</w:t>
      </w:r>
      <w:proofErr w:type="spellEnd"/>
      <w:r w:rsidRPr="007919DC">
        <w:rPr>
          <w:rFonts w:asciiTheme="majorBidi" w:hAnsiTheme="majorBidi" w:cstheme="majorBidi"/>
          <w:sz w:val="24"/>
          <w:szCs w:val="24"/>
        </w:rPr>
        <w:t xml:space="preserve"> application was designed as a stability check on a naturally varying text stream rather than as an event-discovery benchmark with labelled change points. Both DM-BOCPD-AH and DM-BOCPD-CH were applied to the same weekly count sequence. The adaptive hazard responded to local lexical variation, but neither filter selected a candidate boundary under the MAP run-length rule.</w:t>
      </w:r>
    </w:p>
    <w:p w14:paraId="5E1AE900" w14:textId="77777777" w:rsidR="002104F9" w:rsidRPr="007919DC" w:rsidRDefault="002104F9" w:rsidP="002104F9">
      <w:pPr>
        <w:spacing w:after="0"/>
        <w:ind w:firstLine="426"/>
        <w:jc w:val="both"/>
        <w:rPr>
          <w:rFonts w:asciiTheme="majorBidi" w:hAnsiTheme="majorBidi" w:cstheme="majorBidi"/>
          <w:sz w:val="24"/>
          <w:szCs w:val="24"/>
        </w:rPr>
      </w:pPr>
    </w:p>
    <w:p w14:paraId="7A4B62E8" w14:textId="77777777" w:rsidR="007919DC" w:rsidRPr="002104F9" w:rsidRDefault="007919DC" w:rsidP="007919DC">
      <w:pPr>
        <w:spacing w:after="0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2104F9">
        <w:rPr>
          <w:rFonts w:cstheme="minorHAnsi"/>
          <w:b/>
          <w:bCs/>
          <w:color w:val="2F5496" w:themeColor="accent1" w:themeShade="BF"/>
          <w:sz w:val="28"/>
          <w:szCs w:val="28"/>
        </w:rPr>
        <w:t>S8 Reproducibility</w:t>
      </w:r>
    </w:p>
    <w:p w14:paraId="391E4C6D" w14:textId="77777777" w:rsidR="007919DC" w:rsidRPr="007919DC" w:rsidRDefault="007919DC" w:rsidP="002104F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 xml:space="preserve">All numerical experiments were implemented in R. The implementation includes scripts for generating synthetic text streams, applying DM-BOCPD-AH and DM-BOCPD-CH, calibrating Jensen–Shannon baseline methods, computing detection summaries, producing posterior uncertainty summaries, and generating figures. The </w:t>
      </w:r>
      <w:proofErr w:type="spellStart"/>
      <w:r w:rsidRPr="007919DC">
        <w:rPr>
          <w:rFonts w:asciiTheme="majorBidi" w:hAnsiTheme="majorBidi" w:cstheme="majorBidi"/>
          <w:sz w:val="24"/>
          <w:szCs w:val="24"/>
        </w:rPr>
        <w:t>arXiv</w:t>
      </w:r>
      <w:proofErr w:type="spellEnd"/>
      <w:r w:rsidRPr="007919DC">
        <w:rPr>
          <w:rFonts w:asciiTheme="majorBidi" w:hAnsiTheme="majorBidi" w:cstheme="majorBidi"/>
          <w:sz w:val="24"/>
          <w:szCs w:val="24"/>
        </w:rPr>
        <w:t xml:space="preserve"> application scripts include metadata retrieval, weekly aggregation, preprocessing, vocabulary construction, filtering, and figure generation.</w:t>
      </w:r>
    </w:p>
    <w:p w14:paraId="5A66CC09" w14:textId="77777777" w:rsidR="007919DC" w:rsidRPr="007919DC" w:rsidRDefault="007919DC" w:rsidP="002104F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>The reproducibility package contains the following components:</w:t>
      </w:r>
    </w:p>
    <w:p w14:paraId="34AE5853" w14:textId="77777777" w:rsidR="007919DC" w:rsidRPr="002104F9" w:rsidRDefault="007919DC" w:rsidP="007919DC">
      <w:pPr>
        <w:spacing w:after="0"/>
        <w:rPr>
          <w:rFonts w:ascii="Consolas" w:hAnsi="Consolas" w:cstheme="majorBidi"/>
          <w:color w:val="2F5496" w:themeColor="accent1" w:themeShade="BF"/>
          <w:sz w:val="20"/>
          <w:szCs w:val="20"/>
        </w:rPr>
      </w:pPr>
      <w:r w:rsidRPr="002104F9">
        <w:rPr>
          <w:rFonts w:ascii="Consolas" w:hAnsi="Consolas" w:cstheme="majorBidi"/>
          <w:color w:val="2F5496" w:themeColor="accent1" w:themeShade="BF"/>
          <w:sz w:val="20"/>
          <w:szCs w:val="20"/>
        </w:rPr>
        <w:t>R scripts for synthetic stream generation</w:t>
      </w:r>
      <w:r w:rsidRPr="002104F9">
        <w:rPr>
          <w:rFonts w:ascii="Consolas" w:hAnsi="Consolas" w:cstheme="majorBidi"/>
          <w:color w:val="2F5496" w:themeColor="accent1" w:themeShade="BF"/>
          <w:sz w:val="20"/>
          <w:szCs w:val="20"/>
        </w:rPr>
        <w:br/>
        <w:t>R scripts for DM-BOCPD-AH and DM-BOCPD-CH filtering</w:t>
      </w:r>
      <w:r w:rsidRPr="002104F9">
        <w:rPr>
          <w:rFonts w:ascii="Consolas" w:hAnsi="Consolas" w:cstheme="majorBidi"/>
          <w:color w:val="2F5496" w:themeColor="accent1" w:themeShade="BF"/>
          <w:sz w:val="20"/>
          <w:szCs w:val="20"/>
        </w:rPr>
        <w:br/>
        <w:t>R scripts for JS-CUSUM, JS-PH, and JS-PELT baselines</w:t>
      </w:r>
      <w:r w:rsidRPr="002104F9">
        <w:rPr>
          <w:rFonts w:ascii="Consolas" w:hAnsi="Consolas" w:cstheme="majorBidi"/>
          <w:color w:val="2F5496" w:themeColor="accent1" w:themeShade="BF"/>
          <w:sz w:val="20"/>
          <w:szCs w:val="20"/>
        </w:rPr>
        <w:br/>
        <w:t>CSV files containing numerical summaries</w:t>
      </w:r>
      <w:r w:rsidRPr="002104F9">
        <w:rPr>
          <w:rFonts w:ascii="Consolas" w:hAnsi="Consolas" w:cstheme="majorBidi"/>
          <w:color w:val="2F5496" w:themeColor="accent1" w:themeShade="BF"/>
          <w:sz w:val="20"/>
          <w:szCs w:val="20"/>
        </w:rPr>
        <w:br/>
        <w:t>CSV files containing real-data application summaries</w:t>
      </w:r>
      <w:r w:rsidRPr="002104F9">
        <w:rPr>
          <w:rFonts w:ascii="Consolas" w:hAnsi="Consolas" w:cstheme="majorBidi"/>
          <w:color w:val="2F5496" w:themeColor="accent1" w:themeShade="BF"/>
          <w:sz w:val="20"/>
          <w:szCs w:val="20"/>
        </w:rPr>
        <w:br/>
        <w:t>Figure files used in the manuscript</w:t>
      </w:r>
      <w:r w:rsidRPr="002104F9">
        <w:rPr>
          <w:rFonts w:ascii="Consolas" w:hAnsi="Consolas" w:cstheme="majorBidi"/>
          <w:color w:val="2F5496" w:themeColor="accent1" w:themeShade="BF"/>
          <w:sz w:val="20"/>
          <w:szCs w:val="20"/>
        </w:rPr>
        <w:br/>
        <w:t>Session information and package versions</w:t>
      </w:r>
    </w:p>
    <w:p w14:paraId="16B746F6" w14:textId="77777777" w:rsidR="002104F9" w:rsidRDefault="002104F9" w:rsidP="007919D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F7F46F0" w14:textId="50BA50B6" w:rsidR="007919DC" w:rsidRPr="007919DC" w:rsidRDefault="007919DC" w:rsidP="007919DC">
      <w:pPr>
        <w:spacing w:after="0"/>
        <w:rPr>
          <w:rFonts w:asciiTheme="majorBidi" w:hAnsiTheme="majorBidi" w:cstheme="majorBidi"/>
          <w:sz w:val="24"/>
          <w:szCs w:val="24"/>
        </w:rPr>
      </w:pPr>
      <w:r w:rsidRPr="007919DC">
        <w:rPr>
          <w:rFonts w:asciiTheme="majorBidi" w:hAnsiTheme="majorBidi" w:cstheme="majorBidi"/>
          <w:sz w:val="24"/>
          <w:szCs w:val="24"/>
        </w:rPr>
        <w:t>The repository link will be inserted upon submission or made available as an anonymized review link, depending on the journal’s peer-review requirements.</w:t>
      </w:r>
    </w:p>
    <w:p w14:paraId="38691B02" w14:textId="77777777" w:rsidR="008B1A5F" w:rsidRPr="007919DC" w:rsidRDefault="008B1A5F" w:rsidP="007919DC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8B1A5F" w:rsidRPr="00791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DC"/>
    <w:rsid w:val="002104F9"/>
    <w:rsid w:val="00367A3F"/>
    <w:rsid w:val="005A416F"/>
    <w:rsid w:val="007919DC"/>
    <w:rsid w:val="00856F63"/>
    <w:rsid w:val="008B1A5F"/>
    <w:rsid w:val="00C6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73E0"/>
  <w15:chartTrackingRefBased/>
  <w15:docId w15:val="{933528AB-4570-4927-B772-2D883816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9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9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9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9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1132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Ali Gunawan</dc:creator>
  <cp:keywords/>
  <dc:description/>
  <cp:lastModifiedBy>Muhammad Ali Gunawan</cp:lastModifiedBy>
  <cp:revision>2</cp:revision>
  <dcterms:created xsi:type="dcterms:W3CDTF">2026-07-06T16:17:00Z</dcterms:created>
  <dcterms:modified xsi:type="dcterms:W3CDTF">2026-07-06T17:10:00Z</dcterms:modified>
</cp:coreProperties>
</file>