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79B57" w14:textId="77777777" w:rsidR="005D5671" w:rsidRPr="006F1F73" w:rsidRDefault="005D5671" w:rsidP="005D5671">
      <w:pPr>
        <w:keepNext/>
        <w:keepLines/>
        <w:spacing w:after="120" w:line="360" w:lineRule="auto"/>
        <w:jc w:val="both"/>
        <w:rPr>
          <w:rFonts w:ascii="Calibri" w:eastAsia="Times New Roman" w:hAnsi="Calibri" w:cs="Times New Roman"/>
          <w:color w:val="3E6D16"/>
          <w:sz w:val="24"/>
          <w:szCs w:val="24"/>
        </w:rPr>
      </w:pPr>
      <w:r>
        <w:rPr>
          <w:rFonts w:ascii="Calibri" w:eastAsia="Times New Roman" w:hAnsi="Calibri" w:cs="Times New Roman"/>
          <w:sz w:val="28"/>
          <w:szCs w:val="28"/>
        </w:rPr>
        <w:t>Supplementary Information</w:t>
      </w:r>
    </w:p>
    <w:p w14:paraId="059F5417" w14:textId="77777777" w:rsidR="005D5671" w:rsidRPr="00F6432E" w:rsidRDefault="005D5671" w:rsidP="005D5671">
      <w:pPr>
        <w:spacing w:after="120" w:line="360" w:lineRule="auto"/>
        <w:jc w:val="both"/>
        <w:rPr>
          <w:rFonts w:ascii="Calibri" w:eastAsia="Aptos" w:hAnsi="Calibri" w:cs="Times New Roman"/>
          <w:sz w:val="24"/>
          <w:szCs w:val="24"/>
        </w:rPr>
      </w:pPr>
      <w:r w:rsidRPr="00F6432E">
        <w:rPr>
          <w:rFonts w:ascii="Calibri" w:eastAsia="Aptos" w:hAnsi="Calibri" w:cs="Times New Roman"/>
          <w:sz w:val="24"/>
          <w:szCs w:val="24"/>
        </w:rPr>
        <w:t>The following Additional files with supplementary material are available.</w:t>
      </w:r>
    </w:p>
    <w:p w14:paraId="4C69B705" w14:textId="77777777" w:rsidR="005D5671" w:rsidRPr="009145C9" w:rsidRDefault="005D5671" w:rsidP="005D5671">
      <w:pPr>
        <w:spacing w:after="120" w:line="360" w:lineRule="auto"/>
        <w:jc w:val="both"/>
        <w:rPr>
          <w:rFonts w:ascii="Calibri" w:eastAsia="Aptos" w:hAnsi="Calibri" w:cs="Times New Roman"/>
          <w:sz w:val="24"/>
          <w:szCs w:val="24"/>
        </w:rPr>
      </w:pPr>
      <w:r w:rsidRPr="00605F5E">
        <w:rPr>
          <w:rFonts w:ascii="Calibri" w:eastAsia="Aptos" w:hAnsi="Calibri" w:cs="Times New Roman"/>
          <w:b/>
          <w:bCs/>
          <w:sz w:val="24"/>
          <w:szCs w:val="24"/>
        </w:rPr>
        <w:t>Table S1</w:t>
      </w:r>
      <w:r w:rsidRPr="009145C9">
        <w:rPr>
          <w:rFonts w:ascii="Calibri" w:eastAsia="Aptos" w:hAnsi="Calibri" w:cs="Times New Roman"/>
          <w:sz w:val="24"/>
          <w:szCs w:val="24"/>
        </w:rPr>
        <w:t xml:space="preserve"> Overview of the 12 PCR primers used for the fine-mapping of the lentil accession ILL7537 resistance locus on the short arm of chromosome 2.</w:t>
      </w:r>
    </w:p>
    <w:p w14:paraId="0E9F0B4B" w14:textId="77777777" w:rsidR="005D5671" w:rsidRPr="009145C9" w:rsidRDefault="005D5671" w:rsidP="005D5671">
      <w:pPr>
        <w:spacing w:after="120" w:line="360" w:lineRule="auto"/>
        <w:jc w:val="both"/>
        <w:rPr>
          <w:rFonts w:ascii="Calibri" w:eastAsia="Aptos" w:hAnsi="Calibri" w:cs="Times New Roman"/>
          <w:sz w:val="24"/>
          <w:szCs w:val="24"/>
        </w:rPr>
      </w:pPr>
      <w:r w:rsidRPr="00875047">
        <w:rPr>
          <w:rFonts w:ascii="Calibri" w:eastAsia="Aptos" w:hAnsi="Calibri" w:cs="Times New Roman"/>
          <w:b/>
          <w:bCs/>
          <w:sz w:val="24"/>
          <w:szCs w:val="24"/>
        </w:rPr>
        <w:t>Table S2</w:t>
      </w:r>
      <w:r w:rsidRPr="009145C9">
        <w:rPr>
          <w:rFonts w:ascii="Calibri" w:eastAsia="Aptos" w:hAnsi="Calibri" w:cs="Times New Roman"/>
          <w:sz w:val="24"/>
          <w:szCs w:val="24"/>
        </w:rPr>
        <w:t xml:space="preserve"> PCR conditions for the molecular markers used to fine-map the Ascochyta blight resistance at the qAB_2.3 QTL region of in the </w:t>
      </w:r>
      <w:r w:rsidRPr="009145C9">
        <w:rPr>
          <w:rFonts w:ascii="Calibri" w:eastAsia="Times New Roman" w:hAnsi="Calibri" w:cs="Calibri"/>
          <w:sz w:val="24"/>
          <w:szCs w:val="24"/>
          <w:lang w:eastAsia="en-AU"/>
        </w:rPr>
        <w:t xml:space="preserve">ILL6002 × ILL7537 </w:t>
      </w:r>
      <w:r w:rsidRPr="009145C9">
        <w:rPr>
          <w:rFonts w:ascii="Calibri" w:eastAsia="Aptos" w:hAnsi="Calibri" w:cs="Times New Roman"/>
          <w:sz w:val="24"/>
          <w:szCs w:val="24"/>
        </w:rPr>
        <w:t>HIF population. (a) PCR parameters used for the Taq PCR method used for four markers as indicated. (b) PCR parameters used for the Touchdown PCR, used for eight markers as indicated.</w:t>
      </w:r>
    </w:p>
    <w:p w14:paraId="0680F2DF" w14:textId="77777777" w:rsidR="005D5671" w:rsidRDefault="005D5671" w:rsidP="005D5671">
      <w:pPr>
        <w:spacing w:after="120" w:line="360" w:lineRule="auto"/>
        <w:jc w:val="both"/>
        <w:rPr>
          <w:rFonts w:ascii="Calibri" w:eastAsia="Aptos" w:hAnsi="Calibri" w:cs="Times New Roman"/>
          <w:sz w:val="24"/>
          <w:szCs w:val="24"/>
        </w:rPr>
      </w:pPr>
      <w:r w:rsidRPr="00875047">
        <w:rPr>
          <w:rFonts w:ascii="Calibri" w:eastAsia="Aptos" w:hAnsi="Calibri" w:cs="Times New Roman"/>
          <w:b/>
          <w:bCs/>
          <w:sz w:val="24"/>
          <w:szCs w:val="24"/>
        </w:rPr>
        <w:t>Table S3</w:t>
      </w:r>
      <w:r w:rsidRPr="009145C9">
        <w:rPr>
          <w:rFonts w:ascii="Calibri" w:eastAsia="Aptos" w:hAnsi="Calibri" w:cs="Times New Roman"/>
          <w:sz w:val="24"/>
          <w:szCs w:val="24"/>
        </w:rPr>
        <w:t xml:space="preserve"> Sequencing statistics for Nanopore adaptive sampling of the qAB_2.3 region of interest for ILL6002 and ILL7537.</w:t>
      </w:r>
    </w:p>
    <w:p w14:paraId="1BF21873" w14:textId="77777777" w:rsidR="005D5671" w:rsidRPr="009145C9" w:rsidRDefault="005D5671" w:rsidP="005D5671">
      <w:pPr>
        <w:spacing w:after="120" w:line="360" w:lineRule="auto"/>
        <w:jc w:val="both"/>
        <w:rPr>
          <w:rFonts w:ascii="Calibri" w:eastAsia="Aptos" w:hAnsi="Calibri" w:cs="Times New Roman"/>
          <w:sz w:val="24"/>
          <w:szCs w:val="24"/>
        </w:rPr>
      </w:pPr>
      <w:r w:rsidRPr="00605F5E">
        <w:rPr>
          <w:rFonts w:ascii="Calibri" w:eastAsia="Aptos" w:hAnsi="Calibri" w:cs="Times New Roman"/>
          <w:b/>
          <w:bCs/>
          <w:sz w:val="24"/>
          <w:szCs w:val="24"/>
        </w:rPr>
        <w:t>Figure S1</w:t>
      </w:r>
      <w:r w:rsidRPr="009145C9">
        <w:rPr>
          <w:rFonts w:ascii="Calibri" w:eastAsia="Aptos" w:hAnsi="Calibri" w:cs="Times New Roman"/>
          <w:sz w:val="24"/>
          <w:szCs w:val="24"/>
        </w:rPr>
        <w:tab/>
        <w:t>Marker distribution on seven linkage groups that correspond to the seven lentil chromosomes of the genetic map of the ILL6002 × ILL7537 recombinant inbred line (RIL) population.</w:t>
      </w:r>
    </w:p>
    <w:p w14:paraId="31A0B989" w14:textId="77777777" w:rsidR="005D5671" w:rsidRPr="009145C9" w:rsidRDefault="005D5671" w:rsidP="005D5671">
      <w:pPr>
        <w:spacing w:after="120" w:line="360" w:lineRule="auto"/>
        <w:jc w:val="both"/>
        <w:rPr>
          <w:rFonts w:ascii="Calibri" w:eastAsia="Aptos" w:hAnsi="Calibri" w:cs="Times New Roman"/>
          <w:sz w:val="24"/>
          <w:szCs w:val="24"/>
        </w:rPr>
      </w:pPr>
      <w:r w:rsidRPr="00605F5E">
        <w:rPr>
          <w:rFonts w:ascii="Calibri" w:eastAsia="Aptos" w:hAnsi="Calibri" w:cs="Times New Roman"/>
          <w:b/>
          <w:bCs/>
          <w:sz w:val="24"/>
          <w:szCs w:val="24"/>
        </w:rPr>
        <w:t>Figure S2</w:t>
      </w:r>
      <w:r w:rsidRPr="009145C9">
        <w:rPr>
          <w:rFonts w:ascii="Calibri" w:eastAsia="Aptos" w:hAnsi="Calibri" w:cs="Times New Roman"/>
          <w:sz w:val="24"/>
          <w:szCs w:val="24"/>
        </w:rPr>
        <w:tab/>
        <w:t xml:space="preserve">A heatmap illustrating recombination and linkage between markers across the linkage groups of the constructed linkage map of the ILL6002 × ILL7537 recombinant inbred line (RIL) population. </w:t>
      </w:r>
    </w:p>
    <w:p w14:paraId="7DFA9ABA" w14:textId="77777777" w:rsidR="005D5671" w:rsidRPr="009145C9" w:rsidRDefault="005D5671" w:rsidP="005D5671">
      <w:pPr>
        <w:spacing w:after="120" w:line="360" w:lineRule="auto"/>
        <w:jc w:val="both"/>
        <w:rPr>
          <w:rFonts w:ascii="Calibri" w:eastAsia="Aptos" w:hAnsi="Calibri" w:cs="Times New Roman"/>
          <w:sz w:val="24"/>
          <w:szCs w:val="24"/>
        </w:rPr>
      </w:pPr>
      <w:r w:rsidRPr="00605F5E">
        <w:rPr>
          <w:rFonts w:ascii="Calibri" w:eastAsia="Aptos" w:hAnsi="Calibri" w:cs="Times New Roman"/>
          <w:b/>
          <w:bCs/>
          <w:sz w:val="24"/>
          <w:szCs w:val="24"/>
        </w:rPr>
        <w:t>Figure S3</w:t>
      </w:r>
      <w:r w:rsidRPr="009145C9">
        <w:rPr>
          <w:rFonts w:ascii="Calibri" w:eastAsia="Aptos" w:hAnsi="Calibri" w:cs="Times New Roman"/>
          <w:sz w:val="24"/>
          <w:szCs w:val="24"/>
        </w:rPr>
        <w:tab/>
        <w:t xml:space="preserve">Comparison of the marker order as placed on the seven constructed linkage groups of the ILL6002 × ILL7537 linkage map (left) and the seven chromosomes of the physical map the markers were developed on, the CDC Redberry (v2.0) genome assembly (right). </w:t>
      </w:r>
    </w:p>
    <w:p w14:paraId="120EC93C" w14:textId="77777777" w:rsidR="005D5671" w:rsidRPr="009145C9" w:rsidRDefault="005D5671" w:rsidP="005D5671">
      <w:pPr>
        <w:spacing w:after="120" w:line="360" w:lineRule="auto"/>
        <w:jc w:val="both"/>
        <w:rPr>
          <w:rFonts w:ascii="Calibri" w:eastAsia="Aptos" w:hAnsi="Calibri" w:cs="Times New Roman"/>
          <w:sz w:val="24"/>
          <w:szCs w:val="24"/>
        </w:rPr>
      </w:pPr>
      <w:r w:rsidRPr="00605F5E">
        <w:rPr>
          <w:rFonts w:ascii="Calibri" w:eastAsia="Aptos" w:hAnsi="Calibri" w:cs="Times New Roman"/>
          <w:b/>
          <w:bCs/>
          <w:noProof/>
          <w:sz w:val="24"/>
          <w:szCs w:val="24"/>
        </w:rPr>
        <w:t>Fig</w:t>
      </w:r>
      <w:r w:rsidRPr="00605F5E">
        <w:rPr>
          <w:rFonts w:ascii="Calibri" w:eastAsia="Aptos" w:hAnsi="Calibri" w:cs="Times New Roman"/>
          <w:b/>
          <w:bCs/>
          <w:sz w:val="24"/>
          <w:szCs w:val="24"/>
        </w:rPr>
        <w:t>ure</w:t>
      </w:r>
      <w:r w:rsidRPr="00605F5E">
        <w:rPr>
          <w:rFonts w:ascii="Calibri" w:eastAsia="Aptos" w:hAnsi="Calibri" w:cs="Times New Roman"/>
          <w:b/>
          <w:bCs/>
          <w:noProof/>
          <w:sz w:val="24"/>
          <w:szCs w:val="24"/>
        </w:rPr>
        <w:t xml:space="preserve"> S4</w:t>
      </w:r>
      <w:r w:rsidRPr="009145C9">
        <w:rPr>
          <w:rFonts w:ascii="Calibri" w:eastAsia="Aptos" w:hAnsi="Calibri" w:cs="Times New Roman"/>
          <w:noProof/>
          <w:sz w:val="24"/>
          <w:szCs w:val="24"/>
        </w:rPr>
        <w:tab/>
        <w:t xml:space="preserve">Overview of the Ascochyta blight resistance QTL located on chromosome 2, qAB_2.3. The full-length chromosome at left indicates where the region investigated sits on chromosome 2. The length in the middle shows the position of the 12 markers used for the HIF population (black), and the plant defence-associated genes in the region (green). The coloured bars right indicate the statistical boundaries for the qAB_2.3 identified for each phenotyping experiment and the respective isolates used. CER = controlled environment room. </w:t>
      </w:r>
      <w:r w:rsidRPr="009145C9">
        <w:rPr>
          <w:rFonts w:ascii="Calibri" w:eastAsia="Aptos" w:hAnsi="Calibri" w:cs="Calibri"/>
          <w:noProof/>
          <w:sz w:val="24"/>
          <w:szCs w:val="24"/>
        </w:rPr>
        <w:t xml:space="preserve"> </w:t>
      </w:r>
    </w:p>
    <w:p w14:paraId="5C4AB96B" w14:textId="77777777" w:rsidR="005D5671" w:rsidRPr="009145C9" w:rsidRDefault="005D5671" w:rsidP="005D5671">
      <w:pPr>
        <w:spacing w:after="120" w:line="360" w:lineRule="auto"/>
        <w:jc w:val="both"/>
        <w:rPr>
          <w:rFonts w:eastAsia="Aptos" w:cs="Times New Roman"/>
          <w:sz w:val="24"/>
          <w:szCs w:val="24"/>
        </w:rPr>
      </w:pPr>
      <w:r w:rsidRPr="00605F5E">
        <w:rPr>
          <w:b/>
          <w:bCs/>
          <w:sz w:val="24"/>
          <w:szCs w:val="24"/>
        </w:rPr>
        <w:t>Figure S5</w:t>
      </w:r>
      <w:r w:rsidRPr="009145C9">
        <w:rPr>
          <w:sz w:val="24"/>
          <w:szCs w:val="24"/>
        </w:rPr>
        <w:tab/>
      </w:r>
      <w:r w:rsidRPr="009145C9">
        <w:rPr>
          <w:rFonts w:eastAsia="Aptos" w:cs="Times New Roman"/>
          <w:sz w:val="24"/>
          <w:szCs w:val="24"/>
        </w:rPr>
        <w:t>Boxplots that show the phenotypic variance of Z-standardised values for Ascochyta blight disease scores in the RIL population, grouped by the parental allelic variant of the respective marker located at the major resistance QTL</w:t>
      </w:r>
      <w:r>
        <w:rPr>
          <w:rFonts w:eastAsia="Aptos" w:cs="Times New Roman"/>
          <w:sz w:val="24"/>
          <w:szCs w:val="24"/>
        </w:rPr>
        <w:t>s</w:t>
      </w:r>
      <w:r w:rsidRPr="009145C9">
        <w:rPr>
          <w:rFonts w:eastAsia="Aptos" w:cs="Times New Roman"/>
          <w:sz w:val="24"/>
          <w:szCs w:val="24"/>
        </w:rPr>
        <w:t xml:space="preserve"> (ILL7537 allele, blue; heterozygotes, green; ILL6002 allele, red). Upper row: Seedling AB phenotypic variance for qAB_2.3 with Al4 (P2) shadehouse (A) and controlled environment room (CER) (B), and CER FT16299-1 (P2) (C) and FT14069 (P1) (D). Lower row: Field AB assay phenotypic variance for </w:t>
      </w:r>
      <w:r w:rsidRPr="009145C9">
        <w:rPr>
          <w:rFonts w:eastAsia="Aptos" w:cs="Times New Roman"/>
          <w:sz w:val="24"/>
          <w:szCs w:val="24"/>
        </w:rPr>
        <w:lastRenderedPageBreak/>
        <w:t>qAB_2.3 with WAC12393-1 (P1) (E) and WAE21002-1 (P2) (F), and for qAB_3.3 with WAE21002-1 (G).</w:t>
      </w:r>
    </w:p>
    <w:p w14:paraId="39B827AC" w14:textId="77777777" w:rsidR="005D5671" w:rsidRPr="009145C9" w:rsidRDefault="005D5671" w:rsidP="005D5671">
      <w:pPr>
        <w:spacing w:after="120" w:line="360" w:lineRule="auto"/>
        <w:jc w:val="both"/>
        <w:rPr>
          <w:rFonts w:ascii="Calibri" w:eastAsia="Aptos" w:hAnsi="Calibri" w:cs="Calibri"/>
          <w:noProof/>
          <w:sz w:val="24"/>
          <w:szCs w:val="24"/>
        </w:rPr>
      </w:pPr>
      <w:r w:rsidRPr="00605F5E">
        <w:rPr>
          <w:rFonts w:ascii="Calibri" w:eastAsia="Aptos" w:hAnsi="Calibri" w:cs="Calibri"/>
          <w:b/>
          <w:bCs/>
          <w:noProof/>
          <w:sz w:val="24"/>
          <w:szCs w:val="24"/>
        </w:rPr>
        <w:t>Fig</w:t>
      </w:r>
      <w:r w:rsidRPr="00605F5E">
        <w:rPr>
          <w:rFonts w:ascii="Calibri" w:eastAsia="Aptos" w:hAnsi="Calibri" w:cs="Times New Roman"/>
          <w:b/>
          <w:bCs/>
          <w:sz w:val="24"/>
          <w:szCs w:val="24"/>
        </w:rPr>
        <w:t>ure</w:t>
      </w:r>
      <w:r w:rsidRPr="00605F5E">
        <w:rPr>
          <w:rFonts w:ascii="Calibri" w:eastAsia="Aptos" w:hAnsi="Calibri" w:cs="Calibri"/>
          <w:b/>
          <w:bCs/>
          <w:noProof/>
          <w:sz w:val="24"/>
          <w:szCs w:val="24"/>
        </w:rPr>
        <w:t xml:space="preserve"> S6</w:t>
      </w:r>
      <w:r w:rsidRPr="009145C9">
        <w:rPr>
          <w:rFonts w:ascii="Calibri" w:eastAsia="Aptos" w:hAnsi="Calibri" w:cs="Calibri"/>
          <w:noProof/>
          <w:sz w:val="24"/>
          <w:szCs w:val="24"/>
        </w:rPr>
        <w:tab/>
        <w:t>The 12 polymorphic molecular markers used for fine-mapping the region of interest for QTL qAB_2.3, resolved on a 1.5% agarose gel.</w:t>
      </w:r>
    </w:p>
    <w:p w14:paraId="68D6B73E" w14:textId="77777777" w:rsidR="005D5671" w:rsidRPr="009145C9" w:rsidRDefault="005D5671" w:rsidP="005D5671">
      <w:pPr>
        <w:spacing w:after="120" w:line="360" w:lineRule="auto"/>
        <w:jc w:val="both"/>
        <w:rPr>
          <w:rFonts w:ascii="Calibri" w:eastAsia="Aptos" w:hAnsi="Calibri" w:cs="Calibri"/>
          <w:noProof/>
          <w:sz w:val="24"/>
          <w:szCs w:val="24"/>
        </w:rPr>
      </w:pPr>
      <w:r w:rsidRPr="00605F5E">
        <w:rPr>
          <w:rFonts w:ascii="Calibri" w:eastAsia="Aptos" w:hAnsi="Calibri" w:cs="Calibri"/>
          <w:b/>
          <w:bCs/>
          <w:noProof/>
          <w:sz w:val="24"/>
          <w:szCs w:val="24"/>
        </w:rPr>
        <w:t>Fig</w:t>
      </w:r>
      <w:r w:rsidRPr="00605F5E">
        <w:rPr>
          <w:rFonts w:ascii="Calibri" w:eastAsia="Aptos" w:hAnsi="Calibri" w:cs="Times New Roman"/>
          <w:b/>
          <w:bCs/>
          <w:sz w:val="24"/>
          <w:szCs w:val="24"/>
        </w:rPr>
        <w:t xml:space="preserve">ure </w:t>
      </w:r>
      <w:r w:rsidRPr="00605F5E">
        <w:rPr>
          <w:rFonts w:ascii="Calibri" w:eastAsia="Aptos" w:hAnsi="Calibri" w:cs="Calibri"/>
          <w:b/>
          <w:bCs/>
          <w:noProof/>
          <w:sz w:val="24"/>
          <w:szCs w:val="24"/>
        </w:rPr>
        <w:t>S7</w:t>
      </w:r>
      <w:r w:rsidRPr="009145C9">
        <w:rPr>
          <w:rFonts w:ascii="Calibri" w:eastAsia="Aptos" w:hAnsi="Calibri" w:cs="Calibri"/>
          <w:noProof/>
          <w:sz w:val="24"/>
          <w:szCs w:val="24"/>
        </w:rPr>
        <w:tab/>
        <w:t>Region of interest for CDC Redberry, ILL6002, and ILL7537, showing the developed markers (black), plant disease-associated genes (green), and resistance gene analogues (purple) within the region for each.</w:t>
      </w:r>
    </w:p>
    <w:p w14:paraId="1040A37D" w14:textId="77777777" w:rsidR="005D5671" w:rsidRPr="009145C9" w:rsidRDefault="005D5671" w:rsidP="005D5671">
      <w:pPr>
        <w:spacing w:after="120" w:line="360" w:lineRule="auto"/>
        <w:jc w:val="both"/>
        <w:rPr>
          <w:rFonts w:ascii="Calibri" w:eastAsia="Aptos" w:hAnsi="Calibri" w:cs="Times New Roman"/>
          <w:sz w:val="24"/>
          <w:szCs w:val="24"/>
        </w:rPr>
      </w:pPr>
      <w:r>
        <w:rPr>
          <w:rFonts w:ascii="Calibri" w:eastAsia="Aptos" w:hAnsi="Calibri" w:cs="Times New Roman"/>
          <w:b/>
          <w:bCs/>
          <w:sz w:val="24"/>
          <w:szCs w:val="24"/>
        </w:rPr>
        <w:t>Data</w:t>
      </w:r>
      <w:r w:rsidRPr="00605F5E">
        <w:rPr>
          <w:rFonts w:ascii="Calibri" w:eastAsia="Aptos" w:hAnsi="Calibri" w:cs="Times New Roman"/>
          <w:b/>
          <w:bCs/>
          <w:sz w:val="24"/>
          <w:szCs w:val="24"/>
        </w:rPr>
        <w:t xml:space="preserve"> S</w:t>
      </w:r>
      <w:r>
        <w:rPr>
          <w:rFonts w:ascii="Calibri" w:eastAsia="Aptos" w:hAnsi="Calibri" w:cs="Times New Roman"/>
          <w:b/>
          <w:bCs/>
          <w:sz w:val="24"/>
          <w:szCs w:val="24"/>
        </w:rPr>
        <w:t>1</w:t>
      </w:r>
      <w:r w:rsidRPr="009145C9">
        <w:rPr>
          <w:rFonts w:ascii="Calibri" w:eastAsia="Aptos" w:hAnsi="Calibri" w:cs="Times New Roman"/>
          <w:sz w:val="24"/>
          <w:szCs w:val="24"/>
        </w:rPr>
        <w:tab/>
        <w:t xml:space="preserve">Genotyping and phenotyping data generated for the ILL6002 × ILL7537 RIL and HIF populations. </w:t>
      </w:r>
    </w:p>
    <w:p w14:paraId="1ACC9D59" w14:textId="77777777" w:rsidR="005D5671" w:rsidRDefault="005D5671" w:rsidP="005D5671">
      <w:pPr>
        <w:spacing w:after="120" w:line="360" w:lineRule="auto"/>
        <w:jc w:val="both"/>
        <w:rPr>
          <w:rFonts w:ascii="Calibri" w:eastAsia="Aptos" w:hAnsi="Calibri" w:cs="Times New Roman"/>
          <w:b/>
          <w:bCs/>
          <w:sz w:val="24"/>
          <w:szCs w:val="24"/>
        </w:rPr>
      </w:pPr>
    </w:p>
    <w:p w14:paraId="36BD15E1" w14:textId="77777777" w:rsidR="005D5671" w:rsidRPr="009145C9" w:rsidRDefault="005D5671" w:rsidP="005D5671">
      <w:pPr>
        <w:spacing w:after="120" w:line="360" w:lineRule="auto"/>
        <w:jc w:val="both"/>
        <w:rPr>
          <w:rFonts w:ascii="Calibri" w:eastAsia="Aptos" w:hAnsi="Calibri" w:cs="Times New Roman"/>
          <w:sz w:val="24"/>
          <w:szCs w:val="24"/>
        </w:rPr>
      </w:pPr>
      <w:r>
        <w:rPr>
          <w:rFonts w:ascii="Calibri" w:eastAsia="Aptos" w:hAnsi="Calibri" w:cs="Times New Roman"/>
          <w:b/>
          <w:bCs/>
          <w:sz w:val="24"/>
          <w:szCs w:val="24"/>
        </w:rPr>
        <w:t>Data</w:t>
      </w:r>
      <w:r w:rsidRPr="00605F5E">
        <w:rPr>
          <w:rFonts w:ascii="Calibri" w:eastAsia="Aptos" w:hAnsi="Calibri" w:cs="Times New Roman"/>
          <w:b/>
          <w:bCs/>
          <w:sz w:val="24"/>
          <w:szCs w:val="24"/>
        </w:rPr>
        <w:t xml:space="preserve"> S</w:t>
      </w:r>
      <w:r>
        <w:rPr>
          <w:rFonts w:ascii="Calibri" w:eastAsia="Aptos" w:hAnsi="Calibri" w:cs="Times New Roman"/>
          <w:b/>
          <w:bCs/>
          <w:sz w:val="24"/>
          <w:szCs w:val="24"/>
        </w:rPr>
        <w:t>2</w:t>
      </w:r>
      <w:r w:rsidRPr="009145C9">
        <w:rPr>
          <w:rFonts w:ascii="Calibri" w:eastAsia="Aptos" w:hAnsi="Calibri" w:cs="Times New Roman"/>
          <w:sz w:val="24"/>
          <w:szCs w:val="24"/>
        </w:rPr>
        <w:tab/>
        <w:t xml:space="preserve">List of annotated plant defence-associated genes, including corresponding annotations and markers, in the 2.05 Mbp region of interest in the CDC Redberry (v2.0) genome assembly and respective regions in ILL6002 and ILL7537. Genes in the same row and colour are homologous between assemblies, but not necessarily identical in sequence. </w:t>
      </w:r>
    </w:p>
    <w:p w14:paraId="0EFD3B92" w14:textId="77777777" w:rsidR="005D5671" w:rsidRPr="00D94BC9" w:rsidRDefault="005D5671" w:rsidP="005D5671">
      <w:pPr>
        <w:spacing w:after="120" w:line="360" w:lineRule="auto"/>
        <w:jc w:val="both"/>
        <w:rPr>
          <w:rFonts w:ascii="Calibri" w:eastAsia="Aptos" w:hAnsi="Calibri" w:cs="Times New Roman"/>
          <w:sz w:val="24"/>
          <w:szCs w:val="24"/>
        </w:rPr>
      </w:pPr>
      <w:r>
        <w:rPr>
          <w:rFonts w:ascii="Calibri" w:eastAsia="Aptos" w:hAnsi="Calibri" w:cs="Times New Roman"/>
          <w:b/>
          <w:bCs/>
          <w:sz w:val="24"/>
          <w:szCs w:val="24"/>
        </w:rPr>
        <w:t>Data</w:t>
      </w:r>
      <w:r w:rsidRPr="00605F5E">
        <w:rPr>
          <w:rFonts w:ascii="Calibri" w:eastAsia="Aptos" w:hAnsi="Calibri" w:cs="Times New Roman"/>
          <w:b/>
          <w:bCs/>
          <w:sz w:val="24"/>
          <w:szCs w:val="24"/>
        </w:rPr>
        <w:t xml:space="preserve"> S</w:t>
      </w:r>
      <w:r>
        <w:rPr>
          <w:rFonts w:ascii="Calibri" w:eastAsia="Aptos" w:hAnsi="Calibri" w:cs="Times New Roman"/>
          <w:b/>
          <w:bCs/>
          <w:sz w:val="24"/>
          <w:szCs w:val="24"/>
        </w:rPr>
        <w:t>3</w:t>
      </w:r>
      <w:r>
        <w:rPr>
          <w:rFonts w:ascii="Calibri" w:eastAsia="Aptos" w:hAnsi="Calibri" w:cs="Times New Roman"/>
          <w:sz w:val="24"/>
          <w:szCs w:val="24"/>
        </w:rPr>
        <w:t xml:space="preserve"> </w:t>
      </w:r>
      <w:r w:rsidRPr="009145C9">
        <w:rPr>
          <w:rFonts w:ascii="Calibri" w:eastAsia="Aptos" w:hAnsi="Calibri" w:cs="Times New Roman"/>
          <w:sz w:val="24"/>
          <w:szCs w:val="24"/>
        </w:rPr>
        <w:tab/>
        <w:t>Sequences of the six candidate resistance genes in ILL7537, five of which are classical resistance gene analogues (RGAs), as detailed in the results, and one an early-response element, as introduced in the discussion. The Receptor-like Kinase, marked in o</w:t>
      </w:r>
      <w:r w:rsidRPr="00F6432E">
        <w:rPr>
          <w:rFonts w:ascii="Calibri" w:eastAsia="Aptos" w:hAnsi="Calibri" w:cs="Times New Roman"/>
          <w:sz w:val="24"/>
          <w:szCs w:val="24"/>
        </w:rPr>
        <w:t>range, has been discounted as a candidate due to apparent premature truncation, but is included here for reference.</w:t>
      </w:r>
    </w:p>
    <w:p w14:paraId="622EE32A" w14:textId="77777777" w:rsidR="00DE6AE2" w:rsidRDefault="00DE6AE2"/>
    <w:sectPr w:rsidR="00DE6AE2" w:rsidSect="005D5671">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71"/>
    <w:rsid w:val="00195413"/>
    <w:rsid w:val="003A03A7"/>
    <w:rsid w:val="003D0186"/>
    <w:rsid w:val="005D5671"/>
    <w:rsid w:val="007278E4"/>
    <w:rsid w:val="00981A40"/>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D6A6"/>
  <w15:chartTrackingRefBased/>
  <w15:docId w15:val="{98B37A17-A4B0-43EC-A5F1-8943F2BF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671"/>
    <w:pPr>
      <w:spacing w:line="259" w:lineRule="auto"/>
    </w:pPr>
    <w:rPr>
      <w:kern w:val="0"/>
      <w:sz w:val="22"/>
      <w:szCs w:val="22"/>
      <w:lang w:val="en-AU"/>
      <w14:ligatures w14:val="none"/>
    </w:rPr>
  </w:style>
  <w:style w:type="paragraph" w:styleId="Heading1">
    <w:name w:val="heading 1"/>
    <w:basedOn w:val="Normal"/>
    <w:next w:val="Normal"/>
    <w:link w:val="Heading1Char"/>
    <w:uiPriority w:val="9"/>
    <w:qFormat/>
    <w:rsid w:val="005D56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D56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D5671"/>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D5671"/>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D5671"/>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D5671"/>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D5671"/>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D5671"/>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D5671"/>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671"/>
    <w:rPr>
      <w:rFonts w:eastAsiaTheme="majorEastAsia" w:cstheme="majorBidi"/>
      <w:color w:val="272727" w:themeColor="text1" w:themeTint="D8"/>
    </w:rPr>
  </w:style>
  <w:style w:type="paragraph" w:styleId="Title">
    <w:name w:val="Title"/>
    <w:basedOn w:val="Normal"/>
    <w:next w:val="Normal"/>
    <w:link w:val="TitleChar"/>
    <w:uiPriority w:val="10"/>
    <w:qFormat/>
    <w:rsid w:val="005D567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D5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671"/>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D5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671"/>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D5671"/>
    <w:rPr>
      <w:i/>
      <w:iCs/>
      <w:color w:val="404040" w:themeColor="text1" w:themeTint="BF"/>
    </w:rPr>
  </w:style>
  <w:style w:type="paragraph" w:styleId="ListParagraph">
    <w:name w:val="List Paragraph"/>
    <w:basedOn w:val="Normal"/>
    <w:uiPriority w:val="34"/>
    <w:qFormat/>
    <w:rsid w:val="005D5671"/>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5D5671"/>
    <w:rPr>
      <w:i/>
      <w:iCs/>
      <w:color w:val="0F4761" w:themeColor="accent1" w:themeShade="BF"/>
    </w:rPr>
  </w:style>
  <w:style w:type="paragraph" w:styleId="IntenseQuote">
    <w:name w:val="Intense Quote"/>
    <w:basedOn w:val="Normal"/>
    <w:next w:val="Normal"/>
    <w:link w:val="IntenseQuoteChar"/>
    <w:uiPriority w:val="30"/>
    <w:qFormat/>
    <w:rsid w:val="005D567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D5671"/>
    <w:rPr>
      <w:i/>
      <w:iCs/>
      <w:color w:val="0F4761" w:themeColor="accent1" w:themeShade="BF"/>
    </w:rPr>
  </w:style>
  <w:style w:type="character" w:styleId="IntenseReference">
    <w:name w:val="Intense Reference"/>
    <w:basedOn w:val="DefaultParagraphFont"/>
    <w:uiPriority w:val="32"/>
    <w:qFormat/>
    <w:rsid w:val="005D56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3154</Characters>
  <Application>Microsoft Office Word</Application>
  <DocSecurity>0</DocSecurity>
  <Lines>26</Lines>
  <Paragraphs>7</Paragraphs>
  <ScaleCrop>false</ScaleCrop>
  <Company>Springer Nature</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2026-09-01T13:15:00Z</dcterms:created>
  <dcterms:modified xsi:type="dcterms:W3CDTF">2026-09-01T13:15:00Z</dcterms:modified>
</cp:coreProperties>
</file>