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D4B49" w14:textId="10835F91" w:rsidR="00E46771" w:rsidRDefault="00E46771" w:rsidP="00F6628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Supplementary Materials</w:t>
      </w:r>
    </w:p>
    <w:p w14:paraId="3E811D8C" w14:textId="77777777" w:rsidR="00604FE6" w:rsidRDefault="00604FE6" w:rsidP="00E46771">
      <w:pPr>
        <w:spacing w:line="480" w:lineRule="auto"/>
        <w:rPr>
          <w:rFonts w:ascii="Times New Roman" w:hAnsi="Times New Roman" w:cs="Times New Roman"/>
          <w:b/>
          <w:bCs/>
          <w:sz w:val="24"/>
          <w:szCs w:val="24"/>
        </w:rPr>
      </w:pPr>
    </w:p>
    <w:p w14:paraId="5D9446B3" w14:textId="68BD3AAE" w:rsidR="00E46771" w:rsidRPr="002F4CD3" w:rsidRDefault="00E46771" w:rsidP="00E46771">
      <w:pPr>
        <w:spacing w:line="480" w:lineRule="auto"/>
        <w:rPr>
          <w:rFonts w:ascii="Times New Roman" w:hAnsi="Times New Roman" w:cs="Times New Roman"/>
          <w:b/>
          <w:bCs/>
          <w:sz w:val="24"/>
          <w:szCs w:val="24"/>
        </w:rPr>
      </w:pPr>
      <w:r w:rsidRPr="0499F32E">
        <w:rPr>
          <w:rFonts w:ascii="Times New Roman" w:hAnsi="Times New Roman" w:cs="Times New Roman"/>
          <w:b/>
          <w:bCs/>
          <w:sz w:val="24"/>
          <w:szCs w:val="24"/>
        </w:rPr>
        <w:t>Full statistics for F1 accuracy, precision, and recall</w:t>
      </w:r>
    </w:p>
    <w:p w14:paraId="1C691F5D" w14:textId="2CAF6359" w:rsidR="00E46771" w:rsidRDefault="00E46771" w:rsidP="00E46771">
      <w:pPr>
        <w:spacing w:line="480" w:lineRule="auto"/>
        <w:rPr>
          <w:rFonts w:ascii="Times New Roman" w:hAnsi="Times New Roman" w:cs="Times New Roman"/>
          <w:i/>
          <w:iCs/>
          <w:sz w:val="24"/>
          <w:szCs w:val="24"/>
        </w:rPr>
      </w:pPr>
      <w:r w:rsidRPr="0499F32E">
        <w:rPr>
          <w:rFonts w:ascii="Times New Roman" w:hAnsi="Times New Roman" w:cs="Times New Roman"/>
          <w:sz w:val="24"/>
          <w:szCs w:val="24"/>
        </w:rPr>
        <w:t xml:space="preserve">Table </w:t>
      </w:r>
      <w:r>
        <w:rPr>
          <w:rFonts w:ascii="Times New Roman" w:hAnsi="Times New Roman" w:cs="Times New Roman"/>
          <w:sz w:val="24"/>
          <w:szCs w:val="24"/>
        </w:rPr>
        <w:t>S</w:t>
      </w:r>
      <w:r w:rsidRPr="0499F32E">
        <w:rPr>
          <w:rFonts w:ascii="Times New Roman" w:hAnsi="Times New Roman" w:cs="Times New Roman"/>
          <w:sz w:val="24"/>
          <w:szCs w:val="24"/>
        </w:rPr>
        <w:t>1.</w:t>
      </w:r>
    </w:p>
    <w:p w14:paraId="07E50091" w14:textId="77777777" w:rsidR="00E46771" w:rsidRPr="001327AC" w:rsidRDefault="00E46771" w:rsidP="00E46771">
      <w:pPr>
        <w:spacing w:line="480" w:lineRule="auto"/>
        <w:rPr>
          <w:rFonts w:ascii="Times New Roman" w:hAnsi="Times New Roman" w:cs="Times New Roman"/>
          <w:i/>
          <w:iCs/>
          <w:sz w:val="24"/>
          <w:szCs w:val="24"/>
        </w:rPr>
      </w:pPr>
      <w:r>
        <w:rPr>
          <w:rFonts w:ascii="Times New Roman" w:hAnsi="Times New Roman" w:cs="Times New Roman"/>
          <w:i/>
          <w:iCs/>
          <w:sz w:val="24"/>
          <w:szCs w:val="24"/>
        </w:rPr>
        <w:t>Analysis of variance outcomes and pairwise comparisons between groups: H</w:t>
      </w:r>
      <w:r w:rsidRPr="0499F32E">
        <w:rPr>
          <w:rFonts w:ascii="Times New Roman" w:hAnsi="Times New Roman" w:cs="Times New Roman"/>
          <w:i/>
          <w:iCs/>
          <w:sz w:val="24"/>
          <w:szCs w:val="24"/>
        </w:rPr>
        <w:t>ealthy controls (HC), Friedreich’s ataxia (FA), and multiple sclerosis (MS).</w:t>
      </w:r>
    </w:p>
    <w:tbl>
      <w:tblPr>
        <w:tblW w:w="5000" w:type="pct"/>
        <w:tblLook w:val="04A0" w:firstRow="1" w:lastRow="0" w:firstColumn="1" w:lastColumn="0" w:noHBand="0" w:noVBand="1"/>
      </w:tblPr>
      <w:tblGrid>
        <w:gridCol w:w="2620"/>
        <w:gridCol w:w="1071"/>
        <w:gridCol w:w="942"/>
        <w:gridCol w:w="776"/>
        <w:gridCol w:w="1191"/>
        <w:gridCol w:w="1191"/>
        <w:gridCol w:w="1235"/>
      </w:tblGrid>
      <w:tr w:rsidR="00E46771" w14:paraId="32866B14" w14:textId="77777777" w:rsidTr="00FA33AA">
        <w:trPr>
          <w:trHeight w:val="288"/>
        </w:trPr>
        <w:tc>
          <w:tcPr>
            <w:tcW w:w="1451" w:type="pct"/>
            <w:vMerge w:val="restart"/>
            <w:tcBorders>
              <w:top w:val="single" w:sz="4" w:space="0" w:color="auto"/>
              <w:left w:val="nil"/>
              <w:right w:val="nil"/>
            </w:tcBorders>
            <w:shd w:val="clear" w:color="auto" w:fill="auto"/>
          </w:tcPr>
          <w:p w14:paraId="77535C9E" w14:textId="77777777" w:rsidR="00E46771" w:rsidRPr="0499F32E" w:rsidRDefault="00E46771" w:rsidP="00FA33AA">
            <w:pPr>
              <w:spacing w:after="0" w:line="480" w:lineRule="auto"/>
              <w:rPr>
                <w:rFonts w:ascii="Times New Roman" w:eastAsia="Times New Roman" w:hAnsi="Times New Roman" w:cs="Times New Roman"/>
                <w:b/>
                <w:bCs/>
                <w:color w:val="000000" w:themeColor="text1"/>
                <w:sz w:val="24"/>
                <w:szCs w:val="24"/>
                <w:lang w:eastAsia="en-AU"/>
              </w:rPr>
            </w:pPr>
            <w:r w:rsidRPr="0499F32E">
              <w:rPr>
                <w:rFonts w:ascii="Times New Roman" w:eastAsia="Times New Roman" w:hAnsi="Times New Roman" w:cs="Times New Roman"/>
                <w:b/>
                <w:bCs/>
                <w:color w:val="000000" w:themeColor="text1"/>
                <w:sz w:val="24"/>
                <w:szCs w:val="24"/>
                <w:lang w:eastAsia="en-AU"/>
              </w:rPr>
              <w:t>Accuracy Measure</w:t>
            </w:r>
          </w:p>
        </w:tc>
        <w:tc>
          <w:tcPr>
            <w:tcW w:w="593" w:type="pct"/>
            <w:vMerge w:val="restart"/>
            <w:tcBorders>
              <w:top w:val="single" w:sz="4" w:space="0" w:color="auto"/>
              <w:left w:val="nil"/>
              <w:right w:val="nil"/>
            </w:tcBorders>
            <w:shd w:val="clear" w:color="auto" w:fill="auto"/>
          </w:tcPr>
          <w:p w14:paraId="5414FE1A" w14:textId="77777777" w:rsidR="00E46771" w:rsidRPr="0499F32E" w:rsidRDefault="00E46771" w:rsidP="00FA33AA">
            <w:pPr>
              <w:spacing w:after="0" w:line="480" w:lineRule="auto"/>
              <w:jc w:val="right"/>
              <w:rPr>
                <w:rFonts w:ascii="Times New Roman" w:eastAsia="Times New Roman" w:hAnsi="Times New Roman" w:cs="Times New Roman"/>
                <w:b/>
                <w:bCs/>
                <w:i/>
                <w:iCs/>
                <w:color w:val="000000" w:themeColor="text1"/>
                <w:sz w:val="24"/>
                <w:szCs w:val="24"/>
                <w:lang w:eastAsia="en-AU"/>
              </w:rPr>
            </w:pPr>
            <w:r w:rsidRPr="0499F32E">
              <w:rPr>
                <w:rFonts w:ascii="Times New Roman" w:eastAsia="Times New Roman" w:hAnsi="Times New Roman" w:cs="Times New Roman"/>
                <w:b/>
                <w:bCs/>
                <w:i/>
                <w:iCs/>
                <w:color w:val="000000" w:themeColor="text1"/>
                <w:sz w:val="24"/>
                <w:szCs w:val="24"/>
                <w:lang w:eastAsia="en-AU"/>
              </w:rPr>
              <w:t>F</w:t>
            </w:r>
          </w:p>
        </w:tc>
        <w:tc>
          <w:tcPr>
            <w:tcW w:w="522" w:type="pct"/>
            <w:vMerge w:val="restart"/>
            <w:tcBorders>
              <w:top w:val="single" w:sz="4" w:space="0" w:color="auto"/>
              <w:left w:val="nil"/>
              <w:right w:val="nil"/>
            </w:tcBorders>
            <w:shd w:val="clear" w:color="auto" w:fill="auto"/>
          </w:tcPr>
          <w:p w14:paraId="44650A14" w14:textId="77777777" w:rsidR="00E46771" w:rsidRPr="0499F32E" w:rsidRDefault="00E46771" w:rsidP="00FA33AA">
            <w:pPr>
              <w:spacing w:after="0" w:line="480" w:lineRule="auto"/>
              <w:jc w:val="right"/>
              <w:rPr>
                <w:rFonts w:ascii="Times New Roman" w:eastAsia="Times New Roman" w:hAnsi="Times New Roman" w:cs="Times New Roman"/>
                <w:b/>
                <w:bCs/>
                <w:i/>
                <w:iCs/>
                <w:color w:val="000000" w:themeColor="text1"/>
                <w:sz w:val="24"/>
                <w:szCs w:val="24"/>
                <w:lang w:eastAsia="en-AU"/>
              </w:rPr>
            </w:pPr>
            <w:r w:rsidRPr="0499F32E">
              <w:rPr>
                <w:rFonts w:ascii="Times New Roman" w:eastAsia="Times New Roman" w:hAnsi="Times New Roman" w:cs="Times New Roman"/>
                <w:b/>
                <w:bCs/>
                <w:i/>
                <w:iCs/>
                <w:color w:val="000000" w:themeColor="text1"/>
                <w:sz w:val="24"/>
                <w:szCs w:val="24"/>
                <w:lang w:eastAsia="en-AU"/>
              </w:rPr>
              <w:t>p</w:t>
            </w:r>
          </w:p>
        </w:tc>
        <w:tc>
          <w:tcPr>
            <w:tcW w:w="430" w:type="pct"/>
            <w:vMerge w:val="restart"/>
            <w:tcBorders>
              <w:top w:val="single" w:sz="4" w:space="0" w:color="auto"/>
              <w:left w:val="nil"/>
              <w:right w:val="nil"/>
            </w:tcBorders>
            <w:shd w:val="clear" w:color="auto" w:fill="auto"/>
          </w:tcPr>
          <w:p w14:paraId="73408AE9" w14:textId="77777777" w:rsidR="00E46771" w:rsidRPr="00D44A0A" w:rsidRDefault="00E46771" w:rsidP="00FA33AA">
            <w:pPr>
              <w:spacing w:after="0" w:line="480" w:lineRule="auto"/>
              <w:jc w:val="right"/>
              <w:rPr>
                <w:rFonts w:ascii="Arial" w:hAnsi="Arial" w:cs="Arial"/>
                <w:b/>
                <w:bCs/>
                <w:i/>
                <w:iCs/>
                <w:color w:val="202124"/>
                <w:shd w:val="clear" w:color="auto" w:fill="FFFFFF"/>
              </w:rPr>
            </w:pPr>
            <w:r w:rsidRPr="00D44A0A">
              <w:rPr>
                <w:rFonts w:ascii="Arial" w:hAnsi="Arial" w:cs="Arial"/>
                <w:b/>
                <w:bCs/>
                <w:i/>
                <w:iCs/>
                <w:color w:val="202124"/>
                <w:shd w:val="clear" w:color="auto" w:fill="FFFFFF"/>
              </w:rPr>
              <w:t>η</w:t>
            </w:r>
            <w:r w:rsidRPr="00D44A0A">
              <w:rPr>
                <w:rFonts w:ascii="Arial" w:hAnsi="Arial" w:cs="Arial"/>
                <w:b/>
                <w:bCs/>
                <w:i/>
                <w:iCs/>
                <w:color w:val="202124"/>
                <w:shd w:val="clear" w:color="auto" w:fill="FFFFFF"/>
                <w:vertAlign w:val="superscript"/>
              </w:rPr>
              <w:t>2</w:t>
            </w:r>
            <w:r w:rsidRPr="00D44A0A">
              <w:rPr>
                <w:rFonts w:ascii="Arial" w:hAnsi="Arial" w:cs="Arial"/>
                <w:b/>
                <w:bCs/>
                <w:i/>
                <w:iCs/>
                <w:color w:val="202124"/>
                <w:shd w:val="clear" w:color="auto" w:fill="FFFFFF"/>
                <w:vertAlign w:val="subscript"/>
              </w:rPr>
              <w:t>G</w:t>
            </w:r>
          </w:p>
        </w:tc>
        <w:tc>
          <w:tcPr>
            <w:tcW w:w="2004" w:type="pct"/>
            <w:gridSpan w:val="3"/>
            <w:tcBorders>
              <w:top w:val="single" w:sz="4" w:space="0" w:color="auto"/>
              <w:left w:val="nil"/>
              <w:bottom w:val="single" w:sz="4" w:space="0" w:color="auto"/>
              <w:right w:val="nil"/>
            </w:tcBorders>
            <w:shd w:val="clear" w:color="auto" w:fill="auto"/>
            <w:vAlign w:val="bottom"/>
          </w:tcPr>
          <w:p w14:paraId="0E1E1132" w14:textId="77777777" w:rsidR="00E46771" w:rsidRPr="0499F32E" w:rsidRDefault="00E46771" w:rsidP="00FA33AA">
            <w:pPr>
              <w:spacing w:after="0" w:line="480" w:lineRule="auto"/>
              <w:jc w:val="center"/>
              <w:rPr>
                <w:rFonts w:ascii="Times New Roman" w:eastAsia="Times New Roman" w:hAnsi="Times New Roman" w:cs="Times New Roman"/>
                <w:b/>
                <w:bCs/>
                <w:color w:val="000000" w:themeColor="text1"/>
                <w:sz w:val="24"/>
                <w:szCs w:val="24"/>
                <w:lang w:eastAsia="en-AU"/>
              </w:rPr>
            </w:pPr>
            <w:r>
              <w:rPr>
                <w:rFonts w:ascii="Times New Roman" w:eastAsia="Times New Roman" w:hAnsi="Times New Roman" w:cs="Times New Roman"/>
                <w:b/>
                <w:bCs/>
                <w:color w:val="000000" w:themeColor="text1"/>
                <w:sz w:val="24"/>
                <w:szCs w:val="24"/>
                <w:lang w:eastAsia="en-AU"/>
              </w:rPr>
              <w:t>Pairwise Comparison</w:t>
            </w:r>
          </w:p>
        </w:tc>
      </w:tr>
      <w:tr w:rsidR="00E46771" w14:paraId="23A7AC28" w14:textId="77777777" w:rsidTr="00FA33AA">
        <w:trPr>
          <w:trHeight w:val="288"/>
        </w:trPr>
        <w:tc>
          <w:tcPr>
            <w:tcW w:w="1451" w:type="pct"/>
            <w:vMerge/>
            <w:vAlign w:val="bottom"/>
          </w:tcPr>
          <w:p w14:paraId="69C6B5C8" w14:textId="77777777" w:rsidR="00E46771" w:rsidRDefault="00E46771" w:rsidP="00FA33AA">
            <w:pPr>
              <w:spacing w:after="0" w:line="480" w:lineRule="auto"/>
              <w:rPr>
                <w:rFonts w:ascii="Times New Roman" w:eastAsia="Times New Roman" w:hAnsi="Times New Roman" w:cs="Times New Roman"/>
                <w:b/>
                <w:bCs/>
                <w:color w:val="000000" w:themeColor="text1"/>
                <w:sz w:val="24"/>
                <w:szCs w:val="24"/>
                <w:lang w:eastAsia="en-AU"/>
              </w:rPr>
            </w:pPr>
          </w:p>
        </w:tc>
        <w:tc>
          <w:tcPr>
            <w:tcW w:w="593" w:type="pct"/>
            <w:vMerge/>
            <w:vAlign w:val="bottom"/>
          </w:tcPr>
          <w:p w14:paraId="0738997E" w14:textId="77777777" w:rsidR="00E46771" w:rsidRDefault="00E46771" w:rsidP="00FA33AA">
            <w:pPr>
              <w:spacing w:after="0" w:line="480" w:lineRule="auto"/>
              <w:jc w:val="right"/>
              <w:rPr>
                <w:rFonts w:ascii="Times New Roman" w:eastAsia="Times New Roman" w:hAnsi="Times New Roman" w:cs="Times New Roman"/>
                <w:b/>
                <w:bCs/>
                <w:i/>
                <w:iCs/>
                <w:color w:val="000000" w:themeColor="text1"/>
                <w:sz w:val="24"/>
                <w:szCs w:val="24"/>
                <w:lang w:eastAsia="en-AU"/>
              </w:rPr>
            </w:pPr>
          </w:p>
        </w:tc>
        <w:tc>
          <w:tcPr>
            <w:tcW w:w="522" w:type="pct"/>
            <w:vMerge/>
            <w:vAlign w:val="bottom"/>
          </w:tcPr>
          <w:p w14:paraId="21653677" w14:textId="77777777" w:rsidR="00E46771" w:rsidRDefault="00E46771" w:rsidP="00FA33AA">
            <w:pPr>
              <w:spacing w:after="0" w:line="480" w:lineRule="auto"/>
              <w:jc w:val="right"/>
              <w:rPr>
                <w:rFonts w:ascii="Times New Roman" w:eastAsia="Times New Roman" w:hAnsi="Times New Roman" w:cs="Times New Roman"/>
                <w:b/>
                <w:bCs/>
                <w:i/>
                <w:iCs/>
                <w:color w:val="000000" w:themeColor="text1"/>
                <w:sz w:val="24"/>
                <w:szCs w:val="24"/>
                <w:lang w:eastAsia="en-AU"/>
              </w:rPr>
            </w:pPr>
          </w:p>
        </w:tc>
        <w:tc>
          <w:tcPr>
            <w:tcW w:w="430" w:type="pct"/>
            <w:vMerge/>
            <w:vAlign w:val="bottom"/>
          </w:tcPr>
          <w:p w14:paraId="42E735D8" w14:textId="77777777" w:rsidR="00E46771" w:rsidRPr="00D44A0A" w:rsidRDefault="00E46771" w:rsidP="00FA33AA">
            <w:pPr>
              <w:spacing w:after="0" w:line="480" w:lineRule="auto"/>
              <w:jc w:val="right"/>
              <w:rPr>
                <w:rFonts w:ascii="Times New Roman" w:eastAsia="Times New Roman" w:hAnsi="Times New Roman" w:cs="Times New Roman"/>
                <w:b/>
                <w:bCs/>
                <w:i/>
                <w:iCs/>
                <w:color w:val="000000" w:themeColor="text1"/>
                <w:sz w:val="24"/>
                <w:szCs w:val="24"/>
                <w:lang w:eastAsia="en-AU"/>
              </w:rPr>
            </w:pPr>
          </w:p>
        </w:tc>
        <w:tc>
          <w:tcPr>
            <w:tcW w:w="660" w:type="pct"/>
            <w:tcBorders>
              <w:top w:val="single" w:sz="4" w:space="0" w:color="auto"/>
              <w:left w:val="nil"/>
              <w:bottom w:val="single" w:sz="4" w:space="0" w:color="auto"/>
              <w:right w:val="nil"/>
            </w:tcBorders>
            <w:shd w:val="clear" w:color="auto" w:fill="auto"/>
            <w:vAlign w:val="bottom"/>
          </w:tcPr>
          <w:p w14:paraId="3B09654D" w14:textId="77777777" w:rsidR="00E46771" w:rsidRDefault="00E46771" w:rsidP="00FA33AA">
            <w:pPr>
              <w:spacing w:after="0" w:line="480" w:lineRule="auto"/>
              <w:jc w:val="right"/>
              <w:rPr>
                <w:rFonts w:ascii="Times New Roman" w:eastAsia="Times New Roman" w:hAnsi="Times New Roman" w:cs="Times New Roman"/>
                <w:b/>
                <w:bCs/>
                <w:color w:val="000000" w:themeColor="text1"/>
                <w:sz w:val="24"/>
                <w:szCs w:val="24"/>
                <w:lang w:eastAsia="en-AU"/>
              </w:rPr>
            </w:pPr>
            <w:r w:rsidRPr="0499F32E">
              <w:rPr>
                <w:rFonts w:ascii="Times New Roman" w:eastAsia="Times New Roman" w:hAnsi="Times New Roman" w:cs="Times New Roman"/>
                <w:b/>
                <w:bCs/>
                <w:color w:val="000000" w:themeColor="text1"/>
                <w:sz w:val="24"/>
                <w:szCs w:val="24"/>
                <w:lang w:eastAsia="en-AU"/>
              </w:rPr>
              <w:t>FA-HC</w:t>
            </w:r>
          </w:p>
        </w:tc>
        <w:tc>
          <w:tcPr>
            <w:tcW w:w="660" w:type="pct"/>
            <w:tcBorders>
              <w:top w:val="single" w:sz="4" w:space="0" w:color="auto"/>
              <w:left w:val="nil"/>
              <w:bottom w:val="single" w:sz="4" w:space="0" w:color="auto"/>
              <w:right w:val="nil"/>
            </w:tcBorders>
            <w:shd w:val="clear" w:color="auto" w:fill="auto"/>
            <w:vAlign w:val="bottom"/>
          </w:tcPr>
          <w:p w14:paraId="72801FE6" w14:textId="77777777" w:rsidR="00E46771" w:rsidRDefault="00E46771" w:rsidP="00FA33AA">
            <w:pPr>
              <w:spacing w:after="0" w:line="480" w:lineRule="auto"/>
              <w:jc w:val="right"/>
              <w:rPr>
                <w:rFonts w:ascii="Times New Roman" w:eastAsia="Times New Roman" w:hAnsi="Times New Roman" w:cs="Times New Roman"/>
                <w:b/>
                <w:bCs/>
                <w:color w:val="000000" w:themeColor="text1"/>
                <w:sz w:val="24"/>
                <w:szCs w:val="24"/>
                <w:lang w:eastAsia="en-AU"/>
              </w:rPr>
            </w:pPr>
            <w:r w:rsidRPr="0499F32E">
              <w:rPr>
                <w:rFonts w:ascii="Times New Roman" w:eastAsia="Times New Roman" w:hAnsi="Times New Roman" w:cs="Times New Roman"/>
                <w:b/>
                <w:bCs/>
                <w:color w:val="000000" w:themeColor="text1"/>
                <w:sz w:val="24"/>
                <w:szCs w:val="24"/>
                <w:lang w:eastAsia="en-AU"/>
              </w:rPr>
              <w:t>FA-MS</w:t>
            </w:r>
          </w:p>
        </w:tc>
        <w:tc>
          <w:tcPr>
            <w:tcW w:w="684" w:type="pct"/>
            <w:tcBorders>
              <w:top w:val="single" w:sz="4" w:space="0" w:color="auto"/>
              <w:left w:val="nil"/>
              <w:bottom w:val="single" w:sz="4" w:space="0" w:color="auto"/>
              <w:right w:val="nil"/>
            </w:tcBorders>
            <w:shd w:val="clear" w:color="auto" w:fill="auto"/>
            <w:vAlign w:val="bottom"/>
          </w:tcPr>
          <w:p w14:paraId="3854AE18" w14:textId="77777777" w:rsidR="00E46771" w:rsidRDefault="00E46771" w:rsidP="00FA33AA">
            <w:pPr>
              <w:spacing w:after="0" w:line="480" w:lineRule="auto"/>
              <w:jc w:val="right"/>
              <w:rPr>
                <w:rFonts w:ascii="Times New Roman" w:eastAsia="Times New Roman" w:hAnsi="Times New Roman" w:cs="Times New Roman"/>
                <w:b/>
                <w:bCs/>
                <w:color w:val="000000" w:themeColor="text1"/>
                <w:sz w:val="24"/>
                <w:szCs w:val="24"/>
                <w:lang w:eastAsia="en-AU"/>
              </w:rPr>
            </w:pPr>
            <w:r w:rsidRPr="0499F32E">
              <w:rPr>
                <w:rFonts w:ascii="Times New Roman" w:eastAsia="Times New Roman" w:hAnsi="Times New Roman" w:cs="Times New Roman"/>
                <w:b/>
                <w:bCs/>
                <w:color w:val="000000" w:themeColor="text1"/>
                <w:sz w:val="24"/>
                <w:szCs w:val="24"/>
                <w:lang w:eastAsia="en-AU"/>
              </w:rPr>
              <w:t>HC-MS</w:t>
            </w:r>
          </w:p>
        </w:tc>
      </w:tr>
      <w:tr w:rsidR="00E46771" w14:paraId="153CC7A3" w14:textId="77777777" w:rsidTr="00FA33AA">
        <w:trPr>
          <w:trHeight w:val="288"/>
        </w:trPr>
        <w:tc>
          <w:tcPr>
            <w:tcW w:w="1451" w:type="pct"/>
            <w:tcBorders>
              <w:top w:val="nil"/>
              <w:left w:val="nil"/>
              <w:bottom w:val="nil"/>
              <w:right w:val="nil"/>
            </w:tcBorders>
            <w:shd w:val="clear" w:color="auto" w:fill="auto"/>
            <w:vAlign w:val="bottom"/>
          </w:tcPr>
          <w:p w14:paraId="72844169" w14:textId="77777777" w:rsidR="00E46771"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F1 score</w:t>
            </w:r>
          </w:p>
        </w:tc>
        <w:tc>
          <w:tcPr>
            <w:tcW w:w="593" w:type="pct"/>
            <w:tcBorders>
              <w:top w:val="nil"/>
              <w:left w:val="nil"/>
              <w:bottom w:val="nil"/>
              <w:right w:val="nil"/>
            </w:tcBorders>
            <w:shd w:val="clear" w:color="auto" w:fill="auto"/>
            <w:vAlign w:val="bottom"/>
          </w:tcPr>
          <w:p w14:paraId="56CE52E7"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7FC7BBEE">
              <w:rPr>
                <w:rFonts w:ascii="Times New Roman" w:eastAsia="Times New Roman" w:hAnsi="Times New Roman" w:cs="Times New Roman"/>
                <w:color w:val="000000" w:themeColor="text1"/>
                <w:sz w:val="24"/>
                <w:szCs w:val="24"/>
                <w:lang w:eastAsia="en-AU"/>
              </w:rPr>
              <w:t>23</w:t>
            </w:r>
            <w:r>
              <w:rPr>
                <w:rFonts w:ascii="Times New Roman" w:eastAsia="Times New Roman" w:hAnsi="Times New Roman" w:cs="Times New Roman"/>
                <w:color w:val="000000" w:themeColor="text1"/>
                <w:sz w:val="24"/>
                <w:szCs w:val="24"/>
                <w:lang w:eastAsia="en-AU"/>
              </w:rPr>
              <w:t>8</w:t>
            </w:r>
            <w:r w:rsidRPr="7FC7BBEE">
              <w:rPr>
                <w:rFonts w:ascii="Times New Roman" w:eastAsia="Times New Roman" w:hAnsi="Times New Roman" w:cs="Times New Roman"/>
                <w:color w:val="000000" w:themeColor="text1"/>
                <w:sz w:val="24"/>
                <w:szCs w:val="24"/>
                <w:lang w:eastAsia="en-AU"/>
              </w:rPr>
              <w:t>.</w:t>
            </w:r>
            <w:r>
              <w:rPr>
                <w:rFonts w:ascii="Times New Roman" w:eastAsia="Times New Roman" w:hAnsi="Times New Roman" w:cs="Times New Roman"/>
                <w:color w:val="000000" w:themeColor="text1"/>
                <w:sz w:val="24"/>
                <w:szCs w:val="24"/>
                <w:lang w:eastAsia="en-AU"/>
              </w:rPr>
              <w:t>98</w:t>
            </w:r>
          </w:p>
        </w:tc>
        <w:tc>
          <w:tcPr>
            <w:tcW w:w="522" w:type="pct"/>
            <w:tcBorders>
              <w:top w:val="nil"/>
              <w:left w:val="nil"/>
              <w:bottom w:val="nil"/>
              <w:right w:val="nil"/>
            </w:tcBorders>
            <w:shd w:val="clear" w:color="auto" w:fill="auto"/>
            <w:vAlign w:val="bottom"/>
          </w:tcPr>
          <w:p w14:paraId="444F4833"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c>
          <w:tcPr>
            <w:tcW w:w="430" w:type="pct"/>
            <w:tcBorders>
              <w:top w:val="nil"/>
              <w:left w:val="nil"/>
              <w:bottom w:val="nil"/>
              <w:right w:val="nil"/>
            </w:tcBorders>
            <w:shd w:val="clear" w:color="auto" w:fill="auto"/>
            <w:vAlign w:val="bottom"/>
          </w:tcPr>
          <w:p w14:paraId="3091B607"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0.</w:t>
            </w:r>
            <w:r>
              <w:rPr>
                <w:rFonts w:ascii="Times New Roman" w:eastAsia="Times New Roman" w:hAnsi="Times New Roman" w:cs="Times New Roman"/>
                <w:color w:val="000000" w:themeColor="text1"/>
                <w:sz w:val="24"/>
                <w:szCs w:val="24"/>
                <w:lang w:eastAsia="en-AU"/>
              </w:rPr>
              <w:t>49</w:t>
            </w:r>
          </w:p>
        </w:tc>
        <w:tc>
          <w:tcPr>
            <w:tcW w:w="660" w:type="pct"/>
            <w:tcBorders>
              <w:top w:val="nil"/>
              <w:left w:val="nil"/>
              <w:bottom w:val="nil"/>
              <w:right w:val="nil"/>
            </w:tcBorders>
            <w:shd w:val="clear" w:color="auto" w:fill="auto"/>
            <w:vAlign w:val="bottom"/>
          </w:tcPr>
          <w:p w14:paraId="6100FACA"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c>
          <w:tcPr>
            <w:tcW w:w="660" w:type="pct"/>
            <w:tcBorders>
              <w:top w:val="nil"/>
              <w:left w:val="nil"/>
              <w:bottom w:val="nil"/>
              <w:right w:val="nil"/>
            </w:tcBorders>
            <w:shd w:val="clear" w:color="auto" w:fill="auto"/>
            <w:vAlign w:val="bottom"/>
          </w:tcPr>
          <w:p w14:paraId="7DA205D3"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c>
          <w:tcPr>
            <w:tcW w:w="684" w:type="pct"/>
            <w:tcBorders>
              <w:top w:val="nil"/>
              <w:left w:val="nil"/>
              <w:bottom w:val="nil"/>
              <w:right w:val="nil"/>
            </w:tcBorders>
            <w:shd w:val="clear" w:color="auto" w:fill="auto"/>
            <w:vAlign w:val="bottom"/>
          </w:tcPr>
          <w:p w14:paraId="4BC665D0"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r>
      <w:tr w:rsidR="00E46771" w14:paraId="3FA1D32B" w14:textId="77777777" w:rsidTr="00FA33AA">
        <w:trPr>
          <w:trHeight w:val="288"/>
        </w:trPr>
        <w:tc>
          <w:tcPr>
            <w:tcW w:w="1451" w:type="pct"/>
            <w:tcBorders>
              <w:top w:val="nil"/>
              <w:left w:val="nil"/>
              <w:bottom w:val="nil"/>
              <w:right w:val="nil"/>
            </w:tcBorders>
            <w:shd w:val="clear" w:color="auto" w:fill="auto"/>
            <w:vAlign w:val="bottom"/>
          </w:tcPr>
          <w:p w14:paraId="57C38158" w14:textId="77777777" w:rsidR="00E46771"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Precision</w:t>
            </w:r>
          </w:p>
        </w:tc>
        <w:tc>
          <w:tcPr>
            <w:tcW w:w="593" w:type="pct"/>
            <w:tcBorders>
              <w:top w:val="nil"/>
              <w:left w:val="nil"/>
              <w:bottom w:val="nil"/>
              <w:right w:val="nil"/>
            </w:tcBorders>
            <w:shd w:val="clear" w:color="auto" w:fill="auto"/>
            <w:vAlign w:val="bottom"/>
          </w:tcPr>
          <w:p w14:paraId="0245F19A"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7FC7BBEE">
              <w:rPr>
                <w:rFonts w:ascii="Times New Roman" w:eastAsia="Times New Roman" w:hAnsi="Times New Roman" w:cs="Times New Roman"/>
                <w:color w:val="000000" w:themeColor="text1"/>
                <w:sz w:val="24"/>
                <w:szCs w:val="24"/>
                <w:lang w:eastAsia="en-AU"/>
              </w:rPr>
              <w:t>203</w:t>
            </w:r>
            <w:r w:rsidRPr="0499F32E">
              <w:rPr>
                <w:rFonts w:ascii="Times New Roman" w:eastAsia="Times New Roman" w:hAnsi="Times New Roman" w:cs="Times New Roman"/>
                <w:color w:val="000000" w:themeColor="text1"/>
                <w:sz w:val="24"/>
                <w:szCs w:val="24"/>
                <w:lang w:eastAsia="en-AU"/>
              </w:rPr>
              <w:t>.</w:t>
            </w:r>
            <w:r w:rsidRPr="74E7884E">
              <w:rPr>
                <w:rFonts w:ascii="Times New Roman" w:eastAsia="Times New Roman" w:hAnsi="Times New Roman" w:cs="Times New Roman"/>
                <w:color w:val="000000" w:themeColor="text1"/>
                <w:sz w:val="24"/>
                <w:szCs w:val="24"/>
                <w:lang w:eastAsia="en-AU"/>
              </w:rPr>
              <w:t>16</w:t>
            </w:r>
          </w:p>
        </w:tc>
        <w:tc>
          <w:tcPr>
            <w:tcW w:w="522" w:type="pct"/>
            <w:tcBorders>
              <w:top w:val="nil"/>
              <w:left w:val="nil"/>
              <w:bottom w:val="nil"/>
              <w:right w:val="nil"/>
            </w:tcBorders>
            <w:shd w:val="clear" w:color="auto" w:fill="auto"/>
            <w:vAlign w:val="bottom"/>
          </w:tcPr>
          <w:p w14:paraId="5052523F"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c>
          <w:tcPr>
            <w:tcW w:w="430" w:type="pct"/>
            <w:tcBorders>
              <w:top w:val="nil"/>
              <w:left w:val="nil"/>
              <w:bottom w:val="nil"/>
              <w:right w:val="nil"/>
            </w:tcBorders>
            <w:shd w:val="clear" w:color="auto" w:fill="auto"/>
            <w:vAlign w:val="bottom"/>
          </w:tcPr>
          <w:p w14:paraId="012A28AA"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0.</w:t>
            </w:r>
            <w:r>
              <w:rPr>
                <w:rFonts w:ascii="Times New Roman" w:eastAsia="Times New Roman" w:hAnsi="Times New Roman" w:cs="Times New Roman"/>
                <w:color w:val="000000" w:themeColor="text1"/>
                <w:sz w:val="24"/>
                <w:szCs w:val="24"/>
                <w:lang w:eastAsia="en-AU"/>
              </w:rPr>
              <w:t>63</w:t>
            </w:r>
          </w:p>
        </w:tc>
        <w:tc>
          <w:tcPr>
            <w:tcW w:w="660" w:type="pct"/>
            <w:tcBorders>
              <w:top w:val="nil"/>
              <w:left w:val="nil"/>
              <w:bottom w:val="nil"/>
              <w:right w:val="nil"/>
            </w:tcBorders>
            <w:shd w:val="clear" w:color="auto" w:fill="auto"/>
            <w:vAlign w:val="bottom"/>
          </w:tcPr>
          <w:p w14:paraId="4966A9D8"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c>
          <w:tcPr>
            <w:tcW w:w="660" w:type="pct"/>
            <w:tcBorders>
              <w:top w:val="nil"/>
              <w:left w:val="nil"/>
              <w:bottom w:val="nil"/>
              <w:right w:val="nil"/>
            </w:tcBorders>
            <w:shd w:val="clear" w:color="auto" w:fill="auto"/>
            <w:vAlign w:val="bottom"/>
          </w:tcPr>
          <w:p w14:paraId="028EA422"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c>
          <w:tcPr>
            <w:tcW w:w="684" w:type="pct"/>
            <w:tcBorders>
              <w:top w:val="nil"/>
              <w:left w:val="nil"/>
              <w:bottom w:val="nil"/>
              <w:right w:val="nil"/>
            </w:tcBorders>
            <w:shd w:val="clear" w:color="auto" w:fill="auto"/>
            <w:vAlign w:val="bottom"/>
          </w:tcPr>
          <w:p w14:paraId="353B5111"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r>
      <w:tr w:rsidR="00E46771" w14:paraId="780C6EF7" w14:textId="77777777" w:rsidTr="00FA33AA">
        <w:trPr>
          <w:trHeight w:val="288"/>
        </w:trPr>
        <w:tc>
          <w:tcPr>
            <w:tcW w:w="1451" w:type="pct"/>
            <w:tcBorders>
              <w:top w:val="nil"/>
              <w:left w:val="nil"/>
              <w:bottom w:val="single" w:sz="4" w:space="0" w:color="auto"/>
              <w:right w:val="nil"/>
            </w:tcBorders>
            <w:shd w:val="clear" w:color="auto" w:fill="auto"/>
            <w:vAlign w:val="bottom"/>
          </w:tcPr>
          <w:p w14:paraId="3E2EE8DF" w14:textId="77777777" w:rsidR="00E46771"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Recall</w:t>
            </w:r>
          </w:p>
        </w:tc>
        <w:tc>
          <w:tcPr>
            <w:tcW w:w="593" w:type="pct"/>
            <w:tcBorders>
              <w:top w:val="nil"/>
              <w:left w:val="nil"/>
              <w:bottom w:val="single" w:sz="4" w:space="0" w:color="auto"/>
              <w:right w:val="nil"/>
            </w:tcBorders>
            <w:shd w:val="clear" w:color="auto" w:fill="auto"/>
            <w:vAlign w:val="bottom"/>
          </w:tcPr>
          <w:p w14:paraId="28A87B18"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74E7884E">
              <w:rPr>
                <w:rFonts w:ascii="Times New Roman" w:eastAsia="Times New Roman" w:hAnsi="Times New Roman" w:cs="Times New Roman"/>
                <w:color w:val="000000" w:themeColor="text1"/>
                <w:sz w:val="24"/>
                <w:szCs w:val="24"/>
                <w:lang w:eastAsia="en-AU"/>
              </w:rPr>
              <w:t>17</w:t>
            </w:r>
            <w:r w:rsidRPr="0499F32E">
              <w:rPr>
                <w:rFonts w:ascii="Times New Roman" w:eastAsia="Times New Roman" w:hAnsi="Times New Roman" w:cs="Times New Roman"/>
                <w:color w:val="000000" w:themeColor="text1"/>
                <w:sz w:val="24"/>
                <w:szCs w:val="24"/>
                <w:lang w:eastAsia="en-AU"/>
              </w:rPr>
              <w:t>.</w:t>
            </w:r>
            <w:r w:rsidRPr="69790715">
              <w:rPr>
                <w:rFonts w:ascii="Times New Roman" w:eastAsia="Times New Roman" w:hAnsi="Times New Roman" w:cs="Times New Roman"/>
                <w:color w:val="000000" w:themeColor="text1"/>
                <w:sz w:val="24"/>
                <w:szCs w:val="24"/>
                <w:lang w:eastAsia="en-AU"/>
              </w:rPr>
              <w:t>50</w:t>
            </w:r>
          </w:p>
        </w:tc>
        <w:tc>
          <w:tcPr>
            <w:tcW w:w="522" w:type="pct"/>
            <w:tcBorders>
              <w:top w:val="nil"/>
              <w:left w:val="nil"/>
              <w:bottom w:val="single" w:sz="4" w:space="0" w:color="auto"/>
              <w:right w:val="nil"/>
            </w:tcBorders>
            <w:shd w:val="clear" w:color="auto" w:fill="auto"/>
            <w:vAlign w:val="bottom"/>
          </w:tcPr>
          <w:p w14:paraId="62871784"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c>
          <w:tcPr>
            <w:tcW w:w="430" w:type="pct"/>
            <w:tcBorders>
              <w:top w:val="nil"/>
              <w:left w:val="nil"/>
              <w:bottom w:val="single" w:sz="4" w:space="0" w:color="auto"/>
              <w:right w:val="nil"/>
            </w:tcBorders>
            <w:shd w:val="clear" w:color="auto" w:fill="auto"/>
            <w:vAlign w:val="bottom"/>
          </w:tcPr>
          <w:p w14:paraId="739E0DF3"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0.1</w:t>
            </w:r>
            <w:r>
              <w:rPr>
                <w:rFonts w:ascii="Times New Roman" w:eastAsia="Times New Roman" w:hAnsi="Times New Roman" w:cs="Times New Roman"/>
                <w:color w:val="000000" w:themeColor="text1"/>
                <w:sz w:val="24"/>
                <w:szCs w:val="24"/>
                <w:lang w:eastAsia="en-AU"/>
              </w:rPr>
              <w:t>3</w:t>
            </w:r>
          </w:p>
        </w:tc>
        <w:tc>
          <w:tcPr>
            <w:tcW w:w="660" w:type="pct"/>
            <w:tcBorders>
              <w:top w:val="nil"/>
              <w:left w:val="nil"/>
              <w:bottom w:val="single" w:sz="4" w:space="0" w:color="auto"/>
              <w:right w:val="nil"/>
            </w:tcBorders>
            <w:shd w:val="clear" w:color="auto" w:fill="auto"/>
            <w:vAlign w:val="bottom"/>
          </w:tcPr>
          <w:p w14:paraId="118A0BCE"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c>
          <w:tcPr>
            <w:tcW w:w="660" w:type="pct"/>
            <w:tcBorders>
              <w:top w:val="nil"/>
              <w:left w:val="nil"/>
              <w:bottom w:val="single" w:sz="4" w:space="0" w:color="auto"/>
              <w:right w:val="nil"/>
            </w:tcBorders>
            <w:shd w:val="clear" w:color="auto" w:fill="auto"/>
            <w:vAlign w:val="bottom"/>
          </w:tcPr>
          <w:p w14:paraId="77F3A04B"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0.</w:t>
            </w:r>
            <w:r>
              <w:rPr>
                <w:rFonts w:ascii="Times New Roman" w:eastAsia="Times New Roman" w:hAnsi="Times New Roman" w:cs="Times New Roman"/>
                <w:color w:val="000000" w:themeColor="text1"/>
                <w:sz w:val="24"/>
                <w:szCs w:val="24"/>
                <w:lang w:eastAsia="en-AU"/>
              </w:rPr>
              <w:t>212</w:t>
            </w:r>
          </w:p>
        </w:tc>
        <w:tc>
          <w:tcPr>
            <w:tcW w:w="684" w:type="pct"/>
            <w:tcBorders>
              <w:top w:val="nil"/>
              <w:left w:val="nil"/>
              <w:bottom w:val="single" w:sz="4" w:space="0" w:color="auto"/>
              <w:right w:val="nil"/>
            </w:tcBorders>
            <w:shd w:val="clear" w:color="auto" w:fill="auto"/>
            <w:vAlign w:val="bottom"/>
          </w:tcPr>
          <w:p w14:paraId="585961DE" w14:textId="77777777" w:rsidR="00E46771"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499F32E">
              <w:rPr>
                <w:rFonts w:ascii="Times New Roman" w:eastAsia="Times New Roman" w:hAnsi="Times New Roman" w:cs="Times New Roman"/>
                <w:color w:val="000000" w:themeColor="text1"/>
                <w:sz w:val="24"/>
                <w:szCs w:val="24"/>
                <w:lang w:eastAsia="en-AU"/>
              </w:rPr>
              <w:t>&lt;.001</w:t>
            </w:r>
          </w:p>
        </w:tc>
      </w:tr>
    </w:tbl>
    <w:p w14:paraId="1009FA76" w14:textId="77777777" w:rsidR="00E46771" w:rsidRDefault="00E46771" w:rsidP="00E46771">
      <w:pPr>
        <w:spacing w:line="480" w:lineRule="auto"/>
        <w:rPr>
          <w:rFonts w:ascii="Times New Roman" w:hAnsi="Times New Roman" w:cs="Times New Roman"/>
          <w:sz w:val="24"/>
          <w:szCs w:val="24"/>
        </w:rPr>
      </w:pPr>
    </w:p>
    <w:p w14:paraId="69DA36BD" w14:textId="77777777" w:rsidR="00E46771" w:rsidRDefault="00E46771" w:rsidP="00E46771">
      <w:pPr>
        <w:rPr>
          <w:rFonts w:ascii="Times New Roman" w:hAnsi="Times New Roman" w:cs="Times New Roman"/>
          <w:sz w:val="24"/>
          <w:szCs w:val="24"/>
        </w:rPr>
      </w:pPr>
      <w:r>
        <w:rPr>
          <w:rFonts w:ascii="Times New Roman" w:hAnsi="Times New Roman" w:cs="Times New Roman"/>
          <w:sz w:val="24"/>
          <w:szCs w:val="24"/>
        </w:rPr>
        <w:br w:type="page"/>
      </w:r>
    </w:p>
    <w:p w14:paraId="7372E180" w14:textId="44F89ADD" w:rsidR="00E46771" w:rsidRPr="002F4CD3" w:rsidRDefault="00E46771" w:rsidP="00E46771">
      <w:pPr>
        <w:spacing w:line="480" w:lineRule="auto"/>
        <w:rPr>
          <w:rFonts w:ascii="Times New Roman" w:eastAsia="Times New Roman" w:hAnsi="Times New Roman" w:cs="Times New Roman"/>
          <w:sz w:val="24"/>
          <w:szCs w:val="24"/>
        </w:rPr>
      </w:pPr>
      <w:r w:rsidRPr="0499F32E">
        <w:rPr>
          <w:rFonts w:ascii="Times New Roman" w:hAnsi="Times New Roman" w:cs="Times New Roman"/>
          <w:sz w:val="24"/>
          <w:szCs w:val="24"/>
        </w:rPr>
        <w:lastRenderedPageBreak/>
        <w:t xml:space="preserve">Table </w:t>
      </w:r>
      <w:r>
        <w:rPr>
          <w:rFonts w:ascii="Times New Roman" w:hAnsi="Times New Roman" w:cs="Times New Roman"/>
          <w:sz w:val="24"/>
          <w:szCs w:val="24"/>
        </w:rPr>
        <w:t>S2</w:t>
      </w:r>
      <w:r w:rsidRPr="0499F32E">
        <w:rPr>
          <w:rFonts w:ascii="Times New Roman" w:hAnsi="Times New Roman" w:cs="Times New Roman"/>
          <w:sz w:val="24"/>
          <w:szCs w:val="24"/>
        </w:rPr>
        <w:t>.</w:t>
      </w:r>
      <w:r>
        <w:br/>
      </w:r>
      <w:r>
        <w:rPr>
          <w:rFonts w:ascii="Times New Roman" w:hAnsi="Times New Roman" w:cs="Times New Roman"/>
          <w:i/>
          <w:iCs/>
          <w:sz w:val="24"/>
          <w:szCs w:val="24"/>
        </w:rPr>
        <w:t>One-sample t-test outcomes (mu = 0.5) and effect sizes (Cohen’s d) for accuracy measures by group: H</w:t>
      </w:r>
      <w:r w:rsidRPr="0499F32E">
        <w:rPr>
          <w:rFonts w:ascii="Times New Roman" w:hAnsi="Times New Roman" w:cs="Times New Roman"/>
          <w:i/>
          <w:iCs/>
          <w:sz w:val="24"/>
          <w:szCs w:val="24"/>
        </w:rPr>
        <w:t>ealthy controls (HC), Friedreich’s ataxia (FA), and multiple sclerosis (MS).</w:t>
      </w:r>
    </w:p>
    <w:tbl>
      <w:tblPr>
        <w:tblW w:w="9026" w:type="dxa"/>
        <w:tblLook w:val="04A0" w:firstRow="1" w:lastRow="0" w:firstColumn="1" w:lastColumn="0" w:noHBand="0" w:noVBand="1"/>
      </w:tblPr>
      <w:tblGrid>
        <w:gridCol w:w="2190"/>
        <w:gridCol w:w="1065"/>
        <w:gridCol w:w="1305"/>
        <w:gridCol w:w="834"/>
        <w:gridCol w:w="1172"/>
        <w:gridCol w:w="1177"/>
        <w:gridCol w:w="1283"/>
      </w:tblGrid>
      <w:tr w:rsidR="00E46771" w14:paraId="00868F54" w14:textId="77777777" w:rsidTr="00FA33AA">
        <w:trPr>
          <w:trHeight w:val="288"/>
        </w:trPr>
        <w:tc>
          <w:tcPr>
            <w:tcW w:w="2190" w:type="dxa"/>
            <w:tcBorders>
              <w:top w:val="single" w:sz="4" w:space="0" w:color="auto"/>
              <w:left w:val="nil"/>
              <w:bottom w:val="single" w:sz="4" w:space="0" w:color="auto"/>
              <w:right w:val="nil"/>
            </w:tcBorders>
            <w:shd w:val="clear" w:color="auto" w:fill="auto"/>
            <w:vAlign w:val="bottom"/>
          </w:tcPr>
          <w:p w14:paraId="1941DA79" w14:textId="77777777" w:rsidR="00E46771" w:rsidRDefault="00E46771" w:rsidP="00FA33AA">
            <w:pPr>
              <w:spacing w:after="0" w:line="480" w:lineRule="auto"/>
              <w:rPr>
                <w:rFonts w:ascii="Times New Roman" w:eastAsia="Times New Roman" w:hAnsi="Times New Roman" w:cs="Times New Roman"/>
                <w:b/>
                <w:bCs/>
                <w:color w:val="000000" w:themeColor="text1"/>
                <w:sz w:val="24"/>
                <w:szCs w:val="24"/>
                <w:lang w:eastAsia="en-AU"/>
              </w:rPr>
            </w:pPr>
            <w:r w:rsidRPr="0499F32E">
              <w:rPr>
                <w:rFonts w:ascii="Times New Roman" w:eastAsia="Times New Roman" w:hAnsi="Times New Roman" w:cs="Times New Roman"/>
                <w:b/>
                <w:bCs/>
                <w:color w:val="000000" w:themeColor="text1"/>
                <w:sz w:val="24"/>
                <w:szCs w:val="24"/>
                <w:lang w:eastAsia="en-AU"/>
              </w:rPr>
              <w:t>Accuracy Measure</w:t>
            </w:r>
          </w:p>
        </w:tc>
        <w:tc>
          <w:tcPr>
            <w:tcW w:w="1065" w:type="dxa"/>
            <w:tcBorders>
              <w:top w:val="single" w:sz="4" w:space="0" w:color="auto"/>
              <w:left w:val="nil"/>
              <w:bottom w:val="single" w:sz="4" w:space="0" w:color="auto"/>
              <w:right w:val="nil"/>
            </w:tcBorders>
            <w:shd w:val="clear" w:color="auto" w:fill="auto"/>
            <w:vAlign w:val="bottom"/>
          </w:tcPr>
          <w:p w14:paraId="0E6707E3" w14:textId="77777777" w:rsidR="00E46771" w:rsidRDefault="00E46771" w:rsidP="00FA33AA">
            <w:pPr>
              <w:spacing w:after="0" w:line="480" w:lineRule="auto"/>
              <w:rPr>
                <w:rFonts w:ascii="Times New Roman" w:eastAsia="Times New Roman" w:hAnsi="Times New Roman" w:cs="Times New Roman"/>
                <w:b/>
                <w:bCs/>
                <w:color w:val="000000" w:themeColor="text1"/>
                <w:sz w:val="24"/>
                <w:szCs w:val="24"/>
                <w:lang w:eastAsia="en-AU"/>
              </w:rPr>
            </w:pPr>
            <w:r w:rsidRPr="0499F32E">
              <w:rPr>
                <w:rFonts w:ascii="Times New Roman" w:eastAsia="Times New Roman" w:hAnsi="Times New Roman" w:cs="Times New Roman"/>
                <w:b/>
                <w:bCs/>
                <w:color w:val="000000" w:themeColor="text1"/>
                <w:sz w:val="24"/>
                <w:szCs w:val="24"/>
                <w:lang w:eastAsia="en-AU"/>
              </w:rPr>
              <w:t>Group</w:t>
            </w:r>
          </w:p>
        </w:tc>
        <w:tc>
          <w:tcPr>
            <w:tcW w:w="1305" w:type="dxa"/>
            <w:tcBorders>
              <w:top w:val="single" w:sz="4" w:space="0" w:color="auto"/>
              <w:left w:val="nil"/>
              <w:bottom w:val="single" w:sz="4" w:space="0" w:color="auto"/>
              <w:right w:val="nil"/>
            </w:tcBorders>
            <w:shd w:val="clear" w:color="auto" w:fill="auto"/>
            <w:vAlign w:val="bottom"/>
          </w:tcPr>
          <w:p w14:paraId="21A63E39" w14:textId="77777777" w:rsidR="00E46771" w:rsidRDefault="00E46771" w:rsidP="00FA33AA">
            <w:pPr>
              <w:spacing w:after="0" w:line="480" w:lineRule="auto"/>
              <w:jc w:val="right"/>
              <w:rPr>
                <w:rFonts w:ascii="Times New Roman" w:eastAsia="Times New Roman" w:hAnsi="Times New Roman" w:cs="Times New Roman"/>
                <w:b/>
                <w:bCs/>
                <w:i/>
                <w:iCs/>
                <w:color w:val="000000" w:themeColor="text1"/>
                <w:sz w:val="24"/>
                <w:szCs w:val="24"/>
                <w:lang w:eastAsia="en-AU"/>
              </w:rPr>
            </w:pPr>
            <w:r w:rsidRPr="0499F32E">
              <w:rPr>
                <w:rFonts w:ascii="Times New Roman" w:eastAsia="Times New Roman" w:hAnsi="Times New Roman" w:cs="Times New Roman"/>
                <w:b/>
                <w:bCs/>
                <w:i/>
                <w:iCs/>
                <w:color w:val="000000" w:themeColor="text1"/>
                <w:sz w:val="24"/>
                <w:szCs w:val="24"/>
                <w:lang w:eastAsia="en-AU"/>
              </w:rPr>
              <w:t>t</w:t>
            </w:r>
          </w:p>
        </w:tc>
        <w:tc>
          <w:tcPr>
            <w:tcW w:w="834" w:type="dxa"/>
            <w:tcBorders>
              <w:top w:val="single" w:sz="4" w:space="0" w:color="auto"/>
              <w:left w:val="nil"/>
              <w:bottom w:val="single" w:sz="4" w:space="0" w:color="auto"/>
              <w:right w:val="nil"/>
            </w:tcBorders>
            <w:shd w:val="clear" w:color="auto" w:fill="auto"/>
            <w:vAlign w:val="bottom"/>
          </w:tcPr>
          <w:p w14:paraId="01ADD160" w14:textId="77777777" w:rsidR="00E46771" w:rsidRDefault="00E46771" w:rsidP="00FA33AA">
            <w:pPr>
              <w:spacing w:after="0" w:line="480" w:lineRule="auto"/>
              <w:jc w:val="right"/>
              <w:rPr>
                <w:rFonts w:ascii="Times New Roman" w:eastAsia="Times New Roman" w:hAnsi="Times New Roman" w:cs="Times New Roman"/>
                <w:b/>
                <w:bCs/>
                <w:i/>
                <w:iCs/>
                <w:color w:val="000000" w:themeColor="text1"/>
                <w:sz w:val="24"/>
                <w:szCs w:val="24"/>
                <w:lang w:eastAsia="en-AU"/>
              </w:rPr>
            </w:pPr>
            <w:r w:rsidRPr="0499F32E">
              <w:rPr>
                <w:rFonts w:ascii="Times New Roman" w:eastAsia="Times New Roman" w:hAnsi="Times New Roman" w:cs="Times New Roman"/>
                <w:b/>
                <w:bCs/>
                <w:i/>
                <w:iCs/>
                <w:color w:val="000000" w:themeColor="text1"/>
                <w:sz w:val="24"/>
                <w:szCs w:val="24"/>
                <w:lang w:eastAsia="en-AU"/>
              </w:rPr>
              <w:t>p</w:t>
            </w:r>
          </w:p>
        </w:tc>
        <w:tc>
          <w:tcPr>
            <w:tcW w:w="1172" w:type="dxa"/>
            <w:tcBorders>
              <w:top w:val="single" w:sz="4" w:space="0" w:color="auto"/>
              <w:left w:val="nil"/>
              <w:bottom w:val="single" w:sz="4" w:space="0" w:color="auto"/>
              <w:right w:val="nil"/>
            </w:tcBorders>
            <w:shd w:val="clear" w:color="auto" w:fill="auto"/>
            <w:vAlign w:val="bottom"/>
          </w:tcPr>
          <w:p w14:paraId="0445F9FD" w14:textId="77777777" w:rsidR="00E46771" w:rsidRDefault="00E46771" w:rsidP="00FA33AA">
            <w:pPr>
              <w:spacing w:after="0" w:line="480" w:lineRule="auto"/>
              <w:jc w:val="right"/>
              <w:rPr>
                <w:rFonts w:ascii="Times New Roman" w:eastAsia="Times New Roman" w:hAnsi="Times New Roman" w:cs="Times New Roman"/>
                <w:b/>
                <w:bCs/>
                <w:color w:val="000000" w:themeColor="text1"/>
                <w:sz w:val="24"/>
                <w:szCs w:val="24"/>
                <w:lang w:eastAsia="en-AU"/>
              </w:rPr>
            </w:pPr>
            <w:r w:rsidRPr="0499F32E">
              <w:rPr>
                <w:rFonts w:ascii="Times New Roman" w:eastAsia="Times New Roman" w:hAnsi="Times New Roman" w:cs="Times New Roman"/>
                <w:b/>
                <w:bCs/>
                <w:color w:val="000000" w:themeColor="text1"/>
                <w:sz w:val="24"/>
                <w:szCs w:val="24"/>
                <w:lang w:eastAsia="en-AU"/>
              </w:rPr>
              <w:t>Lower CI</w:t>
            </w:r>
          </w:p>
        </w:tc>
        <w:tc>
          <w:tcPr>
            <w:tcW w:w="1177" w:type="dxa"/>
            <w:tcBorders>
              <w:top w:val="single" w:sz="4" w:space="0" w:color="auto"/>
              <w:left w:val="nil"/>
              <w:bottom w:val="single" w:sz="4" w:space="0" w:color="auto"/>
              <w:right w:val="nil"/>
            </w:tcBorders>
            <w:shd w:val="clear" w:color="auto" w:fill="auto"/>
            <w:vAlign w:val="bottom"/>
          </w:tcPr>
          <w:p w14:paraId="0B94158A" w14:textId="77777777" w:rsidR="00E46771" w:rsidRDefault="00E46771" w:rsidP="00FA33AA">
            <w:pPr>
              <w:spacing w:after="0" w:line="480" w:lineRule="auto"/>
              <w:jc w:val="right"/>
              <w:rPr>
                <w:rFonts w:ascii="Times New Roman" w:eastAsia="Times New Roman" w:hAnsi="Times New Roman" w:cs="Times New Roman"/>
                <w:b/>
                <w:bCs/>
                <w:color w:val="000000" w:themeColor="text1"/>
                <w:sz w:val="24"/>
                <w:szCs w:val="24"/>
                <w:lang w:eastAsia="en-AU"/>
              </w:rPr>
            </w:pPr>
            <w:r w:rsidRPr="0499F32E">
              <w:rPr>
                <w:rFonts w:ascii="Times New Roman" w:eastAsia="Times New Roman" w:hAnsi="Times New Roman" w:cs="Times New Roman"/>
                <w:b/>
                <w:bCs/>
                <w:color w:val="000000" w:themeColor="text1"/>
                <w:sz w:val="24"/>
                <w:szCs w:val="24"/>
                <w:lang w:eastAsia="en-AU"/>
              </w:rPr>
              <w:t>Upper CI</w:t>
            </w:r>
          </w:p>
        </w:tc>
        <w:tc>
          <w:tcPr>
            <w:tcW w:w="1283" w:type="dxa"/>
            <w:tcBorders>
              <w:top w:val="single" w:sz="4" w:space="0" w:color="auto"/>
              <w:left w:val="nil"/>
              <w:bottom w:val="single" w:sz="4" w:space="0" w:color="auto"/>
              <w:right w:val="nil"/>
            </w:tcBorders>
            <w:shd w:val="clear" w:color="auto" w:fill="auto"/>
            <w:vAlign w:val="bottom"/>
          </w:tcPr>
          <w:p w14:paraId="4B0B0333" w14:textId="77777777" w:rsidR="00E46771" w:rsidRDefault="00E46771" w:rsidP="00FA33AA">
            <w:pPr>
              <w:spacing w:after="0" w:line="480" w:lineRule="auto"/>
              <w:jc w:val="right"/>
              <w:rPr>
                <w:rFonts w:ascii="Times New Roman" w:eastAsia="Times New Roman" w:hAnsi="Times New Roman" w:cs="Times New Roman"/>
                <w:b/>
                <w:bCs/>
                <w:color w:val="000000" w:themeColor="text1"/>
                <w:sz w:val="24"/>
                <w:szCs w:val="24"/>
                <w:lang w:eastAsia="en-AU"/>
              </w:rPr>
            </w:pPr>
            <w:r w:rsidRPr="0499F32E">
              <w:rPr>
                <w:rFonts w:ascii="Times New Roman" w:eastAsia="Times New Roman" w:hAnsi="Times New Roman" w:cs="Times New Roman"/>
                <w:b/>
                <w:bCs/>
                <w:color w:val="000000" w:themeColor="text1"/>
                <w:sz w:val="24"/>
                <w:szCs w:val="24"/>
                <w:lang w:eastAsia="en-AU"/>
              </w:rPr>
              <w:t xml:space="preserve">Cohen's </w:t>
            </w:r>
            <w:r w:rsidRPr="0499F32E">
              <w:rPr>
                <w:rFonts w:ascii="Times New Roman" w:eastAsia="Times New Roman" w:hAnsi="Times New Roman" w:cs="Times New Roman"/>
                <w:b/>
                <w:bCs/>
                <w:i/>
                <w:iCs/>
                <w:color w:val="000000" w:themeColor="text1"/>
                <w:sz w:val="24"/>
                <w:szCs w:val="24"/>
                <w:lang w:eastAsia="en-AU"/>
              </w:rPr>
              <w:t>d</w:t>
            </w:r>
          </w:p>
        </w:tc>
      </w:tr>
      <w:tr w:rsidR="00E46771" w14:paraId="1940778B" w14:textId="77777777" w:rsidTr="00FA33AA">
        <w:trPr>
          <w:trHeight w:val="288"/>
        </w:trPr>
        <w:tc>
          <w:tcPr>
            <w:tcW w:w="2190" w:type="dxa"/>
            <w:tcBorders>
              <w:top w:val="nil"/>
              <w:left w:val="nil"/>
              <w:bottom w:val="nil"/>
              <w:right w:val="nil"/>
            </w:tcBorders>
            <w:shd w:val="clear" w:color="auto" w:fill="auto"/>
            <w:vAlign w:val="bottom"/>
          </w:tcPr>
          <w:p w14:paraId="45354742"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F1 score</w:t>
            </w:r>
          </w:p>
        </w:tc>
        <w:tc>
          <w:tcPr>
            <w:tcW w:w="1065" w:type="dxa"/>
            <w:tcBorders>
              <w:top w:val="nil"/>
              <w:left w:val="nil"/>
              <w:bottom w:val="nil"/>
              <w:right w:val="nil"/>
            </w:tcBorders>
            <w:shd w:val="clear" w:color="auto" w:fill="auto"/>
            <w:vAlign w:val="bottom"/>
          </w:tcPr>
          <w:p w14:paraId="27FB7C3B"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color w:val="000000"/>
                <w:sz w:val="24"/>
                <w:szCs w:val="24"/>
              </w:rPr>
              <w:t>HC</w:t>
            </w:r>
          </w:p>
        </w:tc>
        <w:tc>
          <w:tcPr>
            <w:tcW w:w="1305" w:type="dxa"/>
            <w:tcBorders>
              <w:top w:val="nil"/>
              <w:left w:val="nil"/>
              <w:bottom w:val="nil"/>
              <w:right w:val="nil"/>
            </w:tcBorders>
            <w:shd w:val="clear" w:color="auto" w:fill="auto"/>
          </w:tcPr>
          <w:p w14:paraId="75D9ACC9"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322.92</w:t>
            </w:r>
          </w:p>
        </w:tc>
        <w:tc>
          <w:tcPr>
            <w:tcW w:w="834" w:type="dxa"/>
            <w:tcBorders>
              <w:top w:val="nil"/>
              <w:left w:val="nil"/>
              <w:bottom w:val="nil"/>
              <w:right w:val="nil"/>
            </w:tcBorders>
            <w:shd w:val="clear" w:color="auto" w:fill="auto"/>
            <w:vAlign w:val="bottom"/>
          </w:tcPr>
          <w:p w14:paraId="3AC6948E"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nil"/>
              <w:right w:val="nil"/>
            </w:tcBorders>
            <w:shd w:val="clear" w:color="auto" w:fill="auto"/>
          </w:tcPr>
          <w:p w14:paraId="6F3DD709"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0.92</w:t>
            </w:r>
          </w:p>
        </w:tc>
        <w:tc>
          <w:tcPr>
            <w:tcW w:w="1177" w:type="dxa"/>
            <w:tcBorders>
              <w:top w:val="nil"/>
              <w:left w:val="nil"/>
              <w:bottom w:val="nil"/>
              <w:right w:val="nil"/>
            </w:tcBorders>
            <w:shd w:val="clear" w:color="auto" w:fill="auto"/>
          </w:tcPr>
          <w:p w14:paraId="326F711A"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0.93</w:t>
            </w:r>
          </w:p>
        </w:tc>
        <w:tc>
          <w:tcPr>
            <w:tcW w:w="1283" w:type="dxa"/>
            <w:tcBorders>
              <w:top w:val="nil"/>
              <w:left w:val="nil"/>
              <w:bottom w:val="nil"/>
              <w:right w:val="nil"/>
            </w:tcBorders>
            <w:shd w:val="clear" w:color="auto" w:fill="auto"/>
          </w:tcPr>
          <w:p w14:paraId="7852BD98"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32.29</w:t>
            </w:r>
          </w:p>
        </w:tc>
      </w:tr>
      <w:tr w:rsidR="00E46771" w14:paraId="789138FC" w14:textId="77777777" w:rsidTr="00FA33AA">
        <w:trPr>
          <w:trHeight w:val="288"/>
        </w:trPr>
        <w:tc>
          <w:tcPr>
            <w:tcW w:w="2190" w:type="dxa"/>
            <w:tcBorders>
              <w:top w:val="nil"/>
              <w:left w:val="nil"/>
              <w:bottom w:val="nil"/>
              <w:right w:val="nil"/>
            </w:tcBorders>
            <w:shd w:val="clear" w:color="auto" w:fill="auto"/>
            <w:vAlign w:val="bottom"/>
          </w:tcPr>
          <w:p w14:paraId="5936C4C5"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p>
        </w:tc>
        <w:tc>
          <w:tcPr>
            <w:tcW w:w="1065" w:type="dxa"/>
            <w:tcBorders>
              <w:top w:val="nil"/>
              <w:left w:val="nil"/>
              <w:bottom w:val="nil"/>
              <w:right w:val="nil"/>
            </w:tcBorders>
            <w:shd w:val="clear" w:color="auto" w:fill="auto"/>
            <w:vAlign w:val="bottom"/>
          </w:tcPr>
          <w:p w14:paraId="25279907"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color w:val="000000"/>
                <w:sz w:val="24"/>
                <w:szCs w:val="24"/>
              </w:rPr>
              <w:t>FA</w:t>
            </w:r>
          </w:p>
        </w:tc>
        <w:tc>
          <w:tcPr>
            <w:tcW w:w="1305" w:type="dxa"/>
            <w:tcBorders>
              <w:top w:val="nil"/>
              <w:left w:val="nil"/>
              <w:bottom w:val="nil"/>
              <w:right w:val="nil"/>
            </w:tcBorders>
            <w:shd w:val="clear" w:color="auto" w:fill="auto"/>
          </w:tcPr>
          <w:p w14:paraId="7B2664C0"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106.98</w:t>
            </w:r>
          </w:p>
        </w:tc>
        <w:tc>
          <w:tcPr>
            <w:tcW w:w="834" w:type="dxa"/>
            <w:tcBorders>
              <w:top w:val="nil"/>
              <w:left w:val="nil"/>
              <w:bottom w:val="nil"/>
              <w:right w:val="nil"/>
            </w:tcBorders>
            <w:shd w:val="clear" w:color="auto" w:fill="auto"/>
            <w:vAlign w:val="bottom"/>
          </w:tcPr>
          <w:p w14:paraId="0AF41755"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nil"/>
              <w:right w:val="nil"/>
            </w:tcBorders>
            <w:shd w:val="clear" w:color="auto" w:fill="auto"/>
          </w:tcPr>
          <w:p w14:paraId="512FDBD7"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0.87</w:t>
            </w:r>
          </w:p>
        </w:tc>
        <w:tc>
          <w:tcPr>
            <w:tcW w:w="1177" w:type="dxa"/>
            <w:tcBorders>
              <w:top w:val="nil"/>
              <w:left w:val="nil"/>
              <w:bottom w:val="nil"/>
              <w:right w:val="nil"/>
            </w:tcBorders>
            <w:shd w:val="clear" w:color="auto" w:fill="auto"/>
          </w:tcPr>
          <w:p w14:paraId="34119748"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0.89</w:t>
            </w:r>
          </w:p>
        </w:tc>
        <w:tc>
          <w:tcPr>
            <w:tcW w:w="1283" w:type="dxa"/>
            <w:tcBorders>
              <w:top w:val="nil"/>
              <w:left w:val="nil"/>
              <w:bottom w:val="nil"/>
              <w:right w:val="nil"/>
            </w:tcBorders>
            <w:shd w:val="clear" w:color="auto" w:fill="auto"/>
          </w:tcPr>
          <w:p w14:paraId="21E56645"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10.70</w:t>
            </w:r>
          </w:p>
        </w:tc>
      </w:tr>
      <w:tr w:rsidR="00E46771" w14:paraId="72359740" w14:textId="77777777" w:rsidTr="00FA33AA">
        <w:trPr>
          <w:trHeight w:val="288"/>
        </w:trPr>
        <w:tc>
          <w:tcPr>
            <w:tcW w:w="2190" w:type="dxa"/>
            <w:tcBorders>
              <w:top w:val="nil"/>
              <w:left w:val="nil"/>
              <w:bottom w:val="single" w:sz="4" w:space="0" w:color="auto"/>
              <w:right w:val="nil"/>
            </w:tcBorders>
            <w:shd w:val="clear" w:color="auto" w:fill="auto"/>
            <w:vAlign w:val="bottom"/>
          </w:tcPr>
          <w:p w14:paraId="7644062B"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 </w:t>
            </w:r>
          </w:p>
        </w:tc>
        <w:tc>
          <w:tcPr>
            <w:tcW w:w="1065" w:type="dxa"/>
            <w:tcBorders>
              <w:top w:val="nil"/>
              <w:left w:val="nil"/>
              <w:bottom w:val="single" w:sz="4" w:space="0" w:color="auto"/>
              <w:right w:val="nil"/>
            </w:tcBorders>
            <w:shd w:val="clear" w:color="auto" w:fill="auto"/>
            <w:vAlign w:val="bottom"/>
          </w:tcPr>
          <w:p w14:paraId="2AAD8BBF"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color w:val="000000"/>
                <w:sz w:val="24"/>
                <w:szCs w:val="24"/>
              </w:rPr>
              <w:t>MS</w:t>
            </w:r>
          </w:p>
        </w:tc>
        <w:tc>
          <w:tcPr>
            <w:tcW w:w="1305" w:type="dxa"/>
            <w:tcBorders>
              <w:top w:val="nil"/>
              <w:left w:val="nil"/>
              <w:bottom w:val="single" w:sz="4" w:space="0" w:color="auto"/>
              <w:right w:val="nil"/>
            </w:tcBorders>
            <w:shd w:val="clear" w:color="auto" w:fill="auto"/>
          </w:tcPr>
          <w:p w14:paraId="5ED6D60F"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118.26</w:t>
            </w:r>
          </w:p>
        </w:tc>
        <w:tc>
          <w:tcPr>
            <w:tcW w:w="834" w:type="dxa"/>
            <w:tcBorders>
              <w:top w:val="nil"/>
              <w:left w:val="nil"/>
              <w:bottom w:val="single" w:sz="4" w:space="0" w:color="auto"/>
              <w:right w:val="nil"/>
            </w:tcBorders>
            <w:shd w:val="clear" w:color="auto" w:fill="auto"/>
            <w:vAlign w:val="bottom"/>
          </w:tcPr>
          <w:p w14:paraId="72DED5B6"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single" w:sz="4" w:space="0" w:color="auto"/>
              <w:right w:val="nil"/>
            </w:tcBorders>
            <w:shd w:val="clear" w:color="auto" w:fill="auto"/>
          </w:tcPr>
          <w:p w14:paraId="69B9A645"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0.82</w:t>
            </w:r>
          </w:p>
        </w:tc>
        <w:tc>
          <w:tcPr>
            <w:tcW w:w="1177" w:type="dxa"/>
            <w:tcBorders>
              <w:top w:val="nil"/>
              <w:left w:val="nil"/>
              <w:bottom w:val="single" w:sz="4" w:space="0" w:color="auto"/>
              <w:right w:val="nil"/>
            </w:tcBorders>
            <w:shd w:val="clear" w:color="auto" w:fill="auto"/>
          </w:tcPr>
          <w:p w14:paraId="122C8859"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0.84</w:t>
            </w:r>
          </w:p>
        </w:tc>
        <w:tc>
          <w:tcPr>
            <w:tcW w:w="1283" w:type="dxa"/>
            <w:tcBorders>
              <w:top w:val="nil"/>
              <w:left w:val="nil"/>
              <w:bottom w:val="single" w:sz="4" w:space="0" w:color="auto"/>
              <w:right w:val="nil"/>
            </w:tcBorders>
            <w:shd w:val="clear" w:color="auto" w:fill="auto"/>
          </w:tcPr>
          <w:p w14:paraId="51778BA8"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11.83</w:t>
            </w:r>
          </w:p>
        </w:tc>
      </w:tr>
      <w:tr w:rsidR="00E46771" w14:paraId="0088DF14" w14:textId="77777777" w:rsidTr="00FA33AA">
        <w:trPr>
          <w:trHeight w:val="288"/>
        </w:trPr>
        <w:tc>
          <w:tcPr>
            <w:tcW w:w="2190" w:type="dxa"/>
            <w:tcBorders>
              <w:top w:val="nil"/>
              <w:left w:val="nil"/>
              <w:bottom w:val="nil"/>
              <w:right w:val="nil"/>
            </w:tcBorders>
            <w:shd w:val="clear" w:color="auto" w:fill="auto"/>
            <w:vAlign w:val="bottom"/>
          </w:tcPr>
          <w:p w14:paraId="0CF86FAF"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Precision</w:t>
            </w:r>
          </w:p>
        </w:tc>
        <w:tc>
          <w:tcPr>
            <w:tcW w:w="1065" w:type="dxa"/>
            <w:tcBorders>
              <w:top w:val="nil"/>
              <w:left w:val="nil"/>
              <w:bottom w:val="nil"/>
              <w:right w:val="nil"/>
            </w:tcBorders>
            <w:shd w:val="clear" w:color="auto" w:fill="auto"/>
            <w:vAlign w:val="bottom"/>
          </w:tcPr>
          <w:p w14:paraId="31E142C0"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color w:val="000000"/>
                <w:sz w:val="24"/>
                <w:szCs w:val="24"/>
              </w:rPr>
              <w:t>HC</w:t>
            </w:r>
          </w:p>
        </w:tc>
        <w:tc>
          <w:tcPr>
            <w:tcW w:w="1305" w:type="dxa"/>
            <w:tcBorders>
              <w:top w:val="nil"/>
              <w:left w:val="nil"/>
              <w:bottom w:val="nil"/>
              <w:right w:val="nil"/>
            </w:tcBorders>
            <w:shd w:val="clear" w:color="auto" w:fill="auto"/>
          </w:tcPr>
          <w:p w14:paraId="29CA7FBE"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247.36</w:t>
            </w:r>
          </w:p>
        </w:tc>
        <w:tc>
          <w:tcPr>
            <w:tcW w:w="834" w:type="dxa"/>
            <w:tcBorders>
              <w:top w:val="nil"/>
              <w:left w:val="nil"/>
              <w:bottom w:val="nil"/>
              <w:right w:val="nil"/>
            </w:tcBorders>
            <w:shd w:val="clear" w:color="auto" w:fill="auto"/>
            <w:vAlign w:val="bottom"/>
          </w:tcPr>
          <w:p w14:paraId="58935425"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nil"/>
              <w:right w:val="nil"/>
            </w:tcBorders>
            <w:shd w:val="clear" w:color="auto" w:fill="auto"/>
          </w:tcPr>
          <w:p w14:paraId="270FEB28"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0.94</w:t>
            </w:r>
          </w:p>
        </w:tc>
        <w:tc>
          <w:tcPr>
            <w:tcW w:w="1177" w:type="dxa"/>
            <w:tcBorders>
              <w:top w:val="nil"/>
              <w:left w:val="nil"/>
              <w:bottom w:val="nil"/>
              <w:right w:val="nil"/>
            </w:tcBorders>
            <w:shd w:val="clear" w:color="auto" w:fill="auto"/>
          </w:tcPr>
          <w:p w14:paraId="28BD1D99"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0.95</w:t>
            </w:r>
          </w:p>
        </w:tc>
        <w:tc>
          <w:tcPr>
            <w:tcW w:w="1283" w:type="dxa"/>
            <w:tcBorders>
              <w:top w:val="nil"/>
              <w:left w:val="nil"/>
              <w:bottom w:val="nil"/>
              <w:right w:val="nil"/>
            </w:tcBorders>
            <w:shd w:val="clear" w:color="auto" w:fill="auto"/>
          </w:tcPr>
          <w:p w14:paraId="7A2535AB"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24.74</w:t>
            </w:r>
          </w:p>
        </w:tc>
      </w:tr>
      <w:tr w:rsidR="00E46771" w14:paraId="2E83F0BE" w14:textId="77777777" w:rsidTr="00FA33AA">
        <w:trPr>
          <w:trHeight w:val="288"/>
        </w:trPr>
        <w:tc>
          <w:tcPr>
            <w:tcW w:w="2190" w:type="dxa"/>
            <w:tcBorders>
              <w:top w:val="nil"/>
              <w:left w:val="nil"/>
              <w:bottom w:val="nil"/>
              <w:right w:val="nil"/>
            </w:tcBorders>
            <w:shd w:val="clear" w:color="auto" w:fill="auto"/>
            <w:vAlign w:val="bottom"/>
          </w:tcPr>
          <w:p w14:paraId="1DE2C2C8"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p>
        </w:tc>
        <w:tc>
          <w:tcPr>
            <w:tcW w:w="1065" w:type="dxa"/>
            <w:tcBorders>
              <w:top w:val="nil"/>
              <w:left w:val="nil"/>
              <w:bottom w:val="nil"/>
              <w:right w:val="nil"/>
            </w:tcBorders>
            <w:shd w:val="clear" w:color="auto" w:fill="auto"/>
            <w:vAlign w:val="bottom"/>
          </w:tcPr>
          <w:p w14:paraId="1F573532"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color w:val="000000"/>
                <w:sz w:val="24"/>
                <w:szCs w:val="24"/>
              </w:rPr>
              <w:t>FA</w:t>
            </w:r>
          </w:p>
        </w:tc>
        <w:tc>
          <w:tcPr>
            <w:tcW w:w="1305" w:type="dxa"/>
            <w:tcBorders>
              <w:top w:val="nil"/>
              <w:left w:val="nil"/>
              <w:bottom w:val="nil"/>
              <w:right w:val="nil"/>
            </w:tcBorders>
            <w:shd w:val="clear" w:color="auto" w:fill="auto"/>
          </w:tcPr>
          <w:p w14:paraId="6FA08987"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97.42</w:t>
            </w:r>
          </w:p>
        </w:tc>
        <w:tc>
          <w:tcPr>
            <w:tcW w:w="834" w:type="dxa"/>
            <w:tcBorders>
              <w:top w:val="nil"/>
              <w:left w:val="nil"/>
              <w:bottom w:val="nil"/>
              <w:right w:val="nil"/>
            </w:tcBorders>
            <w:shd w:val="clear" w:color="auto" w:fill="auto"/>
            <w:vAlign w:val="bottom"/>
          </w:tcPr>
          <w:p w14:paraId="7CC8F7BD"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nil"/>
              <w:right w:val="nil"/>
            </w:tcBorders>
            <w:shd w:val="clear" w:color="auto" w:fill="auto"/>
          </w:tcPr>
          <w:p w14:paraId="44D50146"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0.90</w:t>
            </w:r>
          </w:p>
        </w:tc>
        <w:tc>
          <w:tcPr>
            <w:tcW w:w="1177" w:type="dxa"/>
            <w:tcBorders>
              <w:top w:val="nil"/>
              <w:left w:val="nil"/>
              <w:bottom w:val="nil"/>
              <w:right w:val="nil"/>
            </w:tcBorders>
            <w:shd w:val="clear" w:color="auto" w:fill="auto"/>
          </w:tcPr>
          <w:p w14:paraId="3A9EBEC2"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0.92</w:t>
            </w:r>
          </w:p>
        </w:tc>
        <w:tc>
          <w:tcPr>
            <w:tcW w:w="1283" w:type="dxa"/>
            <w:tcBorders>
              <w:top w:val="nil"/>
              <w:left w:val="nil"/>
              <w:bottom w:val="nil"/>
              <w:right w:val="nil"/>
            </w:tcBorders>
            <w:shd w:val="clear" w:color="auto" w:fill="auto"/>
          </w:tcPr>
          <w:p w14:paraId="7708FAA1"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9.74</w:t>
            </w:r>
          </w:p>
        </w:tc>
      </w:tr>
      <w:tr w:rsidR="00E46771" w14:paraId="23F513EC" w14:textId="77777777" w:rsidTr="00FA33AA">
        <w:trPr>
          <w:trHeight w:val="288"/>
        </w:trPr>
        <w:tc>
          <w:tcPr>
            <w:tcW w:w="2190" w:type="dxa"/>
            <w:tcBorders>
              <w:top w:val="nil"/>
              <w:left w:val="nil"/>
              <w:bottom w:val="single" w:sz="4" w:space="0" w:color="auto"/>
              <w:right w:val="nil"/>
            </w:tcBorders>
            <w:shd w:val="clear" w:color="auto" w:fill="auto"/>
            <w:vAlign w:val="bottom"/>
          </w:tcPr>
          <w:p w14:paraId="16B7856A"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 </w:t>
            </w:r>
          </w:p>
        </w:tc>
        <w:tc>
          <w:tcPr>
            <w:tcW w:w="1065" w:type="dxa"/>
            <w:tcBorders>
              <w:top w:val="nil"/>
              <w:left w:val="nil"/>
              <w:bottom w:val="single" w:sz="4" w:space="0" w:color="auto"/>
              <w:right w:val="nil"/>
            </w:tcBorders>
            <w:shd w:val="clear" w:color="auto" w:fill="auto"/>
            <w:vAlign w:val="bottom"/>
          </w:tcPr>
          <w:p w14:paraId="1985E590"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color w:val="000000"/>
                <w:sz w:val="24"/>
                <w:szCs w:val="24"/>
              </w:rPr>
              <w:t>MS</w:t>
            </w:r>
          </w:p>
        </w:tc>
        <w:tc>
          <w:tcPr>
            <w:tcW w:w="1305" w:type="dxa"/>
            <w:tcBorders>
              <w:top w:val="nil"/>
              <w:left w:val="nil"/>
              <w:bottom w:val="single" w:sz="4" w:space="0" w:color="auto"/>
              <w:right w:val="nil"/>
            </w:tcBorders>
            <w:shd w:val="clear" w:color="auto" w:fill="auto"/>
          </w:tcPr>
          <w:p w14:paraId="40C485AD"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86.78</w:t>
            </w:r>
          </w:p>
        </w:tc>
        <w:tc>
          <w:tcPr>
            <w:tcW w:w="834" w:type="dxa"/>
            <w:tcBorders>
              <w:top w:val="nil"/>
              <w:left w:val="nil"/>
              <w:bottom w:val="single" w:sz="4" w:space="0" w:color="auto"/>
              <w:right w:val="nil"/>
            </w:tcBorders>
            <w:shd w:val="clear" w:color="auto" w:fill="auto"/>
            <w:vAlign w:val="bottom"/>
          </w:tcPr>
          <w:p w14:paraId="4E4918CF"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single" w:sz="4" w:space="0" w:color="auto"/>
              <w:right w:val="nil"/>
            </w:tcBorders>
            <w:shd w:val="clear" w:color="auto" w:fill="auto"/>
          </w:tcPr>
          <w:p w14:paraId="6549AAAB"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0.79</w:t>
            </w:r>
          </w:p>
        </w:tc>
        <w:tc>
          <w:tcPr>
            <w:tcW w:w="1177" w:type="dxa"/>
            <w:tcBorders>
              <w:top w:val="nil"/>
              <w:left w:val="nil"/>
              <w:bottom w:val="single" w:sz="4" w:space="0" w:color="auto"/>
              <w:right w:val="nil"/>
            </w:tcBorders>
            <w:shd w:val="clear" w:color="auto" w:fill="auto"/>
          </w:tcPr>
          <w:p w14:paraId="56254A6C"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0.81</w:t>
            </w:r>
          </w:p>
        </w:tc>
        <w:tc>
          <w:tcPr>
            <w:tcW w:w="1283" w:type="dxa"/>
            <w:tcBorders>
              <w:top w:val="nil"/>
              <w:left w:val="nil"/>
              <w:bottom w:val="single" w:sz="4" w:space="0" w:color="auto"/>
              <w:right w:val="nil"/>
            </w:tcBorders>
            <w:shd w:val="clear" w:color="auto" w:fill="auto"/>
          </w:tcPr>
          <w:p w14:paraId="6FA4E514"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8.68</w:t>
            </w:r>
          </w:p>
        </w:tc>
      </w:tr>
      <w:tr w:rsidR="00E46771" w14:paraId="285C9002" w14:textId="77777777" w:rsidTr="00FA33AA">
        <w:trPr>
          <w:trHeight w:val="288"/>
        </w:trPr>
        <w:tc>
          <w:tcPr>
            <w:tcW w:w="2190" w:type="dxa"/>
            <w:tcBorders>
              <w:top w:val="nil"/>
              <w:left w:val="nil"/>
              <w:bottom w:val="nil"/>
              <w:right w:val="nil"/>
            </w:tcBorders>
            <w:shd w:val="clear" w:color="auto" w:fill="auto"/>
            <w:vAlign w:val="bottom"/>
          </w:tcPr>
          <w:p w14:paraId="0C0A0EB1"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Recall</w:t>
            </w:r>
          </w:p>
        </w:tc>
        <w:tc>
          <w:tcPr>
            <w:tcW w:w="1065" w:type="dxa"/>
            <w:tcBorders>
              <w:top w:val="nil"/>
              <w:left w:val="nil"/>
              <w:bottom w:val="nil"/>
              <w:right w:val="nil"/>
            </w:tcBorders>
            <w:shd w:val="clear" w:color="auto" w:fill="auto"/>
            <w:vAlign w:val="bottom"/>
          </w:tcPr>
          <w:p w14:paraId="78E25A7D"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color w:val="000000"/>
                <w:sz w:val="24"/>
                <w:szCs w:val="24"/>
              </w:rPr>
              <w:t>HC</w:t>
            </w:r>
          </w:p>
        </w:tc>
        <w:tc>
          <w:tcPr>
            <w:tcW w:w="1305" w:type="dxa"/>
            <w:tcBorders>
              <w:top w:val="nil"/>
              <w:left w:val="nil"/>
              <w:bottom w:val="nil"/>
              <w:right w:val="nil"/>
            </w:tcBorders>
            <w:shd w:val="clear" w:color="auto" w:fill="auto"/>
          </w:tcPr>
          <w:p w14:paraId="1EB66479"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196.10</w:t>
            </w:r>
          </w:p>
        </w:tc>
        <w:tc>
          <w:tcPr>
            <w:tcW w:w="834" w:type="dxa"/>
            <w:tcBorders>
              <w:top w:val="nil"/>
              <w:left w:val="nil"/>
              <w:bottom w:val="nil"/>
              <w:right w:val="nil"/>
            </w:tcBorders>
            <w:shd w:val="clear" w:color="auto" w:fill="auto"/>
            <w:vAlign w:val="bottom"/>
          </w:tcPr>
          <w:p w14:paraId="5639418F"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nil"/>
              <w:right w:val="nil"/>
            </w:tcBorders>
            <w:shd w:val="clear" w:color="auto" w:fill="auto"/>
          </w:tcPr>
          <w:p w14:paraId="6D94EF5A"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0.91</w:t>
            </w:r>
          </w:p>
        </w:tc>
        <w:tc>
          <w:tcPr>
            <w:tcW w:w="1177" w:type="dxa"/>
            <w:tcBorders>
              <w:top w:val="nil"/>
              <w:left w:val="nil"/>
              <w:bottom w:val="nil"/>
              <w:right w:val="nil"/>
            </w:tcBorders>
            <w:shd w:val="clear" w:color="auto" w:fill="auto"/>
          </w:tcPr>
          <w:p w14:paraId="05AF38D3"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0.92</w:t>
            </w:r>
          </w:p>
        </w:tc>
        <w:tc>
          <w:tcPr>
            <w:tcW w:w="1283" w:type="dxa"/>
            <w:tcBorders>
              <w:top w:val="nil"/>
              <w:left w:val="nil"/>
              <w:bottom w:val="nil"/>
              <w:right w:val="nil"/>
            </w:tcBorders>
            <w:shd w:val="clear" w:color="auto" w:fill="auto"/>
          </w:tcPr>
          <w:p w14:paraId="2E23A423"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19.61</w:t>
            </w:r>
          </w:p>
        </w:tc>
      </w:tr>
      <w:tr w:rsidR="00E46771" w14:paraId="6535AF3D" w14:textId="77777777" w:rsidTr="00FA33AA">
        <w:trPr>
          <w:trHeight w:val="288"/>
        </w:trPr>
        <w:tc>
          <w:tcPr>
            <w:tcW w:w="2190" w:type="dxa"/>
            <w:tcBorders>
              <w:top w:val="nil"/>
              <w:left w:val="nil"/>
              <w:bottom w:val="nil"/>
              <w:right w:val="nil"/>
            </w:tcBorders>
            <w:shd w:val="clear" w:color="auto" w:fill="auto"/>
            <w:vAlign w:val="bottom"/>
          </w:tcPr>
          <w:p w14:paraId="020D6689"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p>
        </w:tc>
        <w:tc>
          <w:tcPr>
            <w:tcW w:w="1065" w:type="dxa"/>
            <w:tcBorders>
              <w:top w:val="nil"/>
              <w:left w:val="nil"/>
              <w:bottom w:val="nil"/>
              <w:right w:val="nil"/>
            </w:tcBorders>
            <w:shd w:val="clear" w:color="auto" w:fill="auto"/>
            <w:vAlign w:val="bottom"/>
          </w:tcPr>
          <w:p w14:paraId="57234606"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color w:val="000000"/>
                <w:sz w:val="24"/>
                <w:szCs w:val="24"/>
              </w:rPr>
              <w:t>FA</w:t>
            </w:r>
          </w:p>
        </w:tc>
        <w:tc>
          <w:tcPr>
            <w:tcW w:w="1305" w:type="dxa"/>
            <w:tcBorders>
              <w:top w:val="nil"/>
              <w:left w:val="nil"/>
              <w:bottom w:val="nil"/>
              <w:right w:val="nil"/>
            </w:tcBorders>
            <w:shd w:val="clear" w:color="auto" w:fill="auto"/>
          </w:tcPr>
          <w:p w14:paraId="7F422D1E"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71.17</w:t>
            </w:r>
          </w:p>
        </w:tc>
        <w:tc>
          <w:tcPr>
            <w:tcW w:w="834" w:type="dxa"/>
            <w:tcBorders>
              <w:top w:val="nil"/>
              <w:left w:val="nil"/>
              <w:bottom w:val="nil"/>
              <w:right w:val="nil"/>
            </w:tcBorders>
            <w:shd w:val="clear" w:color="auto" w:fill="auto"/>
            <w:vAlign w:val="bottom"/>
          </w:tcPr>
          <w:p w14:paraId="28C9E00B"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nil"/>
              <w:right w:val="nil"/>
            </w:tcBorders>
            <w:shd w:val="clear" w:color="auto" w:fill="auto"/>
          </w:tcPr>
          <w:p w14:paraId="63A4E17B"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0.85</w:t>
            </w:r>
          </w:p>
        </w:tc>
        <w:tc>
          <w:tcPr>
            <w:tcW w:w="1177" w:type="dxa"/>
            <w:tcBorders>
              <w:top w:val="nil"/>
              <w:left w:val="nil"/>
              <w:bottom w:val="nil"/>
              <w:right w:val="nil"/>
            </w:tcBorders>
            <w:shd w:val="clear" w:color="auto" w:fill="auto"/>
          </w:tcPr>
          <w:p w14:paraId="476B2392"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0.88</w:t>
            </w:r>
          </w:p>
        </w:tc>
        <w:tc>
          <w:tcPr>
            <w:tcW w:w="1283" w:type="dxa"/>
            <w:tcBorders>
              <w:top w:val="nil"/>
              <w:left w:val="nil"/>
              <w:bottom w:val="nil"/>
              <w:right w:val="nil"/>
            </w:tcBorders>
            <w:shd w:val="clear" w:color="auto" w:fill="auto"/>
          </w:tcPr>
          <w:p w14:paraId="7440637D"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7.12</w:t>
            </w:r>
          </w:p>
        </w:tc>
      </w:tr>
      <w:tr w:rsidR="00E46771" w14:paraId="4CE4861B" w14:textId="77777777" w:rsidTr="00FA33AA">
        <w:trPr>
          <w:trHeight w:val="288"/>
        </w:trPr>
        <w:tc>
          <w:tcPr>
            <w:tcW w:w="2190" w:type="dxa"/>
            <w:tcBorders>
              <w:top w:val="nil"/>
              <w:left w:val="nil"/>
              <w:bottom w:val="single" w:sz="4" w:space="0" w:color="auto"/>
              <w:right w:val="nil"/>
            </w:tcBorders>
            <w:shd w:val="clear" w:color="auto" w:fill="auto"/>
            <w:vAlign w:val="bottom"/>
          </w:tcPr>
          <w:p w14:paraId="5790A8AD"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 </w:t>
            </w:r>
          </w:p>
        </w:tc>
        <w:tc>
          <w:tcPr>
            <w:tcW w:w="1065" w:type="dxa"/>
            <w:tcBorders>
              <w:top w:val="nil"/>
              <w:left w:val="nil"/>
              <w:bottom w:val="single" w:sz="4" w:space="0" w:color="auto"/>
              <w:right w:val="nil"/>
            </w:tcBorders>
            <w:shd w:val="clear" w:color="auto" w:fill="auto"/>
            <w:vAlign w:val="bottom"/>
          </w:tcPr>
          <w:p w14:paraId="63A3D5CE"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color w:val="000000"/>
                <w:sz w:val="24"/>
                <w:szCs w:val="24"/>
              </w:rPr>
              <w:t>MS</w:t>
            </w:r>
          </w:p>
        </w:tc>
        <w:tc>
          <w:tcPr>
            <w:tcW w:w="1305" w:type="dxa"/>
            <w:tcBorders>
              <w:top w:val="nil"/>
              <w:left w:val="nil"/>
              <w:bottom w:val="single" w:sz="4" w:space="0" w:color="auto"/>
              <w:right w:val="nil"/>
            </w:tcBorders>
            <w:shd w:val="clear" w:color="auto" w:fill="auto"/>
          </w:tcPr>
          <w:p w14:paraId="1F4E1B53"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92.34</w:t>
            </w:r>
          </w:p>
        </w:tc>
        <w:tc>
          <w:tcPr>
            <w:tcW w:w="834" w:type="dxa"/>
            <w:tcBorders>
              <w:top w:val="nil"/>
              <w:left w:val="nil"/>
              <w:bottom w:val="single" w:sz="4" w:space="0" w:color="auto"/>
              <w:right w:val="nil"/>
            </w:tcBorders>
            <w:shd w:val="clear" w:color="auto" w:fill="auto"/>
            <w:vAlign w:val="bottom"/>
          </w:tcPr>
          <w:p w14:paraId="127B10AD"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single" w:sz="4" w:space="0" w:color="auto"/>
              <w:right w:val="nil"/>
            </w:tcBorders>
            <w:shd w:val="clear" w:color="auto" w:fill="auto"/>
          </w:tcPr>
          <w:p w14:paraId="163B884E"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0.86</w:t>
            </w:r>
          </w:p>
        </w:tc>
        <w:tc>
          <w:tcPr>
            <w:tcW w:w="1177" w:type="dxa"/>
            <w:tcBorders>
              <w:top w:val="nil"/>
              <w:left w:val="nil"/>
              <w:bottom w:val="single" w:sz="4" w:space="0" w:color="auto"/>
              <w:right w:val="nil"/>
            </w:tcBorders>
            <w:shd w:val="clear" w:color="auto" w:fill="auto"/>
          </w:tcPr>
          <w:p w14:paraId="04E8C872"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0.89</w:t>
            </w:r>
          </w:p>
        </w:tc>
        <w:tc>
          <w:tcPr>
            <w:tcW w:w="1283" w:type="dxa"/>
            <w:tcBorders>
              <w:top w:val="nil"/>
              <w:left w:val="nil"/>
              <w:bottom w:val="single" w:sz="4" w:space="0" w:color="auto"/>
              <w:right w:val="nil"/>
            </w:tcBorders>
            <w:shd w:val="clear" w:color="auto" w:fill="auto"/>
          </w:tcPr>
          <w:p w14:paraId="715E620D"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9.23</w:t>
            </w:r>
          </w:p>
        </w:tc>
      </w:tr>
      <w:tr w:rsidR="00E46771" w14:paraId="407993D5" w14:textId="77777777" w:rsidTr="00FA33AA">
        <w:trPr>
          <w:trHeight w:val="288"/>
        </w:trPr>
        <w:tc>
          <w:tcPr>
            <w:tcW w:w="2190" w:type="dxa"/>
            <w:tcBorders>
              <w:top w:val="nil"/>
              <w:left w:val="nil"/>
              <w:bottom w:val="single" w:sz="4" w:space="0" w:color="auto"/>
              <w:right w:val="nil"/>
            </w:tcBorders>
            <w:shd w:val="clear" w:color="auto" w:fill="auto"/>
            <w:vAlign w:val="bottom"/>
          </w:tcPr>
          <w:p w14:paraId="75F99D89"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 xml:space="preserve">Matthew's </w:t>
            </w:r>
            <w:r w:rsidRPr="00C353DA">
              <w:rPr>
                <w:rFonts w:ascii="Times New Roman" w:eastAsia="Times New Roman" w:hAnsi="Times New Roman" w:cs="Times New Roman"/>
                <w:color w:val="000000" w:themeColor="text1"/>
                <w:sz w:val="24"/>
                <w:szCs w:val="24"/>
                <w:lang w:eastAsia="en-AU"/>
              </w:rPr>
              <w:br/>
              <w:t>Corr. Coef.</w:t>
            </w:r>
          </w:p>
        </w:tc>
        <w:tc>
          <w:tcPr>
            <w:tcW w:w="1065" w:type="dxa"/>
            <w:tcBorders>
              <w:top w:val="nil"/>
              <w:left w:val="nil"/>
              <w:bottom w:val="single" w:sz="4" w:space="0" w:color="auto"/>
              <w:right w:val="nil"/>
            </w:tcBorders>
            <w:shd w:val="clear" w:color="auto" w:fill="auto"/>
          </w:tcPr>
          <w:p w14:paraId="041D87E9" w14:textId="77777777" w:rsidR="00E46771" w:rsidRPr="00C353DA" w:rsidRDefault="00E46771" w:rsidP="00FA33AA">
            <w:pPr>
              <w:spacing w:after="0" w:line="480" w:lineRule="auto"/>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Overall</w:t>
            </w:r>
          </w:p>
        </w:tc>
        <w:tc>
          <w:tcPr>
            <w:tcW w:w="1305" w:type="dxa"/>
            <w:tcBorders>
              <w:top w:val="nil"/>
              <w:left w:val="nil"/>
              <w:bottom w:val="single" w:sz="4" w:space="0" w:color="auto"/>
              <w:right w:val="nil"/>
            </w:tcBorders>
            <w:shd w:val="clear" w:color="auto" w:fill="auto"/>
          </w:tcPr>
          <w:p w14:paraId="7BF3A1EC"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114.56</w:t>
            </w:r>
          </w:p>
        </w:tc>
        <w:tc>
          <w:tcPr>
            <w:tcW w:w="834" w:type="dxa"/>
            <w:tcBorders>
              <w:top w:val="nil"/>
              <w:left w:val="nil"/>
              <w:bottom w:val="single" w:sz="4" w:space="0" w:color="auto"/>
              <w:right w:val="nil"/>
            </w:tcBorders>
            <w:shd w:val="clear" w:color="auto" w:fill="auto"/>
          </w:tcPr>
          <w:p w14:paraId="4C97E859"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eastAsia="Times New Roman" w:hAnsi="Times New Roman" w:cs="Times New Roman"/>
                <w:color w:val="000000" w:themeColor="text1"/>
                <w:sz w:val="24"/>
                <w:szCs w:val="24"/>
                <w:lang w:eastAsia="en-AU"/>
              </w:rPr>
              <w:t>&lt;.001</w:t>
            </w:r>
          </w:p>
        </w:tc>
        <w:tc>
          <w:tcPr>
            <w:tcW w:w="1172" w:type="dxa"/>
            <w:tcBorders>
              <w:top w:val="nil"/>
              <w:left w:val="nil"/>
              <w:bottom w:val="single" w:sz="4" w:space="0" w:color="auto"/>
              <w:right w:val="nil"/>
            </w:tcBorders>
            <w:shd w:val="clear" w:color="auto" w:fill="auto"/>
          </w:tcPr>
          <w:p w14:paraId="7AB983DB"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0.81</w:t>
            </w:r>
          </w:p>
        </w:tc>
        <w:tc>
          <w:tcPr>
            <w:tcW w:w="1177" w:type="dxa"/>
            <w:tcBorders>
              <w:top w:val="nil"/>
              <w:left w:val="nil"/>
              <w:bottom w:val="single" w:sz="4" w:space="0" w:color="auto"/>
              <w:right w:val="nil"/>
            </w:tcBorders>
            <w:shd w:val="clear" w:color="auto" w:fill="auto"/>
          </w:tcPr>
          <w:p w14:paraId="3A046D7B"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0.83</w:t>
            </w:r>
          </w:p>
        </w:tc>
        <w:tc>
          <w:tcPr>
            <w:tcW w:w="1283" w:type="dxa"/>
            <w:tcBorders>
              <w:top w:val="nil"/>
              <w:left w:val="nil"/>
              <w:bottom w:val="single" w:sz="4" w:space="0" w:color="auto"/>
              <w:right w:val="nil"/>
            </w:tcBorders>
            <w:shd w:val="clear" w:color="auto" w:fill="auto"/>
          </w:tcPr>
          <w:p w14:paraId="56E8EA83" w14:textId="77777777" w:rsidR="00E46771" w:rsidRPr="00C353DA" w:rsidRDefault="00E46771" w:rsidP="00FA33AA">
            <w:pPr>
              <w:spacing w:after="0" w:line="480" w:lineRule="auto"/>
              <w:jc w:val="right"/>
              <w:rPr>
                <w:rFonts w:ascii="Times New Roman" w:eastAsia="Times New Roman" w:hAnsi="Times New Roman" w:cs="Times New Roman"/>
                <w:color w:val="000000" w:themeColor="text1"/>
                <w:sz w:val="24"/>
                <w:szCs w:val="24"/>
                <w:lang w:eastAsia="en-AU"/>
              </w:rPr>
            </w:pPr>
            <w:r w:rsidRPr="00C353DA">
              <w:rPr>
                <w:rFonts w:ascii="Times New Roman" w:hAnsi="Times New Roman" w:cs="Times New Roman"/>
                <w:sz w:val="24"/>
                <w:szCs w:val="24"/>
              </w:rPr>
              <w:t>11.46</w:t>
            </w:r>
          </w:p>
        </w:tc>
      </w:tr>
    </w:tbl>
    <w:p w14:paraId="13292FF8" w14:textId="77777777" w:rsidR="00E46771" w:rsidRPr="002F4CD3" w:rsidRDefault="00E46771" w:rsidP="00E46771">
      <w:pPr>
        <w:spacing w:line="480" w:lineRule="auto"/>
        <w:rPr>
          <w:rFonts w:ascii="Times New Roman" w:eastAsia="Times New Roman" w:hAnsi="Times New Roman" w:cs="Times New Roman"/>
          <w:sz w:val="24"/>
          <w:szCs w:val="24"/>
        </w:rPr>
      </w:pPr>
    </w:p>
    <w:p w14:paraId="2E21EB8D" w14:textId="77777777" w:rsidR="00E46771" w:rsidRPr="00114018" w:rsidRDefault="00E46771" w:rsidP="00E46771">
      <w:pPr>
        <w:rPr>
          <w:rFonts w:ascii="Times New Roman" w:eastAsia="Times New Roman" w:hAnsi="Times New Roman" w:cs="Times New Roman"/>
          <w:b/>
          <w:bCs/>
          <w:sz w:val="24"/>
          <w:szCs w:val="24"/>
        </w:rPr>
      </w:pPr>
    </w:p>
    <w:p w14:paraId="0BE50F54" w14:textId="1501F589" w:rsidR="00E6038D" w:rsidRDefault="00E6038D">
      <w:r>
        <w:br w:type="page"/>
      </w:r>
    </w:p>
    <w:p w14:paraId="420CA3BE" w14:textId="77777777" w:rsidR="00E6038D" w:rsidRDefault="00E6038D">
      <w:pPr>
        <w:sectPr w:rsidR="00E6038D" w:rsidSect="00F47285">
          <w:pgSz w:w="11906" w:h="16838"/>
          <w:pgMar w:top="1440" w:right="1440" w:bottom="1440" w:left="1440" w:header="709" w:footer="709" w:gutter="0"/>
          <w:cols w:space="708"/>
          <w:docGrid w:linePitch="360"/>
        </w:sectPr>
      </w:pPr>
    </w:p>
    <w:p w14:paraId="67946FBC" w14:textId="0C5F3686" w:rsidR="00E6038D" w:rsidRPr="002F6B30" w:rsidRDefault="00E6038D" w:rsidP="00E6038D">
      <w:pPr>
        <w:spacing w:line="360" w:lineRule="auto"/>
        <w:rPr>
          <w:rFonts w:ascii="Times New Roman" w:hAnsi="Times New Roman"/>
          <w:sz w:val="24"/>
          <w:szCs w:val="24"/>
        </w:rPr>
      </w:pPr>
      <w:r>
        <w:rPr>
          <w:rFonts w:ascii="Times New Roman" w:hAnsi="Times New Roman"/>
          <w:sz w:val="24"/>
          <w:szCs w:val="24"/>
        </w:rPr>
        <w:lastRenderedPageBreak/>
        <w:t>Table S3a.</w:t>
      </w:r>
      <w:r>
        <w:rPr>
          <w:rFonts w:ascii="Times New Roman" w:hAnsi="Times New Roman"/>
          <w:sz w:val="24"/>
          <w:szCs w:val="24"/>
        </w:rPr>
        <w:br/>
      </w:r>
      <w:r w:rsidRPr="002F6B30">
        <w:rPr>
          <w:rFonts w:ascii="Times New Roman" w:hAnsi="Times New Roman"/>
          <w:i/>
          <w:iCs/>
          <w:sz w:val="24"/>
          <w:szCs w:val="24"/>
        </w:rPr>
        <w:t>List of acoustic features used in the present study.</w:t>
      </w:r>
    </w:p>
    <w:tbl>
      <w:tblPr>
        <w:tblW w:w="0" w:type="auto"/>
        <w:tblLayout w:type="fixed"/>
        <w:tblLook w:val="04A0" w:firstRow="1" w:lastRow="0" w:firstColumn="1" w:lastColumn="0" w:noHBand="0" w:noVBand="1"/>
      </w:tblPr>
      <w:tblGrid>
        <w:gridCol w:w="1418"/>
        <w:gridCol w:w="4536"/>
        <w:gridCol w:w="5759"/>
        <w:gridCol w:w="2245"/>
      </w:tblGrid>
      <w:tr w:rsidR="008A1061" w:rsidRPr="002C4F8E" w14:paraId="493EBD13" w14:textId="77777777" w:rsidTr="00220606">
        <w:trPr>
          <w:trHeight w:val="288"/>
        </w:trPr>
        <w:tc>
          <w:tcPr>
            <w:tcW w:w="1418" w:type="dxa"/>
            <w:tcBorders>
              <w:top w:val="single" w:sz="4" w:space="0" w:color="auto"/>
              <w:left w:val="nil"/>
              <w:bottom w:val="single" w:sz="4" w:space="0" w:color="auto"/>
              <w:right w:val="nil"/>
            </w:tcBorders>
            <w:shd w:val="clear" w:color="auto" w:fill="auto"/>
            <w:noWrap/>
            <w:hideMark/>
          </w:tcPr>
          <w:p w14:paraId="448F7622" w14:textId="77777777" w:rsidR="00E6038D" w:rsidRPr="002C4F8E" w:rsidRDefault="00E6038D" w:rsidP="00220606">
            <w:pPr>
              <w:spacing w:after="0" w:line="240" w:lineRule="auto"/>
              <w:rPr>
                <w:rFonts w:ascii="Times New Roman" w:eastAsia="Times New Roman" w:hAnsi="Times New Roman" w:cs="Times New Roman"/>
                <w:b/>
                <w:bCs/>
                <w:color w:val="000000"/>
                <w:lang w:eastAsia="en-AU"/>
              </w:rPr>
            </w:pPr>
            <w:r w:rsidRPr="002C4F8E">
              <w:rPr>
                <w:rFonts w:ascii="Times New Roman" w:eastAsia="Times New Roman" w:hAnsi="Times New Roman" w:cs="Times New Roman"/>
                <w:b/>
                <w:bCs/>
                <w:color w:val="000000"/>
                <w:lang w:eastAsia="en-AU"/>
              </w:rPr>
              <w:t>Category</w:t>
            </w:r>
          </w:p>
        </w:tc>
        <w:tc>
          <w:tcPr>
            <w:tcW w:w="4536" w:type="dxa"/>
            <w:tcBorders>
              <w:top w:val="single" w:sz="4" w:space="0" w:color="auto"/>
              <w:left w:val="nil"/>
              <w:bottom w:val="single" w:sz="4" w:space="0" w:color="auto"/>
              <w:right w:val="nil"/>
            </w:tcBorders>
            <w:shd w:val="clear" w:color="auto" w:fill="auto"/>
            <w:noWrap/>
            <w:hideMark/>
          </w:tcPr>
          <w:p w14:paraId="4EB3D356" w14:textId="77777777" w:rsidR="00E6038D" w:rsidRPr="002C4F8E" w:rsidRDefault="00E6038D" w:rsidP="00220606">
            <w:pPr>
              <w:spacing w:after="0" w:line="240" w:lineRule="auto"/>
              <w:rPr>
                <w:rFonts w:ascii="Times New Roman" w:eastAsia="Times New Roman" w:hAnsi="Times New Roman" w:cs="Times New Roman"/>
                <w:b/>
                <w:bCs/>
                <w:color w:val="000000"/>
                <w:lang w:eastAsia="en-AU"/>
              </w:rPr>
            </w:pPr>
            <w:r w:rsidRPr="002C4F8E">
              <w:rPr>
                <w:rFonts w:ascii="Times New Roman" w:eastAsia="Times New Roman" w:hAnsi="Times New Roman" w:cs="Times New Roman"/>
                <w:b/>
                <w:bCs/>
                <w:color w:val="000000"/>
                <w:lang w:eastAsia="en-AU"/>
              </w:rPr>
              <w:t>Acoustic Feature</w:t>
            </w:r>
          </w:p>
        </w:tc>
        <w:tc>
          <w:tcPr>
            <w:tcW w:w="5759" w:type="dxa"/>
            <w:tcBorders>
              <w:top w:val="single" w:sz="4" w:space="0" w:color="auto"/>
              <w:left w:val="nil"/>
              <w:bottom w:val="single" w:sz="4" w:space="0" w:color="auto"/>
              <w:right w:val="nil"/>
            </w:tcBorders>
            <w:shd w:val="clear" w:color="auto" w:fill="auto"/>
            <w:noWrap/>
            <w:hideMark/>
          </w:tcPr>
          <w:p w14:paraId="63BF740A" w14:textId="77777777" w:rsidR="00E6038D" w:rsidRPr="002C4F8E" w:rsidRDefault="00E6038D" w:rsidP="00220606">
            <w:pPr>
              <w:spacing w:after="0" w:line="240" w:lineRule="auto"/>
              <w:rPr>
                <w:rFonts w:ascii="Times New Roman" w:eastAsia="Times New Roman" w:hAnsi="Times New Roman" w:cs="Times New Roman"/>
                <w:b/>
                <w:bCs/>
                <w:color w:val="000000"/>
                <w:lang w:eastAsia="en-AU"/>
              </w:rPr>
            </w:pPr>
            <w:r w:rsidRPr="002C4F8E">
              <w:rPr>
                <w:rFonts w:ascii="Times New Roman" w:eastAsia="Times New Roman" w:hAnsi="Times New Roman" w:cs="Times New Roman"/>
                <w:b/>
                <w:bCs/>
                <w:color w:val="000000"/>
                <w:lang w:eastAsia="en-AU"/>
              </w:rPr>
              <w:t>Description</w:t>
            </w:r>
          </w:p>
        </w:tc>
        <w:tc>
          <w:tcPr>
            <w:tcW w:w="2245" w:type="dxa"/>
            <w:tcBorders>
              <w:top w:val="single" w:sz="4" w:space="0" w:color="auto"/>
              <w:left w:val="nil"/>
              <w:bottom w:val="single" w:sz="4" w:space="0" w:color="auto"/>
              <w:right w:val="nil"/>
            </w:tcBorders>
            <w:shd w:val="clear" w:color="auto" w:fill="auto"/>
            <w:noWrap/>
            <w:hideMark/>
          </w:tcPr>
          <w:p w14:paraId="42D38FC1" w14:textId="6E9C8EED" w:rsidR="00E6038D" w:rsidRPr="002C4F8E" w:rsidRDefault="00E6038D" w:rsidP="00220606">
            <w:pPr>
              <w:spacing w:after="0" w:line="240" w:lineRule="auto"/>
              <w:rPr>
                <w:rFonts w:ascii="Times New Roman" w:eastAsia="Times New Roman" w:hAnsi="Times New Roman" w:cs="Times New Roman"/>
                <w:b/>
                <w:bCs/>
                <w:color w:val="000000"/>
                <w:lang w:eastAsia="en-AU"/>
              </w:rPr>
            </w:pPr>
            <w:r w:rsidRPr="002C4F8E">
              <w:rPr>
                <w:rFonts w:ascii="Times New Roman" w:eastAsia="Times New Roman" w:hAnsi="Times New Roman" w:cs="Times New Roman"/>
                <w:b/>
                <w:bCs/>
                <w:color w:val="000000"/>
                <w:lang w:eastAsia="en-AU"/>
              </w:rPr>
              <w:t>Reference</w:t>
            </w:r>
            <w:r w:rsidR="00D823B8">
              <w:rPr>
                <w:rFonts w:ascii="Times New Roman" w:eastAsia="Times New Roman" w:hAnsi="Times New Roman" w:cs="Times New Roman"/>
                <w:b/>
                <w:bCs/>
                <w:color w:val="000000"/>
                <w:lang w:eastAsia="en-AU"/>
              </w:rPr>
              <w:t>s</w:t>
            </w:r>
          </w:p>
        </w:tc>
      </w:tr>
      <w:tr w:rsidR="008A1061" w:rsidRPr="002C4F8E" w14:paraId="7410BEBF" w14:textId="77777777" w:rsidTr="00220606">
        <w:trPr>
          <w:trHeight w:val="288"/>
        </w:trPr>
        <w:tc>
          <w:tcPr>
            <w:tcW w:w="1418" w:type="dxa"/>
            <w:tcBorders>
              <w:top w:val="single" w:sz="4" w:space="0" w:color="auto"/>
              <w:left w:val="nil"/>
              <w:bottom w:val="nil"/>
              <w:right w:val="nil"/>
            </w:tcBorders>
            <w:shd w:val="clear" w:color="auto" w:fill="auto"/>
            <w:noWrap/>
            <w:hideMark/>
          </w:tcPr>
          <w:p w14:paraId="06E85334"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Pitch and Frequency</w:t>
            </w:r>
          </w:p>
        </w:tc>
        <w:tc>
          <w:tcPr>
            <w:tcW w:w="4536" w:type="dxa"/>
            <w:tcBorders>
              <w:top w:val="single" w:sz="4" w:space="0" w:color="auto"/>
              <w:left w:val="nil"/>
              <w:bottom w:val="nil"/>
              <w:right w:val="nil"/>
            </w:tcBorders>
            <w:shd w:val="clear" w:color="auto" w:fill="auto"/>
            <w:noWrap/>
            <w:hideMark/>
          </w:tcPr>
          <w:p w14:paraId="19CCA871"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f0</w:t>
            </w:r>
          </w:p>
        </w:tc>
        <w:tc>
          <w:tcPr>
            <w:tcW w:w="5759" w:type="dxa"/>
            <w:tcBorders>
              <w:top w:val="single" w:sz="4" w:space="0" w:color="auto"/>
              <w:left w:val="nil"/>
              <w:bottom w:val="nil"/>
              <w:right w:val="nil"/>
            </w:tcBorders>
            <w:shd w:val="clear" w:color="auto" w:fill="auto"/>
            <w:noWrap/>
            <w:hideMark/>
          </w:tcPr>
          <w:p w14:paraId="5B66B384"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Fundamental frequency (75Hz to 500Hz)</w:t>
            </w:r>
          </w:p>
        </w:tc>
        <w:tc>
          <w:tcPr>
            <w:tcW w:w="2245" w:type="dxa"/>
            <w:tcBorders>
              <w:top w:val="single" w:sz="4" w:space="0" w:color="auto"/>
              <w:left w:val="nil"/>
              <w:bottom w:val="nil"/>
              <w:right w:val="nil"/>
            </w:tcBorders>
            <w:shd w:val="clear" w:color="auto" w:fill="auto"/>
            <w:noWrap/>
            <w:hideMark/>
          </w:tcPr>
          <w:p w14:paraId="0E01BF33" w14:textId="49DFC57F" w:rsidR="00E6038D" w:rsidRPr="002C4F8E" w:rsidRDefault="00495A60" w:rsidP="00220606">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0D7AFE">
              <w:rPr>
                <w:rFonts w:ascii="Times New Roman" w:eastAsia="Times New Roman" w:hAnsi="Times New Roman" w:cs="Times New Roman"/>
                <w:color w:val="000000"/>
                <w:lang w:eastAsia="en-AU"/>
              </w:rPr>
              <w:instrText>ADDIN CSL_CITATION {"citationItems":[{"id":"ITEM-1","itemData":{"author":[{"dropping-particle":"","family":"Boersma","given":"Paul","non-dropping-particle":"","parse-names":false,"suffix":""}],"container-title":"Proceedings of the institute of phonetic sciences","id":"ITEM-1","issue":"1193","issued":{"date-parts":[["1993"]]},"page":"97-110","publisher":"Citeseer","title":"Accurate short-term analysis of the fundamental frequency and the harmonics-to-noise ratio of a sampled sound","type":"paper-conference","volume":"17"},"uris":["http://www.mendeley.com/documents/?uuid=3f738ad7-4e04-41eb-8578-a58cf2851fa4"]},{"id":"ITEM-2","itemData":{"ISSN":"0001-4966","author":[{"dropping-particle":"","family":"Tsanas","given":"Athanasios","non-dropping-particle":"","parse-names":false,"suffix":""},{"dropping-particle":"","family":"Zañartu","given":"Matías","non-dropping-particle":"","parse-names":false,"suffix":""},{"dropping-particle":"","family":"Little","given":"Max A","non-dropping-particle":"","parse-names":false,"suffix":""},{"dropping-particle":"","family":"Fox","given":"Cynthia","non-dropping-particle":"","parse-names":false,"suffix":""},{"dropping-particle":"","family":"Ramig","given":"Lorraine O","non-dropping-particle":"","parse-names":false,"suffix":""},{"dropping-particle":"","family":"Clifford","given":"Gari D","non-dropping-particle":"","parse-names":false,"suffix":""}],"container-title":"The Journal of the Acoustical Society of America","id":"ITEM-2","issue":"5","issued":{"date-parts":[["2014"]]},"page":"2885-2901","publisher":"Acoustical Society of America","title":"Robust fundamental frequency estimation in sustained vowels: Detailed algorithmic comparisons and information fusion with adaptive Kalman filtering","type":"article-journal","volume":"135"},"uris":["http://www.mendeley.com/documents/?uuid=1f2c8866-c660-4551-b0bd-b5cc7e106617"]},{"id":"ITEM-3","itemData":{"author":[{"dropping-particle":"","family":"Shue","given":"Yen-Liang","non-dropping-particle":"","parse-names":false,"suffix":""},{"dropping-particle":"","family":"Keating","given":"Patricia","non-dropping-particle":"","parse-names":false,"suffix":""},{"dropping-particle":"","family":"Vicenik","given":"Chad","non-dropping-particle":"","parse-names":false,"suffix":""},{"dropping-particle":"","family":"Yu","given":"Kristine","non-dropping-particle":"","parse-names":false,"suffix":""}],"container-title":"p. Program available online at http://www. seas. ucla. edu/spapl/voicesauce/. UCLA","id":"ITEM-3","issued":{"date-parts":[["2009"]]},"title":"Voicesauce","type":"article-journal"},"uris":["http://www.mendeley.com/documents/?uuid=744ae4e5-dc5f-4746-97f6-3f5c85afd890"]}],"mendeley":{"formattedCitation":"(1–3)","plainTextFormattedCitation":"(1–3)","previouslyFormattedCitation":"(1–3)"},"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006A69E4" w:rsidRPr="006A69E4">
              <w:rPr>
                <w:rFonts w:ascii="Times New Roman" w:eastAsia="Times New Roman" w:hAnsi="Times New Roman" w:cs="Times New Roman"/>
                <w:noProof/>
                <w:color w:val="000000"/>
                <w:lang w:eastAsia="en-AU"/>
              </w:rPr>
              <w:t>(1–3)</w:t>
            </w:r>
            <w:r>
              <w:rPr>
                <w:rFonts w:ascii="Times New Roman" w:eastAsia="Times New Roman" w:hAnsi="Times New Roman" w:cs="Times New Roman"/>
                <w:color w:val="000000"/>
                <w:lang w:eastAsia="en-AU"/>
              </w:rPr>
              <w:fldChar w:fldCharType="end"/>
            </w:r>
          </w:p>
        </w:tc>
      </w:tr>
      <w:tr w:rsidR="008A1061" w:rsidRPr="002C4F8E" w14:paraId="19D4E254" w14:textId="77777777" w:rsidTr="00220606">
        <w:trPr>
          <w:trHeight w:val="288"/>
        </w:trPr>
        <w:tc>
          <w:tcPr>
            <w:tcW w:w="1418" w:type="dxa"/>
            <w:tcBorders>
              <w:top w:val="nil"/>
              <w:left w:val="nil"/>
              <w:bottom w:val="nil"/>
              <w:right w:val="nil"/>
            </w:tcBorders>
            <w:shd w:val="clear" w:color="auto" w:fill="auto"/>
            <w:noWrap/>
            <w:hideMark/>
          </w:tcPr>
          <w:p w14:paraId="4172A092"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6586CC31"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F1-F5</w:t>
            </w:r>
          </w:p>
        </w:tc>
        <w:tc>
          <w:tcPr>
            <w:tcW w:w="5759" w:type="dxa"/>
            <w:tcBorders>
              <w:top w:val="nil"/>
              <w:left w:val="nil"/>
              <w:bottom w:val="nil"/>
              <w:right w:val="nil"/>
            </w:tcBorders>
            <w:shd w:val="clear" w:color="auto" w:fill="auto"/>
            <w:noWrap/>
            <w:hideMark/>
          </w:tcPr>
          <w:p w14:paraId="7F5454C1"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First, second, third, fourth, and fifth formant</w:t>
            </w:r>
          </w:p>
        </w:tc>
        <w:tc>
          <w:tcPr>
            <w:tcW w:w="2245" w:type="dxa"/>
            <w:tcBorders>
              <w:top w:val="nil"/>
              <w:left w:val="nil"/>
              <w:bottom w:val="nil"/>
              <w:right w:val="nil"/>
            </w:tcBorders>
            <w:shd w:val="clear" w:color="auto" w:fill="auto"/>
            <w:noWrap/>
            <w:hideMark/>
          </w:tcPr>
          <w:p w14:paraId="614471F6" w14:textId="34C53472" w:rsidR="00E6038D" w:rsidRPr="002C4F8E" w:rsidRDefault="000D7AFE" w:rsidP="00220606">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C21241">
              <w:rPr>
                <w:rFonts w:ascii="Times New Roman" w:eastAsia="Times New Roman" w:hAnsi="Times New Roman" w:cs="Times New Roman"/>
                <w:color w:val="000000"/>
                <w:lang w:eastAsia="en-AU"/>
              </w:rPr>
              <w:instrText>ADDIN CSL_CITATION {"citationItems":[{"id":"ITEM-1","itemData":{"ISBN":"0001-4966","author":[{"dropping-particle":"","family":"Childers","given":"Donald G.","non-dropping-particle":"","parse-names":false,"suffix":""},{"dropping-particle":"","family":"Lee","given":"Chih K.","non-dropping-particle":"","parse-names":false,"suffix":""}],"container-title":"the Journal of the Acoustical Society of America","id":"ITEM-1","issue":"5","issued":{"date-parts":[["1991"]]},"page":"2394-2410","title":"Vocal quality factors: Analysis, synthesis, and perception","type":"article-journal","volume":"90"},"uris":["http://www.mendeley.com/documents/?uuid=1881ed3a-a5e6-4667-9499-8b80c2025315"]},{"id":"ITEM-2","itemData":{"author":[{"dropping-particle":"","family":"Tsanas","given":"Athanasios","non-dropping-particle":"","parse-names":false,"suffix":""}],"container-title":"Models and analysis of vocal emissions for biomedical applications","id":"ITEM-2","issued":{"date-parts":[["2013"]]},"page":"37-40","publisher":"Firenze Univ. Press","title":"Acoustic analysis toolkit for biomedical speech signal processing: concepts and algorithms","type":"article-journal","volume":"2"},"uris":["http://www.mendeley.com/documents/?uuid=72ea9dd4-e8a8-4a03-b739-3bdaa1fdf4fc"]},{"id":"ITEM-3","itemData":{"author":[{"dropping-particle":"","family":"Shue","given":"Yen-Liang","non-dropping-particle":"","parse-names":false,"suffix":""},{"dropping-particle":"","family":"Keating","given":"Patricia","non-dropping-particle":"","parse-names":false,"suffix":""},{"dropping-particle":"","family":"Vicenik","given":"Chad","non-dropping-particle":"","parse-names":false,"suffix":""},{"dropping-particle":"","family":"Yu","given":"Kristine","non-dropping-particle":"","parse-names":false,"suffix":""}],"container-title":"p. Program available online at http://www. seas. ucla. edu/spapl/voicesauce/. UCLA","id":"ITEM-3","issued":{"date-parts":[["2009"]]},"title":"Voicesauce","type":"article-journal"},"uris":["http://www.mendeley.com/documents/?uuid=744ae4e5-dc5f-4746-97f6-3f5c85afd890"]}],"mendeley":{"formattedCitation":"(3–5)","plainTextFormattedCitation":"(3–5)","previouslyFormattedCitation":"(3–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D7AFE">
              <w:rPr>
                <w:rFonts w:ascii="Times New Roman" w:eastAsia="Times New Roman" w:hAnsi="Times New Roman" w:cs="Times New Roman"/>
                <w:noProof/>
                <w:color w:val="000000"/>
                <w:lang w:eastAsia="en-AU"/>
              </w:rPr>
              <w:t>(3–5)</w:t>
            </w:r>
            <w:r>
              <w:rPr>
                <w:rFonts w:ascii="Times New Roman" w:eastAsia="Times New Roman" w:hAnsi="Times New Roman" w:cs="Times New Roman"/>
                <w:color w:val="000000"/>
                <w:lang w:eastAsia="en-AU"/>
              </w:rPr>
              <w:fldChar w:fldCharType="end"/>
            </w:r>
          </w:p>
        </w:tc>
      </w:tr>
      <w:tr w:rsidR="008A1061" w:rsidRPr="002C4F8E" w14:paraId="0907968A" w14:textId="77777777" w:rsidTr="00220606">
        <w:trPr>
          <w:trHeight w:val="288"/>
        </w:trPr>
        <w:tc>
          <w:tcPr>
            <w:tcW w:w="1418" w:type="dxa"/>
            <w:tcBorders>
              <w:top w:val="nil"/>
              <w:left w:val="nil"/>
              <w:bottom w:val="nil"/>
              <w:right w:val="nil"/>
            </w:tcBorders>
            <w:shd w:val="clear" w:color="auto" w:fill="auto"/>
            <w:noWrap/>
            <w:hideMark/>
          </w:tcPr>
          <w:p w14:paraId="16FB82F1"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49DB0389"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Broadband frequency with maximum energy*</w:t>
            </w:r>
          </w:p>
        </w:tc>
        <w:tc>
          <w:tcPr>
            <w:tcW w:w="5759" w:type="dxa"/>
            <w:tcBorders>
              <w:top w:val="nil"/>
              <w:left w:val="nil"/>
              <w:bottom w:val="nil"/>
              <w:right w:val="nil"/>
            </w:tcBorders>
            <w:shd w:val="clear" w:color="auto" w:fill="auto"/>
            <w:noWrap/>
            <w:hideMark/>
          </w:tcPr>
          <w:p w14:paraId="72236A25"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Frequency with the maximum power from 1Hz to 4000Hz</w:t>
            </w:r>
          </w:p>
        </w:tc>
        <w:tc>
          <w:tcPr>
            <w:tcW w:w="2245" w:type="dxa"/>
            <w:tcBorders>
              <w:top w:val="nil"/>
              <w:left w:val="nil"/>
              <w:bottom w:val="nil"/>
              <w:right w:val="nil"/>
            </w:tcBorders>
            <w:shd w:val="clear" w:color="auto" w:fill="auto"/>
            <w:noWrap/>
            <w:hideMark/>
          </w:tcPr>
          <w:p w14:paraId="53AC034E" w14:textId="5CB7F25F" w:rsidR="00E6038D" w:rsidRPr="002C4F8E" w:rsidRDefault="00C21241" w:rsidP="00220606">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324B5E">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00031117"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DB652C" w:rsidRPr="002C4F8E" w14:paraId="28183746" w14:textId="77777777" w:rsidTr="00220606">
        <w:trPr>
          <w:trHeight w:val="288"/>
        </w:trPr>
        <w:tc>
          <w:tcPr>
            <w:tcW w:w="1418" w:type="dxa"/>
            <w:tcBorders>
              <w:top w:val="nil"/>
              <w:left w:val="nil"/>
              <w:bottom w:val="nil"/>
              <w:right w:val="nil"/>
            </w:tcBorders>
            <w:shd w:val="clear" w:color="auto" w:fill="auto"/>
            <w:noWrap/>
            <w:hideMark/>
          </w:tcPr>
          <w:p w14:paraId="0326DF63" w14:textId="77777777" w:rsidR="00DB652C" w:rsidRPr="002C4F8E" w:rsidRDefault="00DB652C" w:rsidP="00DB652C">
            <w:pPr>
              <w:spacing w:after="0" w:line="240" w:lineRule="auto"/>
              <w:rPr>
                <w:rFonts w:ascii="Times New Roman" w:eastAsia="Times New Roman" w:hAnsi="Times New Roman" w:cs="Times New Roman"/>
                <w:lang w:eastAsia="en-AU"/>
              </w:rPr>
            </w:pPr>
          </w:p>
        </w:tc>
        <w:tc>
          <w:tcPr>
            <w:tcW w:w="4536" w:type="dxa"/>
            <w:tcBorders>
              <w:top w:val="nil"/>
              <w:left w:val="nil"/>
              <w:bottom w:val="nil"/>
              <w:right w:val="nil"/>
            </w:tcBorders>
            <w:shd w:val="clear" w:color="auto" w:fill="auto"/>
            <w:noWrap/>
            <w:hideMark/>
          </w:tcPr>
          <w:p w14:paraId="055495BC" w14:textId="77777777" w:rsidR="00DB652C" w:rsidRPr="002C4F8E" w:rsidRDefault="00DB652C" w:rsidP="00DB652C">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f0 frequency with maximum energy*</w:t>
            </w:r>
          </w:p>
        </w:tc>
        <w:tc>
          <w:tcPr>
            <w:tcW w:w="5759" w:type="dxa"/>
            <w:tcBorders>
              <w:top w:val="nil"/>
              <w:left w:val="nil"/>
              <w:bottom w:val="nil"/>
              <w:right w:val="nil"/>
            </w:tcBorders>
            <w:shd w:val="clear" w:color="auto" w:fill="auto"/>
            <w:noWrap/>
            <w:hideMark/>
          </w:tcPr>
          <w:p w14:paraId="19010CB1" w14:textId="77777777" w:rsidR="00DB652C" w:rsidRPr="002C4F8E" w:rsidRDefault="00DB652C" w:rsidP="00DB652C">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Frequency with the maximum power from 75Hz to 500Hz</w:t>
            </w:r>
          </w:p>
        </w:tc>
        <w:tc>
          <w:tcPr>
            <w:tcW w:w="2245" w:type="dxa"/>
            <w:tcBorders>
              <w:top w:val="nil"/>
              <w:left w:val="nil"/>
              <w:bottom w:val="nil"/>
              <w:right w:val="nil"/>
            </w:tcBorders>
            <w:shd w:val="clear" w:color="auto" w:fill="auto"/>
            <w:noWrap/>
            <w:hideMark/>
          </w:tcPr>
          <w:p w14:paraId="5850A008" w14:textId="79D14381" w:rsidR="00DB652C" w:rsidRPr="002C4F8E" w:rsidRDefault="00DB652C" w:rsidP="00DB652C">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324B5E">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DB652C" w:rsidRPr="002C4F8E" w14:paraId="5E3AF27F" w14:textId="77777777" w:rsidTr="00220606">
        <w:trPr>
          <w:trHeight w:val="288"/>
        </w:trPr>
        <w:tc>
          <w:tcPr>
            <w:tcW w:w="1418" w:type="dxa"/>
            <w:tcBorders>
              <w:top w:val="nil"/>
              <w:left w:val="nil"/>
              <w:bottom w:val="nil"/>
              <w:right w:val="nil"/>
            </w:tcBorders>
            <w:shd w:val="clear" w:color="auto" w:fill="auto"/>
            <w:noWrap/>
            <w:hideMark/>
          </w:tcPr>
          <w:p w14:paraId="440D4ADA" w14:textId="77777777" w:rsidR="00DB652C" w:rsidRPr="002C4F8E" w:rsidRDefault="00DB652C" w:rsidP="00DB652C">
            <w:pPr>
              <w:spacing w:after="0" w:line="240" w:lineRule="auto"/>
              <w:rPr>
                <w:rFonts w:ascii="Times New Roman" w:eastAsia="Times New Roman" w:hAnsi="Times New Roman" w:cs="Times New Roman"/>
                <w:lang w:eastAsia="en-AU"/>
              </w:rPr>
            </w:pPr>
          </w:p>
        </w:tc>
        <w:tc>
          <w:tcPr>
            <w:tcW w:w="4536" w:type="dxa"/>
            <w:tcBorders>
              <w:top w:val="nil"/>
              <w:left w:val="nil"/>
              <w:bottom w:val="nil"/>
              <w:right w:val="nil"/>
            </w:tcBorders>
            <w:shd w:val="clear" w:color="auto" w:fill="auto"/>
            <w:noWrap/>
            <w:hideMark/>
          </w:tcPr>
          <w:p w14:paraId="4CFD5F8B" w14:textId="77777777" w:rsidR="00DB652C" w:rsidRPr="002C4F8E" w:rsidRDefault="00DB652C" w:rsidP="00DB652C">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High-range frequency with maximum energy*</w:t>
            </w:r>
          </w:p>
        </w:tc>
        <w:tc>
          <w:tcPr>
            <w:tcW w:w="5759" w:type="dxa"/>
            <w:tcBorders>
              <w:top w:val="nil"/>
              <w:left w:val="nil"/>
              <w:bottom w:val="nil"/>
              <w:right w:val="nil"/>
            </w:tcBorders>
            <w:shd w:val="clear" w:color="auto" w:fill="auto"/>
            <w:noWrap/>
            <w:hideMark/>
          </w:tcPr>
          <w:p w14:paraId="2F4722E0" w14:textId="77777777" w:rsidR="00DB652C" w:rsidRPr="002C4F8E" w:rsidRDefault="00DB652C" w:rsidP="00DB652C">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Frequency with the maximum power from 4000Hz to 8000Hz</w:t>
            </w:r>
          </w:p>
        </w:tc>
        <w:tc>
          <w:tcPr>
            <w:tcW w:w="2245" w:type="dxa"/>
            <w:tcBorders>
              <w:top w:val="nil"/>
              <w:left w:val="nil"/>
              <w:bottom w:val="nil"/>
              <w:right w:val="nil"/>
            </w:tcBorders>
            <w:shd w:val="clear" w:color="auto" w:fill="auto"/>
            <w:noWrap/>
            <w:hideMark/>
          </w:tcPr>
          <w:p w14:paraId="5711BADF" w14:textId="7BC77A80" w:rsidR="00DB652C" w:rsidRPr="002C4F8E" w:rsidRDefault="00DB652C" w:rsidP="00DB652C">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324B5E">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DB652C" w:rsidRPr="002C4F8E" w14:paraId="0D2F654E" w14:textId="77777777" w:rsidTr="00220606">
        <w:trPr>
          <w:trHeight w:val="288"/>
        </w:trPr>
        <w:tc>
          <w:tcPr>
            <w:tcW w:w="1418" w:type="dxa"/>
            <w:tcBorders>
              <w:top w:val="nil"/>
              <w:left w:val="nil"/>
              <w:right w:val="nil"/>
            </w:tcBorders>
            <w:shd w:val="clear" w:color="auto" w:fill="auto"/>
            <w:noWrap/>
            <w:hideMark/>
          </w:tcPr>
          <w:p w14:paraId="1675EB26" w14:textId="77777777" w:rsidR="00DB652C" w:rsidRPr="002C4F8E" w:rsidRDefault="00DB652C" w:rsidP="00DB652C">
            <w:pPr>
              <w:spacing w:after="0" w:line="240" w:lineRule="auto"/>
              <w:rPr>
                <w:rFonts w:ascii="Times New Roman" w:eastAsia="Times New Roman" w:hAnsi="Times New Roman" w:cs="Times New Roman"/>
                <w:lang w:eastAsia="en-AU"/>
              </w:rPr>
            </w:pPr>
          </w:p>
        </w:tc>
        <w:tc>
          <w:tcPr>
            <w:tcW w:w="4536" w:type="dxa"/>
            <w:tcBorders>
              <w:top w:val="nil"/>
              <w:left w:val="nil"/>
              <w:right w:val="nil"/>
            </w:tcBorders>
            <w:shd w:val="clear" w:color="auto" w:fill="auto"/>
            <w:noWrap/>
            <w:hideMark/>
          </w:tcPr>
          <w:p w14:paraId="44CAD1B1" w14:textId="77777777" w:rsidR="00DB652C" w:rsidRPr="002C4F8E" w:rsidRDefault="00DB652C" w:rsidP="00DB652C">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Low-range frequency with maximum energy*</w:t>
            </w:r>
          </w:p>
        </w:tc>
        <w:tc>
          <w:tcPr>
            <w:tcW w:w="5759" w:type="dxa"/>
            <w:tcBorders>
              <w:top w:val="nil"/>
              <w:left w:val="nil"/>
              <w:right w:val="nil"/>
            </w:tcBorders>
            <w:shd w:val="clear" w:color="auto" w:fill="auto"/>
            <w:noWrap/>
            <w:hideMark/>
          </w:tcPr>
          <w:p w14:paraId="33DB58AE" w14:textId="77777777" w:rsidR="00DB652C" w:rsidRPr="002C4F8E" w:rsidRDefault="00DB652C" w:rsidP="00DB652C">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Frequency with the maximum power from 1Hz to 75Hz</w:t>
            </w:r>
          </w:p>
        </w:tc>
        <w:tc>
          <w:tcPr>
            <w:tcW w:w="2245" w:type="dxa"/>
            <w:tcBorders>
              <w:top w:val="nil"/>
              <w:left w:val="nil"/>
              <w:right w:val="nil"/>
            </w:tcBorders>
            <w:shd w:val="clear" w:color="auto" w:fill="auto"/>
            <w:noWrap/>
            <w:hideMark/>
          </w:tcPr>
          <w:p w14:paraId="00E5DBD7" w14:textId="5038DA72" w:rsidR="00DB652C" w:rsidRPr="002C4F8E" w:rsidRDefault="00DB652C" w:rsidP="00DB652C">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324B5E">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DB652C" w:rsidRPr="002C4F8E" w14:paraId="24D5597B" w14:textId="77777777" w:rsidTr="00220606">
        <w:trPr>
          <w:trHeight w:val="288"/>
        </w:trPr>
        <w:tc>
          <w:tcPr>
            <w:tcW w:w="1418" w:type="dxa"/>
            <w:tcBorders>
              <w:top w:val="nil"/>
              <w:left w:val="nil"/>
              <w:bottom w:val="single" w:sz="4" w:space="0" w:color="auto"/>
              <w:right w:val="nil"/>
            </w:tcBorders>
            <w:shd w:val="clear" w:color="auto" w:fill="auto"/>
            <w:noWrap/>
            <w:hideMark/>
          </w:tcPr>
          <w:p w14:paraId="6E4E1C87" w14:textId="77777777" w:rsidR="00DB652C" w:rsidRPr="002C4F8E" w:rsidRDefault="00DB652C" w:rsidP="00DB652C">
            <w:pPr>
              <w:spacing w:after="0" w:line="240" w:lineRule="auto"/>
              <w:rPr>
                <w:rFonts w:ascii="Times New Roman" w:eastAsia="Times New Roman" w:hAnsi="Times New Roman" w:cs="Times New Roman"/>
                <w:lang w:eastAsia="en-AU"/>
              </w:rPr>
            </w:pPr>
          </w:p>
        </w:tc>
        <w:tc>
          <w:tcPr>
            <w:tcW w:w="4536" w:type="dxa"/>
            <w:tcBorders>
              <w:top w:val="nil"/>
              <w:left w:val="nil"/>
              <w:bottom w:val="single" w:sz="4" w:space="0" w:color="auto"/>
              <w:right w:val="nil"/>
            </w:tcBorders>
            <w:shd w:val="clear" w:color="auto" w:fill="auto"/>
            <w:noWrap/>
            <w:hideMark/>
          </w:tcPr>
          <w:p w14:paraId="45A95F6A" w14:textId="77777777" w:rsidR="00DB652C" w:rsidRPr="002C4F8E" w:rsidRDefault="00DB652C" w:rsidP="00DB652C">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Mid-range frequency with maximum energy*</w:t>
            </w:r>
          </w:p>
        </w:tc>
        <w:tc>
          <w:tcPr>
            <w:tcW w:w="5759" w:type="dxa"/>
            <w:tcBorders>
              <w:top w:val="nil"/>
              <w:left w:val="nil"/>
              <w:bottom w:val="single" w:sz="4" w:space="0" w:color="auto"/>
              <w:right w:val="nil"/>
            </w:tcBorders>
            <w:shd w:val="clear" w:color="auto" w:fill="auto"/>
            <w:noWrap/>
            <w:hideMark/>
          </w:tcPr>
          <w:p w14:paraId="0DBE4B30" w14:textId="77777777" w:rsidR="00DB652C" w:rsidRPr="002C4F8E" w:rsidRDefault="00DB652C" w:rsidP="00DB652C">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Frequency with the maximum power from 75Hz to 4000Hz</w:t>
            </w:r>
          </w:p>
        </w:tc>
        <w:tc>
          <w:tcPr>
            <w:tcW w:w="2245" w:type="dxa"/>
            <w:tcBorders>
              <w:top w:val="nil"/>
              <w:left w:val="nil"/>
              <w:bottom w:val="single" w:sz="4" w:space="0" w:color="auto"/>
              <w:right w:val="nil"/>
            </w:tcBorders>
            <w:shd w:val="clear" w:color="auto" w:fill="auto"/>
            <w:noWrap/>
            <w:hideMark/>
          </w:tcPr>
          <w:p w14:paraId="58573692" w14:textId="4405FE78" w:rsidR="00DB652C" w:rsidRPr="002C4F8E" w:rsidRDefault="00DB652C" w:rsidP="00DB652C">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324B5E">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8A1061" w:rsidRPr="002C4F8E" w14:paraId="7144908E" w14:textId="77777777" w:rsidTr="00220606">
        <w:trPr>
          <w:trHeight w:val="288"/>
        </w:trPr>
        <w:tc>
          <w:tcPr>
            <w:tcW w:w="1418" w:type="dxa"/>
            <w:tcBorders>
              <w:top w:val="single" w:sz="4" w:space="0" w:color="auto"/>
              <w:left w:val="nil"/>
              <w:bottom w:val="nil"/>
              <w:right w:val="nil"/>
            </w:tcBorders>
            <w:shd w:val="clear" w:color="auto" w:fill="auto"/>
            <w:noWrap/>
            <w:hideMark/>
          </w:tcPr>
          <w:p w14:paraId="27D68061"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Energy and Intensity</w:t>
            </w:r>
          </w:p>
        </w:tc>
        <w:tc>
          <w:tcPr>
            <w:tcW w:w="4536" w:type="dxa"/>
            <w:tcBorders>
              <w:top w:val="single" w:sz="4" w:space="0" w:color="auto"/>
              <w:left w:val="nil"/>
              <w:bottom w:val="nil"/>
              <w:right w:val="nil"/>
            </w:tcBorders>
            <w:shd w:val="clear" w:color="auto" w:fill="auto"/>
            <w:noWrap/>
            <w:hideMark/>
          </w:tcPr>
          <w:p w14:paraId="6B07C1A8"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Peak Amplitude</w:t>
            </w:r>
          </w:p>
        </w:tc>
        <w:tc>
          <w:tcPr>
            <w:tcW w:w="5759" w:type="dxa"/>
            <w:tcBorders>
              <w:top w:val="single" w:sz="4" w:space="0" w:color="auto"/>
              <w:left w:val="nil"/>
              <w:bottom w:val="nil"/>
              <w:right w:val="nil"/>
            </w:tcBorders>
            <w:shd w:val="clear" w:color="auto" w:fill="auto"/>
            <w:noWrap/>
            <w:hideMark/>
          </w:tcPr>
          <w:p w14:paraId="239D419E"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Absolute peak amplitude</w:t>
            </w:r>
          </w:p>
        </w:tc>
        <w:tc>
          <w:tcPr>
            <w:tcW w:w="2245" w:type="dxa"/>
            <w:tcBorders>
              <w:top w:val="single" w:sz="4" w:space="0" w:color="auto"/>
              <w:left w:val="nil"/>
              <w:bottom w:val="nil"/>
              <w:right w:val="nil"/>
            </w:tcBorders>
            <w:shd w:val="clear" w:color="auto" w:fill="auto"/>
            <w:noWrap/>
            <w:hideMark/>
          </w:tcPr>
          <w:p w14:paraId="62EB2057" w14:textId="1958DA93" w:rsidR="00E6038D" w:rsidRPr="002C4F8E" w:rsidRDefault="00324B5E" w:rsidP="00220606">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BD372F">
              <w:rPr>
                <w:rFonts w:ascii="Times New Roman" w:eastAsia="Times New Roman" w:hAnsi="Times New Roman" w:cs="Times New Roman"/>
                <w:color w:val="000000"/>
                <w:lang w:eastAsia="en-AU"/>
              </w:rPr>
              <w:instrText>ADDIN CSL_CITATION {"citationItems":[{"id":"ITEM-1","itemData":{"ISSN":"0167-6393","author":[{"dropping-particle":"","family":"Prendergast","given":"Garreth","non-dropping-particle":"","parse-names":false,"suffix":""},{"dropping-particle":"","family":"Johnson","given":"Sam R","non-dropping-particle":"","parse-names":false,"suffix":""},{"dropping-particle":"","family":"Green","given":"Gary G R","non-dropping-particle":"","parse-names":false,"suffix":""}],"container-title":"Speech Communication","id":"ITEM-1","issue":"6","issued":{"date-parts":[["2011"]]},"page":"903-913","publisher":"Elsevier","title":"Extracting amplitude modulations from speech in the time domain","type":"article-journal","volume":"53"},"uris":["http://www.mendeley.com/documents/?uuid=eb5ffefc-3edb-4a60-aaba-09141f0ebc24"]}],"mendeley":{"formattedCitation":"(9)","plainTextFormattedCitation":"(9)","previouslyFormattedCitation":"(9)"},"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324B5E">
              <w:rPr>
                <w:rFonts w:ascii="Times New Roman" w:eastAsia="Times New Roman" w:hAnsi="Times New Roman" w:cs="Times New Roman"/>
                <w:noProof/>
                <w:color w:val="000000"/>
                <w:lang w:eastAsia="en-AU"/>
              </w:rPr>
              <w:t>(9)</w:t>
            </w:r>
            <w:r>
              <w:rPr>
                <w:rFonts w:ascii="Times New Roman" w:eastAsia="Times New Roman" w:hAnsi="Times New Roman" w:cs="Times New Roman"/>
                <w:color w:val="000000"/>
                <w:lang w:eastAsia="en-AU"/>
              </w:rPr>
              <w:fldChar w:fldCharType="end"/>
            </w:r>
          </w:p>
        </w:tc>
      </w:tr>
      <w:tr w:rsidR="008A1061" w:rsidRPr="002C4F8E" w14:paraId="4347D444" w14:textId="77777777" w:rsidTr="00220606">
        <w:trPr>
          <w:trHeight w:val="288"/>
        </w:trPr>
        <w:tc>
          <w:tcPr>
            <w:tcW w:w="1418" w:type="dxa"/>
            <w:tcBorders>
              <w:top w:val="nil"/>
              <w:left w:val="nil"/>
              <w:bottom w:val="nil"/>
              <w:right w:val="nil"/>
            </w:tcBorders>
            <w:shd w:val="clear" w:color="auto" w:fill="auto"/>
            <w:noWrap/>
            <w:hideMark/>
          </w:tcPr>
          <w:p w14:paraId="6E6A8774"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07DB4E54"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Intensity</w:t>
            </w:r>
          </w:p>
        </w:tc>
        <w:tc>
          <w:tcPr>
            <w:tcW w:w="5759" w:type="dxa"/>
            <w:tcBorders>
              <w:top w:val="nil"/>
              <w:left w:val="nil"/>
              <w:bottom w:val="nil"/>
              <w:right w:val="nil"/>
            </w:tcBorders>
            <w:shd w:val="clear" w:color="auto" w:fill="auto"/>
            <w:noWrap/>
            <w:hideMark/>
          </w:tcPr>
          <w:p w14:paraId="03589043"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Variation of the energy flux produced by acoustic perturbations</w:t>
            </w:r>
          </w:p>
        </w:tc>
        <w:tc>
          <w:tcPr>
            <w:tcW w:w="2245" w:type="dxa"/>
            <w:tcBorders>
              <w:top w:val="nil"/>
              <w:left w:val="nil"/>
              <w:bottom w:val="nil"/>
              <w:right w:val="nil"/>
            </w:tcBorders>
            <w:shd w:val="clear" w:color="auto" w:fill="auto"/>
            <w:noWrap/>
            <w:hideMark/>
          </w:tcPr>
          <w:p w14:paraId="77A3001A" w14:textId="222FF107" w:rsidR="00E6038D" w:rsidRPr="002C4F8E" w:rsidRDefault="00BD372F" w:rsidP="00220606">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085673">
              <w:rPr>
                <w:rFonts w:ascii="Times New Roman" w:eastAsia="Times New Roman" w:hAnsi="Times New Roman" w:cs="Times New Roman"/>
                <w:color w:val="000000"/>
                <w:lang w:eastAsia="en-AU"/>
              </w:rPr>
              <w:instrText>ADDIN CSL_CITATION {"citationItems":[{"id":"ITEM-1","itemData":{"ISSN":"0080498558","author":[{"dropping-particle":"","family":"Lefebvre","given":"J P","non-dropping-particle":"","parse-names":false,"suffix":""}],"container-title":"Acoustics: Basic Physics, Theory, and Methods","id":"ITEM-1","issued":{"date-parts":[["1998"]]},"page":"1","publisher":"Elsevier","title":"Physical basis of acoustics","type":"article-journal"},"uris":["http://www.mendeley.com/documents/?uuid=3716bc37-f982-49f1-a0bf-1483c7e12a04"]}],"mendeley":{"formattedCitation":"(10)","plainTextFormattedCitation":"(10)","previouslyFormattedCitation":"(10)"},"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BD372F">
              <w:rPr>
                <w:rFonts w:ascii="Times New Roman" w:eastAsia="Times New Roman" w:hAnsi="Times New Roman" w:cs="Times New Roman"/>
                <w:noProof/>
                <w:color w:val="000000"/>
                <w:lang w:eastAsia="en-AU"/>
              </w:rPr>
              <w:t>(10)</w:t>
            </w:r>
            <w:r>
              <w:rPr>
                <w:rFonts w:ascii="Times New Roman" w:eastAsia="Times New Roman" w:hAnsi="Times New Roman" w:cs="Times New Roman"/>
                <w:color w:val="000000"/>
                <w:lang w:eastAsia="en-AU"/>
              </w:rPr>
              <w:fldChar w:fldCharType="end"/>
            </w:r>
          </w:p>
        </w:tc>
      </w:tr>
      <w:tr w:rsidR="00424A58" w:rsidRPr="002C4F8E" w14:paraId="1A59ACC3" w14:textId="77777777" w:rsidTr="00220606">
        <w:trPr>
          <w:trHeight w:val="288"/>
        </w:trPr>
        <w:tc>
          <w:tcPr>
            <w:tcW w:w="1418" w:type="dxa"/>
            <w:tcBorders>
              <w:top w:val="nil"/>
              <w:left w:val="nil"/>
              <w:bottom w:val="nil"/>
              <w:right w:val="nil"/>
            </w:tcBorders>
            <w:shd w:val="clear" w:color="auto" w:fill="auto"/>
            <w:noWrap/>
            <w:hideMark/>
          </w:tcPr>
          <w:p w14:paraId="35A7010E"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62E05372"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energy across the spectrum*</w:t>
            </w:r>
          </w:p>
        </w:tc>
        <w:tc>
          <w:tcPr>
            <w:tcW w:w="5759" w:type="dxa"/>
            <w:tcBorders>
              <w:top w:val="nil"/>
              <w:left w:val="nil"/>
              <w:bottom w:val="nil"/>
              <w:right w:val="nil"/>
            </w:tcBorders>
            <w:shd w:val="clear" w:color="auto" w:fill="auto"/>
            <w:noWrap/>
            <w:hideMark/>
          </w:tcPr>
          <w:p w14:paraId="52EE22B1"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power from 1Hz to 4000Hz</w:t>
            </w:r>
          </w:p>
        </w:tc>
        <w:tc>
          <w:tcPr>
            <w:tcW w:w="2245" w:type="dxa"/>
            <w:tcBorders>
              <w:top w:val="nil"/>
              <w:left w:val="nil"/>
              <w:bottom w:val="nil"/>
              <w:right w:val="nil"/>
            </w:tcBorders>
            <w:shd w:val="clear" w:color="auto" w:fill="auto"/>
            <w:noWrap/>
            <w:hideMark/>
          </w:tcPr>
          <w:p w14:paraId="14B5B7D2" w14:textId="021BB91E"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424A58" w:rsidRPr="002C4F8E" w14:paraId="44497ABC" w14:textId="77777777" w:rsidTr="00220606">
        <w:trPr>
          <w:trHeight w:val="288"/>
        </w:trPr>
        <w:tc>
          <w:tcPr>
            <w:tcW w:w="1418" w:type="dxa"/>
            <w:tcBorders>
              <w:top w:val="nil"/>
              <w:left w:val="nil"/>
              <w:bottom w:val="nil"/>
              <w:right w:val="nil"/>
            </w:tcBorders>
            <w:shd w:val="clear" w:color="auto" w:fill="auto"/>
            <w:noWrap/>
            <w:hideMark/>
          </w:tcPr>
          <w:p w14:paraId="7D457487" w14:textId="77777777" w:rsidR="00424A58" w:rsidRPr="002C4F8E" w:rsidRDefault="00424A58" w:rsidP="00424A58">
            <w:pPr>
              <w:spacing w:after="0" w:line="240" w:lineRule="auto"/>
              <w:rPr>
                <w:rFonts w:ascii="Times New Roman" w:eastAsia="Times New Roman" w:hAnsi="Times New Roman" w:cs="Times New Roman"/>
                <w:lang w:eastAsia="en-AU"/>
              </w:rPr>
            </w:pPr>
          </w:p>
        </w:tc>
        <w:tc>
          <w:tcPr>
            <w:tcW w:w="4536" w:type="dxa"/>
            <w:tcBorders>
              <w:top w:val="nil"/>
              <w:left w:val="nil"/>
              <w:bottom w:val="nil"/>
              <w:right w:val="nil"/>
            </w:tcBorders>
            <w:shd w:val="clear" w:color="auto" w:fill="auto"/>
            <w:noWrap/>
            <w:hideMark/>
          </w:tcPr>
          <w:p w14:paraId="6C944804"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energy in f0 range*</w:t>
            </w:r>
          </w:p>
        </w:tc>
        <w:tc>
          <w:tcPr>
            <w:tcW w:w="5759" w:type="dxa"/>
            <w:tcBorders>
              <w:top w:val="nil"/>
              <w:left w:val="nil"/>
              <w:bottom w:val="nil"/>
              <w:right w:val="nil"/>
            </w:tcBorders>
            <w:shd w:val="clear" w:color="auto" w:fill="auto"/>
            <w:noWrap/>
            <w:hideMark/>
          </w:tcPr>
          <w:p w14:paraId="0F9BADBA"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power from 75Hz to 500Hz</w:t>
            </w:r>
          </w:p>
        </w:tc>
        <w:tc>
          <w:tcPr>
            <w:tcW w:w="2245" w:type="dxa"/>
            <w:tcBorders>
              <w:top w:val="nil"/>
              <w:left w:val="nil"/>
              <w:bottom w:val="nil"/>
              <w:right w:val="nil"/>
            </w:tcBorders>
            <w:shd w:val="clear" w:color="auto" w:fill="auto"/>
            <w:noWrap/>
            <w:hideMark/>
          </w:tcPr>
          <w:p w14:paraId="62647E2D" w14:textId="216ADEB8"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424A58" w:rsidRPr="002C4F8E" w14:paraId="6B47DAAA" w14:textId="77777777" w:rsidTr="00220606">
        <w:trPr>
          <w:trHeight w:val="288"/>
        </w:trPr>
        <w:tc>
          <w:tcPr>
            <w:tcW w:w="1418" w:type="dxa"/>
            <w:tcBorders>
              <w:top w:val="nil"/>
              <w:left w:val="nil"/>
              <w:bottom w:val="nil"/>
              <w:right w:val="nil"/>
            </w:tcBorders>
            <w:shd w:val="clear" w:color="auto" w:fill="auto"/>
            <w:noWrap/>
            <w:hideMark/>
          </w:tcPr>
          <w:p w14:paraId="51F657D6" w14:textId="77777777" w:rsidR="00424A58" w:rsidRPr="002C4F8E" w:rsidRDefault="00424A58" w:rsidP="00424A58">
            <w:pPr>
              <w:spacing w:after="0" w:line="240" w:lineRule="auto"/>
              <w:rPr>
                <w:rFonts w:ascii="Times New Roman" w:eastAsia="Times New Roman" w:hAnsi="Times New Roman" w:cs="Times New Roman"/>
                <w:lang w:eastAsia="en-AU"/>
              </w:rPr>
            </w:pPr>
          </w:p>
        </w:tc>
        <w:tc>
          <w:tcPr>
            <w:tcW w:w="4536" w:type="dxa"/>
            <w:tcBorders>
              <w:top w:val="nil"/>
              <w:left w:val="nil"/>
              <w:bottom w:val="nil"/>
              <w:right w:val="nil"/>
            </w:tcBorders>
            <w:shd w:val="clear" w:color="auto" w:fill="auto"/>
            <w:noWrap/>
            <w:hideMark/>
          </w:tcPr>
          <w:p w14:paraId="729488E7"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energy in high frequency range*</w:t>
            </w:r>
          </w:p>
        </w:tc>
        <w:tc>
          <w:tcPr>
            <w:tcW w:w="5759" w:type="dxa"/>
            <w:tcBorders>
              <w:top w:val="nil"/>
              <w:left w:val="nil"/>
              <w:bottom w:val="nil"/>
              <w:right w:val="nil"/>
            </w:tcBorders>
            <w:shd w:val="clear" w:color="auto" w:fill="auto"/>
            <w:noWrap/>
            <w:hideMark/>
          </w:tcPr>
          <w:p w14:paraId="4754EFCB"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power from 4000Hz to 8000Hz</w:t>
            </w:r>
          </w:p>
        </w:tc>
        <w:tc>
          <w:tcPr>
            <w:tcW w:w="2245" w:type="dxa"/>
            <w:tcBorders>
              <w:top w:val="nil"/>
              <w:left w:val="nil"/>
              <w:bottom w:val="nil"/>
              <w:right w:val="nil"/>
            </w:tcBorders>
            <w:shd w:val="clear" w:color="auto" w:fill="auto"/>
            <w:noWrap/>
            <w:hideMark/>
          </w:tcPr>
          <w:p w14:paraId="20800B8D" w14:textId="3AAA37E8"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424A58" w:rsidRPr="002C4F8E" w14:paraId="156F0439" w14:textId="77777777" w:rsidTr="00220606">
        <w:trPr>
          <w:trHeight w:val="288"/>
        </w:trPr>
        <w:tc>
          <w:tcPr>
            <w:tcW w:w="1418" w:type="dxa"/>
            <w:tcBorders>
              <w:top w:val="nil"/>
              <w:left w:val="nil"/>
              <w:bottom w:val="nil"/>
              <w:right w:val="nil"/>
            </w:tcBorders>
            <w:shd w:val="clear" w:color="auto" w:fill="auto"/>
            <w:noWrap/>
            <w:hideMark/>
          </w:tcPr>
          <w:p w14:paraId="3E9C9FAC" w14:textId="77777777" w:rsidR="00424A58" w:rsidRPr="002C4F8E" w:rsidRDefault="00424A58" w:rsidP="00424A58">
            <w:pPr>
              <w:spacing w:after="0" w:line="240" w:lineRule="auto"/>
              <w:rPr>
                <w:rFonts w:ascii="Times New Roman" w:eastAsia="Times New Roman" w:hAnsi="Times New Roman" w:cs="Times New Roman"/>
                <w:lang w:eastAsia="en-AU"/>
              </w:rPr>
            </w:pPr>
          </w:p>
        </w:tc>
        <w:tc>
          <w:tcPr>
            <w:tcW w:w="4536" w:type="dxa"/>
            <w:tcBorders>
              <w:top w:val="nil"/>
              <w:left w:val="nil"/>
              <w:bottom w:val="nil"/>
              <w:right w:val="nil"/>
            </w:tcBorders>
            <w:shd w:val="clear" w:color="auto" w:fill="auto"/>
            <w:noWrap/>
            <w:hideMark/>
          </w:tcPr>
          <w:p w14:paraId="19A66353"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energy in low frequency range*</w:t>
            </w:r>
          </w:p>
        </w:tc>
        <w:tc>
          <w:tcPr>
            <w:tcW w:w="5759" w:type="dxa"/>
            <w:tcBorders>
              <w:top w:val="nil"/>
              <w:left w:val="nil"/>
              <w:bottom w:val="nil"/>
              <w:right w:val="nil"/>
            </w:tcBorders>
            <w:shd w:val="clear" w:color="auto" w:fill="auto"/>
            <w:noWrap/>
            <w:hideMark/>
          </w:tcPr>
          <w:p w14:paraId="1F3D38D4"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power from 1Hz to 75Hz</w:t>
            </w:r>
          </w:p>
        </w:tc>
        <w:tc>
          <w:tcPr>
            <w:tcW w:w="2245" w:type="dxa"/>
            <w:tcBorders>
              <w:top w:val="nil"/>
              <w:left w:val="nil"/>
              <w:bottom w:val="nil"/>
              <w:right w:val="nil"/>
            </w:tcBorders>
            <w:shd w:val="clear" w:color="auto" w:fill="auto"/>
            <w:noWrap/>
            <w:hideMark/>
          </w:tcPr>
          <w:p w14:paraId="0AB9D00C" w14:textId="4ECA5AAD"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424A58" w:rsidRPr="002C4F8E" w14:paraId="085843A1" w14:textId="77777777" w:rsidTr="00220606">
        <w:trPr>
          <w:trHeight w:val="288"/>
        </w:trPr>
        <w:tc>
          <w:tcPr>
            <w:tcW w:w="1418" w:type="dxa"/>
            <w:tcBorders>
              <w:top w:val="nil"/>
              <w:left w:val="nil"/>
              <w:bottom w:val="nil"/>
              <w:right w:val="nil"/>
            </w:tcBorders>
            <w:shd w:val="clear" w:color="auto" w:fill="auto"/>
            <w:noWrap/>
            <w:hideMark/>
          </w:tcPr>
          <w:p w14:paraId="5F01CA75" w14:textId="77777777" w:rsidR="00424A58" w:rsidRPr="002C4F8E" w:rsidRDefault="00424A58" w:rsidP="00424A58">
            <w:pPr>
              <w:spacing w:after="0" w:line="240" w:lineRule="auto"/>
              <w:rPr>
                <w:rFonts w:ascii="Times New Roman" w:eastAsia="Times New Roman" w:hAnsi="Times New Roman" w:cs="Times New Roman"/>
                <w:lang w:eastAsia="en-AU"/>
              </w:rPr>
            </w:pPr>
          </w:p>
        </w:tc>
        <w:tc>
          <w:tcPr>
            <w:tcW w:w="4536" w:type="dxa"/>
            <w:tcBorders>
              <w:top w:val="nil"/>
              <w:left w:val="nil"/>
              <w:bottom w:val="nil"/>
              <w:right w:val="nil"/>
            </w:tcBorders>
            <w:shd w:val="clear" w:color="auto" w:fill="auto"/>
            <w:noWrap/>
            <w:hideMark/>
          </w:tcPr>
          <w:p w14:paraId="62C0DCD8"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energy in mid frequency range*</w:t>
            </w:r>
          </w:p>
        </w:tc>
        <w:tc>
          <w:tcPr>
            <w:tcW w:w="5759" w:type="dxa"/>
            <w:tcBorders>
              <w:top w:val="nil"/>
              <w:left w:val="nil"/>
              <w:bottom w:val="nil"/>
              <w:right w:val="nil"/>
            </w:tcBorders>
            <w:shd w:val="clear" w:color="auto" w:fill="auto"/>
            <w:noWrap/>
            <w:hideMark/>
          </w:tcPr>
          <w:p w14:paraId="1BE52B5B"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power from 75Hz to 4000Hz</w:t>
            </w:r>
          </w:p>
        </w:tc>
        <w:tc>
          <w:tcPr>
            <w:tcW w:w="2245" w:type="dxa"/>
            <w:tcBorders>
              <w:top w:val="nil"/>
              <w:left w:val="nil"/>
              <w:bottom w:val="nil"/>
              <w:right w:val="nil"/>
            </w:tcBorders>
            <w:shd w:val="clear" w:color="auto" w:fill="auto"/>
            <w:noWrap/>
            <w:hideMark/>
          </w:tcPr>
          <w:p w14:paraId="41BCF037" w14:textId="224CBA18"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424A58" w:rsidRPr="002C4F8E" w14:paraId="383207A9" w14:textId="77777777" w:rsidTr="00220606">
        <w:trPr>
          <w:trHeight w:val="288"/>
        </w:trPr>
        <w:tc>
          <w:tcPr>
            <w:tcW w:w="1418" w:type="dxa"/>
            <w:tcBorders>
              <w:top w:val="nil"/>
              <w:left w:val="nil"/>
              <w:bottom w:val="nil"/>
              <w:right w:val="nil"/>
            </w:tcBorders>
            <w:shd w:val="clear" w:color="auto" w:fill="auto"/>
            <w:noWrap/>
            <w:hideMark/>
          </w:tcPr>
          <w:p w14:paraId="3D271C34" w14:textId="77777777" w:rsidR="00424A58" w:rsidRPr="002C4F8E" w:rsidRDefault="00424A58" w:rsidP="00424A58">
            <w:pPr>
              <w:spacing w:after="0" w:line="240" w:lineRule="auto"/>
              <w:rPr>
                <w:rFonts w:ascii="Times New Roman" w:eastAsia="Times New Roman" w:hAnsi="Times New Roman" w:cs="Times New Roman"/>
                <w:lang w:eastAsia="en-AU"/>
              </w:rPr>
            </w:pPr>
          </w:p>
        </w:tc>
        <w:tc>
          <w:tcPr>
            <w:tcW w:w="4536" w:type="dxa"/>
            <w:tcBorders>
              <w:top w:val="nil"/>
              <w:left w:val="nil"/>
              <w:bottom w:val="nil"/>
              <w:right w:val="nil"/>
            </w:tcBorders>
            <w:shd w:val="clear" w:color="auto" w:fill="auto"/>
            <w:noWrap/>
            <w:hideMark/>
          </w:tcPr>
          <w:p w14:paraId="2071D0E2"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energy across the spectrum*</w:t>
            </w:r>
          </w:p>
        </w:tc>
        <w:tc>
          <w:tcPr>
            <w:tcW w:w="5759" w:type="dxa"/>
            <w:tcBorders>
              <w:top w:val="nil"/>
              <w:left w:val="nil"/>
              <w:bottom w:val="nil"/>
              <w:right w:val="nil"/>
            </w:tcBorders>
            <w:shd w:val="clear" w:color="auto" w:fill="auto"/>
            <w:noWrap/>
            <w:hideMark/>
          </w:tcPr>
          <w:p w14:paraId="49672759"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power from 1Hz to 4000Hz</w:t>
            </w:r>
          </w:p>
        </w:tc>
        <w:tc>
          <w:tcPr>
            <w:tcW w:w="2245" w:type="dxa"/>
            <w:tcBorders>
              <w:top w:val="nil"/>
              <w:left w:val="nil"/>
              <w:bottom w:val="nil"/>
              <w:right w:val="nil"/>
            </w:tcBorders>
            <w:shd w:val="clear" w:color="auto" w:fill="auto"/>
            <w:noWrap/>
            <w:hideMark/>
          </w:tcPr>
          <w:p w14:paraId="155D527B" w14:textId="3567AF5F"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424A58" w:rsidRPr="002C4F8E" w14:paraId="44799DA0" w14:textId="77777777" w:rsidTr="00220606">
        <w:trPr>
          <w:trHeight w:val="288"/>
        </w:trPr>
        <w:tc>
          <w:tcPr>
            <w:tcW w:w="1418" w:type="dxa"/>
            <w:tcBorders>
              <w:top w:val="nil"/>
              <w:left w:val="nil"/>
              <w:bottom w:val="nil"/>
              <w:right w:val="nil"/>
            </w:tcBorders>
            <w:shd w:val="clear" w:color="auto" w:fill="auto"/>
            <w:noWrap/>
            <w:hideMark/>
          </w:tcPr>
          <w:p w14:paraId="725CA31A" w14:textId="77777777" w:rsidR="00424A58" w:rsidRPr="002C4F8E" w:rsidRDefault="00424A58" w:rsidP="00424A58">
            <w:pPr>
              <w:spacing w:after="0" w:line="240" w:lineRule="auto"/>
              <w:rPr>
                <w:rFonts w:ascii="Times New Roman" w:eastAsia="Times New Roman" w:hAnsi="Times New Roman" w:cs="Times New Roman"/>
                <w:lang w:eastAsia="en-AU"/>
              </w:rPr>
            </w:pPr>
          </w:p>
        </w:tc>
        <w:tc>
          <w:tcPr>
            <w:tcW w:w="4536" w:type="dxa"/>
            <w:tcBorders>
              <w:top w:val="nil"/>
              <w:left w:val="nil"/>
              <w:bottom w:val="nil"/>
              <w:right w:val="nil"/>
            </w:tcBorders>
            <w:shd w:val="clear" w:color="auto" w:fill="auto"/>
            <w:noWrap/>
            <w:hideMark/>
          </w:tcPr>
          <w:p w14:paraId="66EA0BF0"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energy in f0 range*</w:t>
            </w:r>
          </w:p>
        </w:tc>
        <w:tc>
          <w:tcPr>
            <w:tcW w:w="5759" w:type="dxa"/>
            <w:tcBorders>
              <w:top w:val="nil"/>
              <w:left w:val="nil"/>
              <w:bottom w:val="nil"/>
              <w:right w:val="nil"/>
            </w:tcBorders>
            <w:shd w:val="clear" w:color="auto" w:fill="auto"/>
            <w:noWrap/>
            <w:hideMark/>
          </w:tcPr>
          <w:p w14:paraId="3BD8DAD1"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power from 75Hz to 500Hz</w:t>
            </w:r>
          </w:p>
        </w:tc>
        <w:tc>
          <w:tcPr>
            <w:tcW w:w="2245" w:type="dxa"/>
            <w:tcBorders>
              <w:top w:val="nil"/>
              <w:left w:val="nil"/>
              <w:bottom w:val="nil"/>
              <w:right w:val="nil"/>
            </w:tcBorders>
            <w:shd w:val="clear" w:color="auto" w:fill="auto"/>
            <w:noWrap/>
            <w:hideMark/>
          </w:tcPr>
          <w:p w14:paraId="094F5B98" w14:textId="029D4CB8"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424A58" w:rsidRPr="002C4F8E" w14:paraId="063CABE9" w14:textId="77777777" w:rsidTr="00220606">
        <w:trPr>
          <w:trHeight w:val="288"/>
        </w:trPr>
        <w:tc>
          <w:tcPr>
            <w:tcW w:w="1418" w:type="dxa"/>
            <w:tcBorders>
              <w:top w:val="nil"/>
              <w:left w:val="nil"/>
              <w:bottom w:val="nil"/>
              <w:right w:val="nil"/>
            </w:tcBorders>
            <w:shd w:val="clear" w:color="auto" w:fill="auto"/>
            <w:noWrap/>
            <w:hideMark/>
          </w:tcPr>
          <w:p w14:paraId="08A0E0F0" w14:textId="77777777" w:rsidR="00424A58" w:rsidRPr="002C4F8E" w:rsidRDefault="00424A58" w:rsidP="00424A58">
            <w:pPr>
              <w:spacing w:after="0" w:line="240" w:lineRule="auto"/>
              <w:rPr>
                <w:rFonts w:ascii="Times New Roman" w:eastAsia="Times New Roman" w:hAnsi="Times New Roman" w:cs="Times New Roman"/>
                <w:lang w:eastAsia="en-AU"/>
              </w:rPr>
            </w:pPr>
          </w:p>
        </w:tc>
        <w:tc>
          <w:tcPr>
            <w:tcW w:w="4536" w:type="dxa"/>
            <w:tcBorders>
              <w:top w:val="nil"/>
              <w:left w:val="nil"/>
              <w:bottom w:val="nil"/>
              <w:right w:val="nil"/>
            </w:tcBorders>
            <w:shd w:val="clear" w:color="auto" w:fill="auto"/>
            <w:noWrap/>
            <w:hideMark/>
          </w:tcPr>
          <w:p w14:paraId="1EE21A8D"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energy in high frequency range*</w:t>
            </w:r>
          </w:p>
        </w:tc>
        <w:tc>
          <w:tcPr>
            <w:tcW w:w="5759" w:type="dxa"/>
            <w:tcBorders>
              <w:top w:val="nil"/>
              <w:left w:val="nil"/>
              <w:bottom w:val="nil"/>
              <w:right w:val="nil"/>
            </w:tcBorders>
            <w:shd w:val="clear" w:color="auto" w:fill="auto"/>
            <w:noWrap/>
            <w:hideMark/>
          </w:tcPr>
          <w:p w14:paraId="63215203"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power from 4000Hz to 8000Hz</w:t>
            </w:r>
          </w:p>
        </w:tc>
        <w:tc>
          <w:tcPr>
            <w:tcW w:w="2245" w:type="dxa"/>
            <w:tcBorders>
              <w:top w:val="nil"/>
              <w:left w:val="nil"/>
              <w:bottom w:val="nil"/>
              <w:right w:val="nil"/>
            </w:tcBorders>
            <w:shd w:val="clear" w:color="auto" w:fill="auto"/>
            <w:noWrap/>
            <w:hideMark/>
          </w:tcPr>
          <w:p w14:paraId="10541F2D" w14:textId="55FA729E"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424A58" w:rsidRPr="002C4F8E" w14:paraId="0B3B367B" w14:textId="77777777" w:rsidTr="00220606">
        <w:trPr>
          <w:trHeight w:val="288"/>
        </w:trPr>
        <w:tc>
          <w:tcPr>
            <w:tcW w:w="1418" w:type="dxa"/>
            <w:tcBorders>
              <w:top w:val="nil"/>
              <w:left w:val="nil"/>
              <w:right w:val="nil"/>
            </w:tcBorders>
            <w:shd w:val="clear" w:color="auto" w:fill="auto"/>
            <w:noWrap/>
            <w:hideMark/>
          </w:tcPr>
          <w:p w14:paraId="609BC3B6" w14:textId="77777777" w:rsidR="00424A58" w:rsidRPr="002C4F8E" w:rsidRDefault="00424A58" w:rsidP="00424A58">
            <w:pPr>
              <w:spacing w:after="0" w:line="240" w:lineRule="auto"/>
              <w:rPr>
                <w:rFonts w:ascii="Times New Roman" w:eastAsia="Times New Roman" w:hAnsi="Times New Roman" w:cs="Times New Roman"/>
                <w:lang w:eastAsia="en-AU"/>
              </w:rPr>
            </w:pPr>
          </w:p>
        </w:tc>
        <w:tc>
          <w:tcPr>
            <w:tcW w:w="4536" w:type="dxa"/>
            <w:tcBorders>
              <w:top w:val="nil"/>
              <w:left w:val="nil"/>
              <w:right w:val="nil"/>
            </w:tcBorders>
            <w:shd w:val="clear" w:color="auto" w:fill="auto"/>
            <w:noWrap/>
            <w:hideMark/>
          </w:tcPr>
          <w:p w14:paraId="52B0148D"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energy in low frequency range*</w:t>
            </w:r>
          </w:p>
        </w:tc>
        <w:tc>
          <w:tcPr>
            <w:tcW w:w="5759" w:type="dxa"/>
            <w:tcBorders>
              <w:top w:val="nil"/>
              <w:left w:val="nil"/>
              <w:right w:val="nil"/>
            </w:tcBorders>
            <w:shd w:val="clear" w:color="auto" w:fill="auto"/>
            <w:noWrap/>
            <w:hideMark/>
          </w:tcPr>
          <w:p w14:paraId="48115398"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power from 1Hz to 75Hz</w:t>
            </w:r>
          </w:p>
        </w:tc>
        <w:tc>
          <w:tcPr>
            <w:tcW w:w="2245" w:type="dxa"/>
            <w:tcBorders>
              <w:top w:val="nil"/>
              <w:left w:val="nil"/>
              <w:right w:val="nil"/>
            </w:tcBorders>
            <w:shd w:val="clear" w:color="auto" w:fill="auto"/>
            <w:noWrap/>
            <w:hideMark/>
          </w:tcPr>
          <w:p w14:paraId="5BC0B70C" w14:textId="5A7D13F5"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424A58" w:rsidRPr="002C4F8E" w14:paraId="72DDC889" w14:textId="77777777" w:rsidTr="00220606">
        <w:trPr>
          <w:trHeight w:val="288"/>
        </w:trPr>
        <w:tc>
          <w:tcPr>
            <w:tcW w:w="1418" w:type="dxa"/>
            <w:tcBorders>
              <w:top w:val="nil"/>
              <w:left w:val="nil"/>
              <w:right w:val="nil"/>
            </w:tcBorders>
            <w:shd w:val="clear" w:color="auto" w:fill="auto"/>
            <w:noWrap/>
            <w:hideMark/>
          </w:tcPr>
          <w:p w14:paraId="79A5CE78" w14:textId="77777777" w:rsidR="00424A58" w:rsidRPr="002C4F8E" w:rsidRDefault="00424A58" w:rsidP="00424A58">
            <w:pPr>
              <w:spacing w:after="0" w:line="240" w:lineRule="auto"/>
              <w:rPr>
                <w:rFonts w:ascii="Times New Roman" w:eastAsia="Times New Roman" w:hAnsi="Times New Roman" w:cs="Times New Roman"/>
                <w:lang w:eastAsia="en-AU"/>
              </w:rPr>
            </w:pPr>
          </w:p>
        </w:tc>
        <w:tc>
          <w:tcPr>
            <w:tcW w:w="4536" w:type="dxa"/>
            <w:tcBorders>
              <w:top w:val="nil"/>
              <w:left w:val="nil"/>
              <w:right w:val="nil"/>
            </w:tcBorders>
            <w:shd w:val="clear" w:color="auto" w:fill="auto"/>
            <w:noWrap/>
            <w:hideMark/>
          </w:tcPr>
          <w:p w14:paraId="68EEBDDD"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energy in mid frequency range*</w:t>
            </w:r>
          </w:p>
        </w:tc>
        <w:tc>
          <w:tcPr>
            <w:tcW w:w="5759" w:type="dxa"/>
            <w:tcBorders>
              <w:top w:val="nil"/>
              <w:left w:val="nil"/>
              <w:right w:val="nil"/>
            </w:tcBorders>
            <w:shd w:val="clear" w:color="auto" w:fill="auto"/>
            <w:noWrap/>
            <w:hideMark/>
          </w:tcPr>
          <w:p w14:paraId="29F6B342" w14:textId="77777777" w:rsidR="00424A58" w:rsidRPr="002C4F8E" w:rsidRDefault="00424A58" w:rsidP="00424A5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power from 75Hz to 4000Hz</w:t>
            </w:r>
          </w:p>
        </w:tc>
        <w:tc>
          <w:tcPr>
            <w:tcW w:w="2245" w:type="dxa"/>
            <w:tcBorders>
              <w:top w:val="nil"/>
              <w:left w:val="nil"/>
              <w:right w:val="nil"/>
            </w:tcBorders>
            <w:shd w:val="clear" w:color="auto" w:fill="auto"/>
            <w:noWrap/>
            <w:hideMark/>
          </w:tcPr>
          <w:p w14:paraId="7847BAFF" w14:textId="6B6FA11B" w:rsidR="00424A58" w:rsidRPr="002C4F8E" w:rsidRDefault="002C1EDC" w:rsidP="00424A5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conversations","type":"article-journal","volume":"37"},"uris":["http://www.mendeley.com/documents/?uuid=37c5d301-d548-4f73-b76e-7a1bb671d542"]},{"id":"ITEM-2","itemData":{"author":[{"dropping-particle":"","family":"Schultz","given":"Benjamin G","non-dropping-particle":"","parse-names":false,"suffix":""},{"dropping-particle":"","family":"Kotz","given":"Sonja A","non-dropping-particle":"","parse-names":false,"suffix":""}],"container-title":"Proceedings - 14th International Conference of Music Perception &amp; Cognition","id":"ITEM-2","issued":{"date-parts":[["2016"]]},"title":"Finding the beat in German poetry: The role of meter, rhyme, and lexical content","type":"article-journal"},"uris":["http://www.mendeley.com/documents/?uuid=2f10f30e-e9ac-43fd-b5a2-d729e2e4e6ab"]},{"id":"ITEM-3","itemData":{"ISSN":"0929-8215","author":[{"dropping-particle":"","family":"Ellis","given":"Daniel P W","non-dropping-particle":"","parse-names":false,"suffix":""}],"container-title":"Journal of New Music Research","id":"ITEM-3","issue":"1","issued":{"date-parts":[["2007"]]},"page":"51-60","publisher":"Taylor &amp; Francis","title":"Beat tracking by dynamic programming","type":"article-journal","volume":"36"},"uris":["http://www.mendeley.com/documents/?uuid=68f99c0e-bcfa-49db-882c-9893aece6b06"]}],"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1117">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r w:rsidR="008A1061" w:rsidRPr="002C4F8E" w14:paraId="4E425F28" w14:textId="77777777" w:rsidTr="00220606">
        <w:trPr>
          <w:trHeight w:val="288"/>
        </w:trPr>
        <w:tc>
          <w:tcPr>
            <w:tcW w:w="1418" w:type="dxa"/>
            <w:tcBorders>
              <w:left w:val="nil"/>
              <w:bottom w:val="nil"/>
              <w:right w:val="nil"/>
            </w:tcBorders>
            <w:shd w:val="clear" w:color="auto" w:fill="auto"/>
            <w:noWrap/>
          </w:tcPr>
          <w:p w14:paraId="69C83CF2"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4536" w:type="dxa"/>
            <w:tcBorders>
              <w:left w:val="nil"/>
              <w:bottom w:val="nil"/>
              <w:right w:val="nil"/>
            </w:tcBorders>
            <w:shd w:val="clear" w:color="auto" w:fill="auto"/>
            <w:noWrap/>
          </w:tcPr>
          <w:p w14:paraId="41D6FE52"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5759" w:type="dxa"/>
            <w:tcBorders>
              <w:left w:val="nil"/>
              <w:bottom w:val="nil"/>
              <w:right w:val="nil"/>
            </w:tcBorders>
            <w:shd w:val="clear" w:color="auto" w:fill="auto"/>
            <w:noWrap/>
          </w:tcPr>
          <w:p w14:paraId="6FE76F3F"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2245" w:type="dxa"/>
            <w:tcBorders>
              <w:left w:val="nil"/>
              <w:bottom w:val="nil"/>
              <w:right w:val="nil"/>
            </w:tcBorders>
            <w:shd w:val="clear" w:color="auto" w:fill="auto"/>
            <w:noWrap/>
          </w:tcPr>
          <w:p w14:paraId="1CA3AD77"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r>
      <w:tr w:rsidR="008A1061" w:rsidRPr="002C4F8E" w14:paraId="019AFFC1" w14:textId="77777777" w:rsidTr="00220606">
        <w:trPr>
          <w:trHeight w:val="288"/>
        </w:trPr>
        <w:tc>
          <w:tcPr>
            <w:tcW w:w="1418" w:type="dxa"/>
            <w:tcBorders>
              <w:left w:val="nil"/>
              <w:bottom w:val="nil"/>
              <w:right w:val="nil"/>
            </w:tcBorders>
            <w:shd w:val="clear" w:color="auto" w:fill="auto"/>
            <w:noWrap/>
          </w:tcPr>
          <w:p w14:paraId="0A0862C0"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4536" w:type="dxa"/>
            <w:tcBorders>
              <w:left w:val="nil"/>
              <w:bottom w:val="nil"/>
              <w:right w:val="nil"/>
            </w:tcBorders>
            <w:shd w:val="clear" w:color="auto" w:fill="auto"/>
            <w:noWrap/>
          </w:tcPr>
          <w:p w14:paraId="7EC11AB7"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5759" w:type="dxa"/>
            <w:tcBorders>
              <w:left w:val="nil"/>
              <w:bottom w:val="nil"/>
              <w:right w:val="nil"/>
            </w:tcBorders>
            <w:shd w:val="clear" w:color="auto" w:fill="auto"/>
            <w:noWrap/>
          </w:tcPr>
          <w:p w14:paraId="512ADCCF"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2245" w:type="dxa"/>
            <w:tcBorders>
              <w:left w:val="nil"/>
              <w:bottom w:val="nil"/>
              <w:right w:val="nil"/>
            </w:tcBorders>
            <w:shd w:val="clear" w:color="auto" w:fill="auto"/>
            <w:noWrap/>
          </w:tcPr>
          <w:p w14:paraId="7465D4A0"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r>
      <w:tr w:rsidR="008A1061" w:rsidRPr="002C4F8E" w14:paraId="519129F8" w14:textId="77777777" w:rsidTr="00220606">
        <w:trPr>
          <w:trHeight w:val="288"/>
        </w:trPr>
        <w:tc>
          <w:tcPr>
            <w:tcW w:w="1418" w:type="dxa"/>
            <w:tcBorders>
              <w:top w:val="single" w:sz="4" w:space="0" w:color="auto"/>
              <w:left w:val="nil"/>
              <w:bottom w:val="nil"/>
              <w:right w:val="nil"/>
            </w:tcBorders>
            <w:shd w:val="clear" w:color="auto" w:fill="auto"/>
            <w:noWrap/>
          </w:tcPr>
          <w:p w14:paraId="6F839ED3" w14:textId="203C9730" w:rsidR="008A1061" w:rsidRPr="002C4F8E" w:rsidRDefault="00DA6198" w:rsidP="00220606">
            <w:pPr>
              <w:spacing w:after="0" w:line="240" w:lineRule="auto"/>
              <w:rPr>
                <w:rFonts w:ascii="Times New Roman" w:eastAsia="Times New Roman" w:hAnsi="Times New Roman" w:cs="Times New Roman"/>
                <w:b/>
                <w:bCs/>
                <w:i/>
                <w:iCs/>
                <w:color w:val="000000"/>
                <w:lang w:eastAsia="en-AU"/>
              </w:rPr>
            </w:pPr>
            <w:r w:rsidRPr="002C4F8E">
              <w:rPr>
                <w:rFonts w:ascii="Times New Roman" w:eastAsia="Times New Roman" w:hAnsi="Times New Roman" w:cs="Times New Roman"/>
                <w:b/>
                <w:bCs/>
                <w:i/>
                <w:iCs/>
                <w:color w:val="000000"/>
                <w:lang w:eastAsia="en-AU"/>
              </w:rPr>
              <w:t>continued</w:t>
            </w:r>
          </w:p>
        </w:tc>
        <w:tc>
          <w:tcPr>
            <w:tcW w:w="4536" w:type="dxa"/>
            <w:tcBorders>
              <w:top w:val="single" w:sz="4" w:space="0" w:color="auto"/>
              <w:left w:val="nil"/>
              <w:bottom w:val="nil"/>
              <w:right w:val="nil"/>
            </w:tcBorders>
            <w:shd w:val="clear" w:color="auto" w:fill="auto"/>
            <w:noWrap/>
          </w:tcPr>
          <w:p w14:paraId="2770F4AC"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5759" w:type="dxa"/>
            <w:tcBorders>
              <w:top w:val="single" w:sz="4" w:space="0" w:color="auto"/>
              <w:left w:val="nil"/>
              <w:bottom w:val="nil"/>
              <w:right w:val="nil"/>
            </w:tcBorders>
            <w:shd w:val="clear" w:color="auto" w:fill="auto"/>
            <w:noWrap/>
          </w:tcPr>
          <w:p w14:paraId="3367333E"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2245" w:type="dxa"/>
            <w:tcBorders>
              <w:top w:val="single" w:sz="4" w:space="0" w:color="auto"/>
              <w:left w:val="nil"/>
              <w:bottom w:val="nil"/>
              <w:right w:val="nil"/>
            </w:tcBorders>
            <w:shd w:val="clear" w:color="auto" w:fill="auto"/>
            <w:noWrap/>
          </w:tcPr>
          <w:p w14:paraId="19259350"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r>
      <w:tr w:rsidR="008A1061" w:rsidRPr="002C4F8E" w14:paraId="653A7234" w14:textId="77777777" w:rsidTr="00220606">
        <w:trPr>
          <w:trHeight w:val="288"/>
        </w:trPr>
        <w:tc>
          <w:tcPr>
            <w:tcW w:w="1418" w:type="dxa"/>
            <w:tcBorders>
              <w:top w:val="single" w:sz="4" w:space="0" w:color="auto"/>
              <w:left w:val="nil"/>
              <w:bottom w:val="nil"/>
              <w:right w:val="nil"/>
            </w:tcBorders>
            <w:shd w:val="clear" w:color="auto" w:fill="auto"/>
            <w:noWrap/>
          </w:tcPr>
          <w:p w14:paraId="71225108"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4536" w:type="dxa"/>
            <w:tcBorders>
              <w:top w:val="single" w:sz="4" w:space="0" w:color="auto"/>
              <w:left w:val="nil"/>
              <w:bottom w:val="nil"/>
              <w:right w:val="nil"/>
            </w:tcBorders>
            <w:shd w:val="clear" w:color="auto" w:fill="auto"/>
            <w:noWrap/>
          </w:tcPr>
          <w:p w14:paraId="4C8BA49B"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5759" w:type="dxa"/>
            <w:tcBorders>
              <w:top w:val="single" w:sz="4" w:space="0" w:color="auto"/>
              <w:left w:val="nil"/>
              <w:bottom w:val="nil"/>
              <w:right w:val="nil"/>
            </w:tcBorders>
            <w:shd w:val="clear" w:color="auto" w:fill="auto"/>
            <w:noWrap/>
          </w:tcPr>
          <w:p w14:paraId="24369C29"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c>
          <w:tcPr>
            <w:tcW w:w="2245" w:type="dxa"/>
            <w:tcBorders>
              <w:top w:val="single" w:sz="4" w:space="0" w:color="auto"/>
              <w:left w:val="nil"/>
              <w:bottom w:val="nil"/>
              <w:right w:val="nil"/>
            </w:tcBorders>
            <w:shd w:val="clear" w:color="auto" w:fill="auto"/>
            <w:noWrap/>
          </w:tcPr>
          <w:p w14:paraId="5E11A02B" w14:textId="77777777" w:rsidR="008A1061" w:rsidRPr="002C4F8E" w:rsidRDefault="008A1061" w:rsidP="00220606">
            <w:pPr>
              <w:spacing w:after="0" w:line="240" w:lineRule="auto"/>
              <w:rPr>
                <w:rFonts w:ascii="Times New Roman" w:eastAsia="Times New Roman" w:hAnsi="Times New Roman" w:cs="Times New Roman"/>
                <w:color w:val="000000"/>
                <w:lang w:eastAsia="en-AU"/>
              </w:rPr>
            </w:pPr>
          </w:p>
        </w:tc>
      </w:tr>
      <w:tr w:rsidR="008A1061" w:rsidRPr="002C4F8E" w14:paraId="15A2E3FF" w14:textId="77777777" w:rsidTr="00220606">
        <w:trPr>
          <w:trHeight w:val="288"/>
        </w:trPr>
        <w:tc>
          <w:tcPr>
            <w:tcW w:w="1418" w:type="dxa"/>
            <w:tcBorders>
              <w:top w:val="single" w:sz="4" w:space="0" w:color="auto"/>
              <w:left w:val="nil"/>
              <w:bottom w:val="nil"/>
              <w:right w:val="nil"/>
            </w:tcBorders>
            <w:shd w:val="clear" w:color="auto" w:fill="auto"/>
            <w:noWrap/>
            <w:hideMark/>
          </w:tcPr>
          <w:p w14:paraId="4163325F"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lastRenderedPageBreak/>
              <w:t>Spectral Features</w:t>
            </w:r>
          </w:p>
        </w:tc>
        <w:tc>
          <w:tcPr>
            <w:tcW w:w="4536" w:type="dxa"/>
            <w:tcBorders>
              <w:top w:val="single" w:sz="4" w:space="0" w:color="auto"/>
              <w:left w:val="nil"/>
              <w:bottom w:val="nil"/>
              <w:right w:val="nil"/>
            </w:tcBorders>
            <w:shd w:val="clear" w:color="auto" w:fill="auto"/>
            <w:noWrap/>
            <w:hideMark/>
          </w:tcPr>
          <w:p w14:paraId="15903111"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Alpha ratio</w:t>
            </w:r>
          </w:p>
        </w:tc>
        <w:tc>
          <w:tcPr>
            <w:tcW w:w="5759" w:type="dxa"/>
            <w:tcBorders>
              <w:top w:val="single" w:sz="4" w:space="0" w:color="auto"/>
              <w:left w:val="nil"/>
              <w:bottom w:val="nil"/>
              <w:right w:val="nil"/>
            </w:tcBorders>
            <w:shd w:val="clear" w:color="auto" w:fill="auto"/>
            <w:noWrap/>
            <w:hideMark/>
          </w:tcPr>
          <w:p w14:paraId="57B728C0"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Ratio of energy between &lt;1kHz and 1-4kHz</w:t>
            </w:r>
          </w:p>
        </w:tc>
        <w:tc>
          <w:tcPr>
            <w:tcW w:w="2245" w:type="dxa"/>
            <w:tcBorders>
              <w:top w:val="single" w:sz="4" w:space="0" w:color="auto"/>
              <w:left w:val="nil"/>
              <w:bottom w:val="nil"/>
              <w:right w:val="nil"/>
            </w:tcBorders>
            <w:shd w:val="clear" w:color="auto" w:fill="auto"/>
            <w:noWrap/>
            <w:hideMark/>
          </w:tcPr>
          <w:p w14:paraId="28A323D8" w14:textId="78828209" w:rsidR="00E6038D" w:rsidRPr="002C4F8E" w:rsidRDefault="00085673" w:rsidP="00220606">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37440C">
              <w:rPr>
                <w:rFonts w:ascii="Times New Roman" w:eastAsia="Times New Roman" w:hAnsi="Times New Roman" w:cs="Times New Roman"/>
                <w:color w:val="000000"/>
                <w:lang w:eastAsia="en-AU"/>
              </w:rPr>
              <w:instrText>ADDIN CSL_CITATION {"citationItems":[{"id":"ITEM-1","itemData":{"DOI":"10.1121/1.3506349","ISSN":"0001-4966","PMID":"21218906","abstract":"Exposing healthy adults to extended periods of wakefulness is known to induce changes in psychomotor functioning [Maruff et al. (2005). J. Sleep Res. 14, 21-27]. The effect of fatigue on speech is less well understood. To date, no studies have examined the pitch and timing of neurologically healthy individuals over 24 h of sustained wakefulness. Therefore, speech samples were systematically acquired (e.g., every 4 h) from 18 healthy adults over 24 h. Stimuli included automated and extemporaneous speech tasks, sustained vowel, and a read passage. Measures of timing, frequency and spectral energy were derived acoustically using PRAAT and significant changes were observed on all tasks. The effect of fatigue on speech was found to be strongest just before dawn (after 22 h). Specifically, total speech time, mean pause length, and total signal time all increased as a function of increasing levels of fatigue on the reading tasks; percentage pause and mean pause length decreased on the counting task; F4 variation decreased on the sustained vowel tasks /a:/; and alpha ratio increased on the extemporaneous speech tasks. These findings suggest that acoustic methodologies provide objective data on central nervous system functioning and that changes in speech production occur in healthy adults after just 24 h of sustained wakefulness.","author":[{"dropping-particle":"","family":"Vogel","given":"Adam P.","non-dropping-particle":"","parse-names":false,"suffix":""},{"dropping-particle":"","family":"Fletcher","given":"Janet","non-dropping-particle":"","parse-names":false,"suffix":""},{"dropping-particle":"","family":"Maruff","given":"Paul","non-dropping-particle":"","parse-names":false,"suffix":""}],"container-title":"The Journal of the Acoustical Society of America","id":"ITEM-1","issue":"6","issued":{"date-parts":[["2010"]]},"page":"3747-3756","title":"Acoustic analysis of the effects of sustained wakefulness on speech","type":"article-journal","volume":"128"},"uris":["http://www.mendeley.com/documents/?uuid=328ff01f-ed7d-4192-b005-9d71181b59f1"]}],"mendeley":{"formattedCitation":"(11)","plainTextFormattedCitation":"(11)","previouslyFormattedCitation":"(11)"},"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85673">
              <w:rPr>
                <w:rFonts w:ascii="Times New Roman" w:eastAsia="Times New Roman" w:hAnsi="Times New Roman" w:cs="Times New Roman"/>
                <w:noProof/>
                <w:color w:val="000000"/>
                <w:lang w:eastAsia="en-AU"/>
              </w:rPr>
              <w:t>(11)</w:t>
            </w:r>
            <w:r>
              <w:rPr>
                <w:rFonts w:ascii="Times New Roman" w:eastAsia="Times New Roman" w:hAnsi="Times New Roman" w:cs="Times New Roman"/>
                <w:color w:val="000000"/>
                <w:lang w:eastAsia="en-AU"/>
              </w:rPr>
              <w:fldChar w:fldCharType="end"/>
            </w:r>
          </w:p>
        </w:tc>
      </w:tr>
      <w:tr w:rsidR="008A1061" w:rsidRPr="002C4F8E" w14:paraId="0F520E46" w14:textId="77777777" w:rsidTr="00220606">
        <w:trPr>
          <w:trHeight w:val="288"/>
        </w:trPr>
        <w:tc>
          <w:tcPr>
            <w:tcW w:w="1418" w:type="dxa"/>
            <w:tcBorders>
              <w:top w:val="nil"/>
              <w:left w:val="nil"/>
              <w:bottom w:val="nil"/>
              <w:right w:val="nil"/>
            </w:tcBorders>
            <w:shd w:val="clear" w:color="auto" w:fill="auto"/>
            <w:noWrap/>
            <w:hideMark/>
          </w:tcPr>
          <w:p w14:paraId="25116EE7"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28D84F6A"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Centroid</w:t>
            </w:r>
          </w:p>
        </w:tc>
        <w:tc>
          <w:tcPr>
            <w:tcW w:w="5759" w:type="dxa"/>
            <w:tcBorders>
              <w:top w:val="nil"/>
              <w:left w:val="nil"/>
              <w:bottom w:val="nil"/>
              <w:right w:val="nil"/>
            </w:tcBorders>
            <w:shd w:val="clear" w:color="auto" w:fill="auto"/>
            <w:noWrap/>
            <w:hideMark/>
          </w:tcPr>
          <w:p w14:paraId="0D6B5187" w14:textId="77777777" w:rsidR="00E6038D" w:rsidRPr="002C4F8E" w:rsidRDefault="00E6038D" w:rsidP="00220606">
            <w:pPr>
              <w:spacing w:after="0" w:line="240" w:lineRule="auto"/>
              <w:rPr>
                <w:rFonts w:ascii="Times New Roman" w:eastAsia="Times New Roman" w:hAnsi="Times New Roman" w:cs="Times New Roman"/>
                <w:color w:val="000000"/>
                <w:lang w:eastAsia="en-AU"/>
              </w:rPr>
            </w:pPr>
            <w:proofErr w:type="spellStart"/>
            <w:r w:rsidRPr="002C4F8E">
              <w:rPr>
                <w:rFonts w:ascii="Times New Roman" w:eastAsia="Times New Roman" w:hAnsi="Times New Roman" w:cs="Times New Roman"/>
                <w:color w:val="000000"/>
                <w:lang w:eastAsia="en-AU"/>
              </w:rPr>
              <w:t>Center</w:t>
            </w:r>
            <w:proofErr w:type="spellEnd"/>
            <w:r w:rsidRPr="002C4F8E">
              <w:rPr>
                <w:rFonts w:ascii="Times New Roman" w:eastAsia="Times New Roman" w:hAnsi="Times New Roman" w:cs="Times New Roman"/>
                <w:color w:val="000000"/>
                <w:lang w:eastAsia="en-AU"/>
              </w:rPr>
              <w:t xml:space="preserve"> of mass of the frequency spectrum</w:t>
            </w:r>
          </w:p>
        </w:tc>
        <w:tc>
          <w:tcPr>
            <w:tcW w:w="2245" w:type="dxa"/>
            <w:tcBorders>
              <w:top w:val="nil"/>
              <w:left w:val="nil"/>
              <w:bottom w:val="nil"/>
              <w:right w:val="nil"/>
            </w:tcBorders>
            <w:shd w:val="clear" w:color="auto" w:fill="auto"/>
            <w:noWrap/>
            <w:hideMark/>
          </w:tcPr>
          <w:p w14:paraId="69236E79" w14:textId="6F01128F" w:rsidR="00E6038D" w:rsidRPr="002C4F8E" w:rsidRDefault="0037440C" w:rsidP="00220606">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000337E7"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r w:rsidR="00B31B3F" w:rsidRPr="002C4F8E" w14:paraId="563DEF4F" w14:textId="77777777" w:rsidTr="00220606">
        <w:trPr>
          <w:trHeight w:val="288"/>
        </w:trPr>
        <w:tc>
          <w:tcPr>
            <w:tcW w:w="1418" w:type="dxa"/>
            <w:tcBorders>
              <w:top w:val="nil"/>
              <w:left w:val="nil"/>
              <w:bottom w:val="nil"/>
              <w:right w:val="nil"/>
            </w:tcBorders>
            <w:shd w:val="clear" w:color="auto" w:fill="auto"/>
            <w:noWrap/>
            <w:hideMark/>
          </w:tcPr>
          <w:p w14:paraId="59FA3FA3"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7068307F"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Crest</w:t>
            </w:r>
          </w:p>
        </w:tc>
        <w:tc>
          <w:tcPr>
            <w:tcW w:w="5759" w:type="dxa"/>
            <w:tcBorders>
              <w:top w:val="nil"/>
              <w:left w:val="nil"/>
              <w:bottom w:val="nil"/>
              <w:right w:val="nil"/>
            </w:tcBorders>
            <w:shd w:val="clear" w:color="auto" w:fill="auto"/>
            <w:noWrap/>
            <w:hideMark/>
          </w:tcPr>
          <w:p w14:paraId="681961A2"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Peakiness of the frequency spectrum</w:t>
            </w:r>
          </w:p>
        </w:tc>
        <w:tc>
          <w:tcPr>
            <w:tcW w:w="2245" w:type="dxa"/>
            <w:tcBorders>
              <w:top w:val="nil"/>
              <w:left w:val="nil"/>
              <w:bottom w:val="nil"/>
              <w:right w:val="nil"/>
            </w:tcBorders>
            <w:shd w:val="clear" w:color="auto" w:fill="auto"/>
            <w:noWrap/>
            <w:hideMark/>
          </w:tcPr>
          <w:p w14:paraId="30C37A77" w14:textId="0F6B97EF" w:rsidR="00B31B3F" w:rsidRPr="002C4F8E" w:rsidRDefault="00B31B3F" w:rsidP="00B31B3F">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r w:rsidR="00B31B3F" w:rsidRPr="002C4F8E" w14:paraId="031C39D9" w14:textId="77777777" w:rsidTr="00220606">
        <w:trPr>
          <w:trHeight w:val="288"/>
        </w:trPr>
        <w:tc>
          <w:tcPr>
            <w:tcW w:w="1418" w:type="dxa"/>
            <w:tcBorders>
              <w:top w:val="nil"/>
              <w:left w:val="nil"/>
              <w:bottom w:val="nil"/>
              <w:right w:val="nil"/>
            </w:tcBorders>
            <w:shd w:val="clear" w:color="auto" w:fill="auto"/>
            <w:noWrap/>
            <w:hideMark/>
          </w:tcPr>
          <w:p w14:paraId="21129FDD"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628BA5EB"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Decrease</w:t>
            </w:r>
          </w:p>
        </w:tc>
        <w:tc>
          <w:tcPr>
            <w:tcW w:w="5759" w:type="dxa"/>
            <w:tcBorders>
              <w:top w:val="nil"/>
              <w:left w:val="nil"/>
              <w:bottom w:val="nil"/>
              <w:right w:val="nil"/>
            </w:tcBorders>
            <w:shd w:val="clear" w:color="auto" w:fill="auto"/>
            <w:noWrap/>
            <w:hideMark/>
          </w:tcPr>
          <w:p w14:paraId="226910E6"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Average slope between high frequencies and the low frequencies</w:t>
            </w:r>
          </w:p>
        </w:tc>
        <w:tc>
          <w:tcPr>
            <w:tcW w:w="2245" w:type="dxa"/>
            <w:tcBorders>
              <w:top w:val="nil"/>
              <w:left w:val="nil"/>
              <w:bottom w:val="nil"/>
              <w:right w:val="nil"/>
            </w:tcBorders>
            <w:shd w:val="clear" w:color="auto" w:fill="auto"/>
            <w:noWrap/>
            <w:hideMark/>
          </w:tcPr>
          <w:p w14:paraId="33BA09F1" w14:textId="36E6DA12" w:rsidR="00B31B3F" w:rsidRPr="002C4F8E" w:rsidRDefault="00B31B3F" w:rsidP="00B31B3F">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r w:rsidR="00B31B3F" w:rsidRPr="002C4F8E" w14:paraId="0BB04725" w14:textId="77777777" w:rsidTr="00220606">
        <w:trPr>
          <w:trHeight w:val="288"/>
        </w:trPr>
        <w:tc>
          <w:tcPr>
            <w:tcW w:w="1418" w:type="dxa"/>
            <w:tcBorders>
              <w:top w:val="nil"/>
              <w:left w:val="nil"/>
              <w:bottom w:val="nil"/>
              <w:right w:val="nil"/>
            </w:tcBorders>
            <w:shd w:val="clear" w:color="auto" w:fill="auto"/>
            <w:noWrap/>
            <w:hideMark/>
          </w:tcPr>
          <w:p w14:paraId="6CE3DE65"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7CD7BB1B"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Entropy</w:t>
            </w:r>
          </w:p>
        </w:tc>
        <w:tc>
          <w:tcPr>
            <w:tcW w:w="5759" w:type="dxa"/>
            <w:tcBorders>
              <w:top w:val="nil"/>
              <w:left w:val="nil"/>
              <w:bottom w:val="nil"/>
              <w:right w:val="nil"/>
            </w:tcBorders>
            <w:shd w:val="clear" w:color="auto" w:fill="auto"/>
            <w:noWrap/>
            <w:hideMark/>
          </w:tcPr>
          <w:p w14:paraId="7B31F9A9"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Complexity of the frequency spectrum</w:t>
            </w:r>
          </w:p>
        </w:tc>
        <w:tc>
          <w:tcPr>
            <w:tcW w:w="2245" w:type="dxa"/>
            <w:tcBorders>
              <w:top w:val="nil"/>
              <w:left w:val="nil"/>
              <w:bottom w:val="nil"/>
              <w:right w:val="nil"/>
            </w:tcBorders>
            <w:shd w:val="clear" w:color="auto" w:fill="auto"/>
            <w:noWrap/>
            <w:hideMark/>
          </w:tcPr>
          <w:p w14:paraId="4743B62A" w14:textId="349FE160" w:rsidR="00B31B3F" w:rsidRPr="002C4F8E" w:rsidRDefault="00B31B3F" w:rsidP="00B31B3F">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r w:rsidR="00B31B3F" w:rsidRPr="002C4F8E" w14:paraId="5A664BE9" w14:textId="77777777" w:rsidTr="00220606">
        <w:trPr>
          <w:trHeight w:val="288"/>
        </w:trPr>
        <w:tc>
          <w:tcPr>
            <w:tcW w:w="1418" w:type="dxa"/>
            <w:tcBorders>
              <w:top w:val="nil"/>
              <w:left w:val="nil"/>
              <w:bottom w:val="nil"/>
              <w:right w:val="nil"/>
            </w:tcBorders>
            <w:shd w:val="clear" w:color="auto" w:fill="auto"/>
            <w:noWrap/>
            <w:hideMark/>
          </w:tcPr>
          <w:p w14:paraId="04A620C6"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74440698"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Flatness</w:t>
            </w:r>
          </w:p>
        </w:tc>
        <w:tc>
          <w:tcPr>
            <w:tcW w:w="5759" w:type="dxa"/>
            <w:tcBorders>
              <w:top w:val="nil"/>
              <w:left w:val="nil"/>
              <w:bottom w:val="nil"/>
              <w:right w:val="nil"/>
            </w:tcBorders>
            <w:shd w:val="clear" w:color="auto" w:fill="auto"/>
            <w:noWrap/>
            <w:hideMark/>
          </w:tcPr>
          <w:p w14:paraId="70BDFE09"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Uniformity of the frequency spectrum</w:t>
            </w:r>
          </w:p>
        </w:tc>
        <w:tc>
          <w:tcPr>
            <w:tcW w:w="2245" w:type="dxa"/>
            <w:tcBorders>
              <w:top w:val="nil"/>
              <w:left w:val="nil"/>
              <w:bottom w:val="nil"/>
              <w:right w:val="nil"/>
            </w:tcBorders>
            <w:shd w:val="clear" w:color="auto" w:fill="auto"/>
            <w:noWrap/>
            <w:hideMark/>
          </w:tcPr>
          <w:p w14:paraId="43C7932F" w14:textId="7A7DDAAA" w:rsidR="00B31B3F" w:rsidRPr="002C4F8E" w:rsidRDefault="00B31B3F" w:rsidP="00B31B3F">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r w:rsidR="00B31B3F" w:rsidRPr="002C4F8E" w14:paraId="30DC14A4" w14:textId="77777777" w:rsidTr="00220606">
        <w:trPr>
          <w:trHeight w:val="288"/>
        </w:trPr>
        <w:tc>
          <w:tcPr>
            <w:tcW w:w="1418" w:type="dxa"/>
            <w:tcBorders>
              <w:top w:val="nil"/>
              <w:left w:val="nil"/>
              <w:bottom w:val="nil"/>
              <w:right w:val="nil"/>
            </w:tcBorders>
            <w:shd w:val="clear" w:color="auto" w:fill="auto"/>
            <w:noWrap/>
            <w:hideMark/>
          </w:tcPr>
          <w:p w14:paraId="217B21AF"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0BC7E99B"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Flux</w:t>
            </w:r>
          </w:p>
        </w:tc>
        <w:tc>
          <w:tcPr>
            <w:tcW w:w="5759" w:type="dxa"/>
            <w:tcBorders>
              <w:top w:val="nil"/>
              <w:left w:val="nil"/>
              <w:bottom w:val="nil"/>
              <w:right w:val="nil"/>
            </w:tcBorders>
            <w:shd w:val="clear" w:color="auto" w:fill="auto"/>
            <w:noWrap/>
            <w:hideMark/>
          </w:tcPr>
          <w:p w14:paraId="0F59872C"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Local change in the power spectrum</w:t>
            </w:r>
          </w:p>
        </w:tc>
        <w:tc>
          <w:tcPr>
            <w:tcW w:w="2245" w:type="dxa"/>
            <w:tcBorders>
              <w:top w:val="nil"/>
              <w:left w:val="nil"/>
              <w:bottom w:val="nil"/>
              <w:right w:val="nil"/>
            </w:tcBorders>
            <w:shd w:val="clear" w:color="auto" w:fill="auto"/>
            <w:noWrap/>
            <w:hideMark/>
          </w:tcPr>
          <w:p w14:paraId="78A36EBC" w14:textId="633506BB" w:rsidR="00B31B3F" w:rsidRPr="002C4F8E" w:rsidRDefault="00B31B3F" w:rsidP="00B31B3F">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r w:rsidR="00B31B3F" w:rsidRPr="002C4F8E" w14:paraId="70D93A8C" w14:textId="77777777" w:rsidTr="00220606">
        <w:trPr>
          <w:trHeight w:val="288"/>
        </w:trPr>
        <w:tc>
          <w:tcPr>
            <w:tcW w:w="1418" w:type="dxa"/>
            <w:tcBorders>
              <w:top w:val="nil"/>
              <w:left w:val="nil"/>
              <w:bottom w:val="nil"/>
              <w:right w:val="nil"/>
            </w:tcBorders>
            <w:shd w:val="clear" w:color="auto" w:fill="auto"/>
            <w:noWrap/>
            <w:hideMark/>
          </w:tcPr>
          <w:p w14:paraId="06109240"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44C75D58"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Kurtosis</w:t>
            </w:r>
          </w:p>
        </w:tc>
        <w:tc>
          <w:tcPr>
            <w:tcW w:w="5759" w:type="dxa"/>
            <w:tcBorders>
              <w:top w:val="nil"/>
              <w:left w:val="nil"/>
              <w:bottom w:val="nil"/>
              <w:right w:val="nil"/>
            </w:tcBorders>
            <w:shd w:val="clear" w:color="auto" w:fill="auto"/>
            <w:noWrap/>
            <w:hideMark/>
          </w:tcPr>
          <w:p w14:paraId="2F54C65F"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Flatness of the frequency spectrum around its mean value</w:t>
            </w:r>
          </w:p>
        </w:tc>
        <w:tc>
          <w:tcPr>
            <w:tcW w:w="2245" w:type="dxa"/>
            <w:tcBorders>
              <w:top w:val="nil"/>
              <w:left w:val="nil"/>
              <w:bottom w:val="nil"/>
              <w:right w:val="nil"/>
            </w:tcBorders>
            <w:shd w:val="clear" w:color="auto" w:fill="auto"/>
            <w:noWrap/>
            <w:hideMark/>
          </w:tcPr>
          <w:p w14:paraId="624AF656" w14:textId="0D3F25CC" w:rsidR="00B31B3F" w:rsidRPr="002C4F8E" w:rsidRDefault="00B31B3F" w:rsidP="00B31B3F">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r w:rsidR="00B31B3F" w:rsidRPr="002C4F8E" w14:paraId="51E1D88E" w14:textId="77777777" w:rsidTr="00220606">
        <w:trPr>
          <w:trHeight w:val="288"/>
        </w:trPr>
        <w:tc>
          <w:tcPr>
            <w:tcW w:w="1418" w:type="dxa"/>
            <w:tcBorders>
              <w:top w:val="nil"/>
              <w:left w:val="nil"/>
              <w:bottom w:val="nil"/>
              <w:right w:val="nil"/>
            </w:tcBorders>
            <w:shd w:val="clear" w:color="auto" w:fill="auto"/>
            <w:noWrap/>
            <w:hideMark/>
          </w:tcPr>
          <w:p w14:paraId="58A80FFC"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nil"/>
              <w:right w:val="nil"/>
            </w:tcBorders>
            <w:shd w:val="clear" w:color="auto" w:fill="auto"/>
            <w:noWrap/>
            <w:hideMark/>
          </w:tcPr>
          <w:p w14:paraId="427A0B97"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Skewness</w:t>
            </w:r>
          </w:p>
        </w:tc>
        <w:tc>
          <w:tcPr>
            <w:tcW w:w="5759" w:type="dxa"/>
            <w:tcBorders>
              <w:top w:val="nil"/>
              <w:left w:val="nil"/>
              <w:bottom w:val="nil"/>
              <w:right w:val="nil"/>
            </w:tcBorders>
            <w:shd w:val="clear" w:color="auto" w:fill="auto"/>
            <w:noWrap/>
            <w:hideMark/>
          </w:tcPr>
          <w:p w14:paraId="5F1B7FE9"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Asymmetry of the frequency spectrum around its mean value</w:t>
            </w:r>
          </w:p>
        </w:tc>
        <w:tc>
          <w:tcPr>
            <w:tcW w:w="2245" w:type="dxa"/>
            <w:tcBorders>
              <w:top w:val="nil"/>
              <w:left w:val="nil"/>
              <w:bottom w:val="nil"/>
              <w:right w:val="nil"/>
            </w:tcBorders>
            <w:shd w:val="clear" w:color="auto" w:fill="auto"/>
            <w:noWrap/>
            <w:hideMark/>
          </w:tcPr>
          <w:p w14:paraId="3D07089A" w14:textId="41B5C684" w:rsidR="00B31B3F" w:rsidRPr="002C4F8E" w:rsidRDefault="00B31B3F" w:rsidP="00B31B3F">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r w:rsidR="00B31B3F" w:rsidRPr="002C4F8E" w14:paraId="52D427A0" w14:textId="77777777" w:rsidTr="00220606">
        <w:trPr>
          <w:trHeight w:val="288"/>
        </w:trPr>
        <w:tc>
          <w:tcPr>
            <w:tcW w:w="1418" w:type="dxa"/>
            <w:tcBorders>
              <w:top w:val="nil"/>
              <w:left w:val="nil"/>
              <w:right w:val="nil"/>
            </w:tcBorders>
            <w:shd w:val="clear" w:color="auto" w:fill="auto"/>
            <w:noWrap/>
            <w:hideMark/>
          </w:tcPr>
          <w:p w14:paraId="603DACE8"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p>
        </w:tc>
        <w:tc>
          <w:tcPr>
            <w:tcW w:w="4536" w:type="dxa"/>
            <w:tcBorders>
              <w:top w:val="nil"/>
              <w:left w:val="nil"/>
              <w:right w:val="nil"/>
            </w:tcBorders>
            <w:shd w:val="clear" w:color="auto" w:fill="auto"/>
            <w:noWrap/>
            <w:hideMark/>
          </w:tcPr>
          <w:p w14:paraId="391F1AA5"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Slope</w:t>
            </w:r>
          </w:p>
        </w:tc>
        <w:tc>
          <w:tcPr>
            <w:tcW w:w="5759" w:type="dxa"/>
            <w:tcBorders>
              <w:top w:val="nil"/>
              <w:left w:val="nil"/>
              <w:right w:val="nil"/>
            </w:tcBorders>
            <w:shd w:val="clear" w:color="auto" w:fill="auto"/>
            <w:noWrap/>
            <w:hideMark/>
          </w:tcPr>
          <w:p w14:paraId="794E0806"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Linear regression over the spectral amplitude values</w:t>
            </w:r>
          </w:p>
        </w:tc>
        <w:tc>
          <w:tcPr>
            <w:tcW w:w="2245" w:type="dxa"/>
            <w:tcBorders>
              <w:top w:val="nil"/>
              <w:left w:val="nil"/>
              <w:right w:val="nil"/>
            </w:tcBorders>
            <w:shd w:val="clear" w:color="auto" w:fill="auto"/>
            <w:noWrap/>
            <w:hideMark/>
          </w:tcPr>
          <w:p w14:paraId="4196D773" w14:textId="1C8208A9" w:rsidR="00B31B3F" w:rsidRPr="002C4F8E" w:rsidRDefault="00B31B3F" w:rsidP="00B31B3F">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r w:rsidR="00B31B3F" w:rsidRPr="002C4F8E" w14:paraId="18F5A282" w14:textId="77777777" w:rsidTr="00220606">
        <w:trPr>
          <w:trHeight w:val="288"/>
        </w:trPr>
        <w:tc>
          <w:tcPr>
            <w:tcW w:w="1418" w:type="dxa"/>
            <w:tcBorders>
              <w:top w:val="nil"/>
              <w:left w:val="nil"/>
              <w:bottom w:val="single" w:sz="4" w:space="0" w:color="auto"/>
              <w:right w:val="nil"/>
            </w:tcBorders>
            <w:shd w:val="clear" w:color="auto" w:fill="auto"/>
            <w:noWrap/>
            <w:hideMark/>
          </w:tcPr>
          <w:p w14:paraId="3000FE97"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p>
        </w:tc>
        <w:tc>
          <w:tcPr>
            <w:tcW w:w="4536" w:type="dxa"/>
            <w:tcBorders>
              <w:top w:val="nil"/>
              <w:left w:val="nil"/>
              <w:bottom w:val="single" w:sz="4" w:space="0" w:color="auto"/>
              <w:right w:val="nil"/>
            </w:tcBorders>
            <w:shd w:val="clear" w:color="auto" w:fill="auto"/>
            <w:noWrap/>
            <w:hideMark/>
          </w:tcPr>
          <w:p w14:paraId="3133BC0D"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Spread</w:t>
            </w:r>
          </w:p>
        </w:tc>
        <w:tc>
          <w:tcPr>
            <w:tcW w:w="5759" w:type="dxa"/>
            <w:tcBorders>
              <w:top w:val="nil"/>
              <w:left w:val="nil"/>
              <w:bottom w:val="single" w:sz="4" w:space="0" w:color="auto"/>
              <w:right w:val="nil"/>
            </w:tcBorders>
            <w:shd w:val="clear" w:color="auto" w:fill="auto"/>
            <w:noWrap/>
            <w:hideMark/>
          </w:tcPr>
          <w:p w14:paraId="28C2065B" w14:textId="77777777" w:rsidR="00B31B3F" w:rsidRPr="002C4F8E" w:rsidRDefault="00B31B3F" w:rsidP="00B31B3F">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Spread of the frequency spectrum around its mean value</w:t>
            </w:r>
          </w:p>
        </w:tc>
        <w:tc>
          <w:tcPr>
            <w:tcW w:w="2245" w:type="dxa"/>
            <w:tcBorders>
              <w:top w:val="nil"/>
              <w:left w:val="nil"/>
              <w:bottom w:val="single" w:sz="4" w:space="0" w:color="auto"/>
              <w:right w:val="nil"/>
            </w:tcBorders>
            <w:shd w:val="clear" w:color="auto" w:fill="auto"/>
            <w:noWrap/>
            <w:hideMark/>
          </w:tcPr>
          <w:p w14:paraId="367A9D69" w14:textId="015DEC64" w:rsidR="00B31B3F" w:rsidRPr="002C4F8E" w:rsidRDefault="00B31B3F" w:rsidP="00B31B3F">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430A16">
              <w:rPr>
                <w:rFonts w:ascii="Times New Roman" w:eastAsia="Times New Roman" w:hAnsi="Times New Roman" w:cs="Times New Roman"/>
                <w:color w:val="000000"/>
                <w:lang w:eastAsia="en-AU"/>
              </w:rPr>
              <w:instrText>ADDIN CSL_CITATION {"citationItems":[{"id":"ITEM-1","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applications","id":"ITEM-1","issued":{"date-parts":[["2008"]]},"page":"261-268","publisher":"Springer","title":"A matlab toolbox for music information retrieval","type":"chapter"},"uris":["http://www.mendeley.com/documents/?uuid=7da77ba9-b840-4415-9bef-0eb226ef274f"]},{"id":"ITEM-2","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America","id":"ITEM-2","issue":"5","issued":{"date-parts":[["2011"]]},"page":"2902-2916","publisher":"Acoustical Society of America","title":"The timbre toolbox: Extracting audio descriptors from musical signals","type":"article-journal","volume":"130"},"uris":["http://www.mendeley.com/documents/?uuid=a5e3022d-d1bc-4766-bec0-022f34735b50"]},{"id":"ITEM-3","itemData":{"ISSN":"0010-9452","author":[{"dropping-particle":"","family":"Schultz","given":"Benjamin G","non-dropping-particle":"","parse-names":false,"suffix":""},{"dropping-particle":"","family":"Brown","given":"Rachel M","non-dropping-particle":"","parse-names":false,"suffix":""},{"dropping-particle":"","family":"Kotz","given":"Sonja A","non-dropping-particle":"","parse-names":false,"suffix":""}],"container-title":"Cortex","id":"ITEM-3","issued":{"date-parts":[["2021"]]},"page":"320-332","publisher":"Elsevier","title":"Dynamic acoustic salience evokes motor responses","type":"article-journal","volume":"134"},"uris":["http://www.mendeley.com/documents/?uuid=7350af28-2e7a-4972-9fb1-cbde4d532c22"]}],"mendeley":{"formattedCitation":"(12–14)","plainTextFormattedCitation":"(12–14)","previouslyFormattedCitation":"(12–14)"},"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0337E7">
              <w:rPr>
                <w:rFonts w:ascii="Times New Roman" w:eastAsia="Times New Roman" w:hAnsi="Times New Roman" w:cs="Times New Roman"/>
                <w:noProof/>
                <w:color w:val="000000"/>
                <w:lang w:eastAsia="en-AU"/>
              </w:rPr>
              <w:t>(12–14)</w:t>
            </w:r>
            <w:r>
              <w:rPr>
                <w:rFonts w:ascii="Times New Roman" w:eastAsia="Times New Roman" w:hAnsi="Times New Roman" w:cs="Times New Roman"/>
                <w:color w:val="000000"/>
                <w:lang w:eastAsia="en-AU"/>
              </w:rPr>
              <w:fldChar w:fldCharType="end"/>
            </w:r>
          </w:p>
        </w:tc>
      </w:tr>
    </w:tbl>
    <w:p w14:paraId="507ED4B9" w14:textId="6447F0FF" w:rsidR="00F6628A" w:rsidRDefault="00F6628A" w:rsidP="000A27E8"/>
    <w:p w14:paraId="36F546D8" w14:textId="783B6F5D" w:rsidR="0050107B" w:rsidRDefault="0050107B" w:rsidP="000A27E8"/>
    <w:p w14:paraId="1B2C4A68" w14:textId="0D2F48EF" w:rsidR="0050107B" w:rsidRDefault="0050107B">
      <w:r>
        <w:br w:type="page"/>
      </w:r>
    </w:p>
    <w:p w14:paraId="4B56B42F" w14:textId="096C342D" w:rsidR="0050107B" w:rsidRDefault="007C45BC" w:rsidP="000A27E8">
      <w:r>
        <w:rPr>
          <w:rFonts w:ascii="Times New Roman" w:hAnsi="Times New Roman"/>
          <w:sz w:val="24"/>
          <w:szCs w:val="24"/>
        </w:rPr>
        <w:lastRenderedPageBreak/>
        <w:t>Table S3b.</w:t>
      </w:r>
      <w:r>
        <w:rPr>
          <w:rFonts w:ascii="Times New Roman" w:hAnsi="Times New Roman"/>
          <w:sz w:val="24"/>
          <w:szCs w:val="24"/>
        </w:rPr>
        <w:br/>
      </w:r>
      <w:r w:rsidRPr="002F6B30">
        <w:rPr>
          <w:rFonts w:ascii="Times New Roman" w:hAnsi="Times New Roman"/>
          <w:i/>
          <w:iCs/>
          <w:sz w:val="24"/>
          <w:szCs w:val="24"/>
        </w:rPr>
        <w:t xml:space="preserve">List of </w:t>
      </w:r>
      <w:r>
        <w:rPr>
          <w:rFonts w:ascii="Times New Roman" w:hAnsi="Times New Roman"/>
          <w:i/>
          <w:iCs/>
          <w:sz w:val="24"/>
          <w:szCs w:val="24"/>
        </w:rPr>
        <w:t>speech timing</w:t>
      </w:r>
      <w:r w:rsidRPr="002F6B30">
        <w:rPr>
          <w:rFonts w:ascii="Times New Roman" w:hAnsi="Times New Roman"/>
          <w:i/>
          <w:iCs/>
          <w:sz w:val="24"/>
          <w:szCs w:val="24"/>
        </w:rPr>
        <w:t xml:space="preserve"> features used in the present study.</w:t>
      </w:r>
      <w:r w:rsidR="00A77C6E">
        <w:rPr>
          <w:rFonts w:ascii="Times New Roman" w:hAnsi="Times New Roman"/>
          <w:i/>
          <w:iCs/>
          <w:sz w:val="24"/>
          <w:szCs w:val="24"/>
        </w:rPr>
        <w:t xml:space="preserve"> For all acoustic features, onsets and offset times were obtained using</w:t>
      </w:r>
      <w:r w:rsidR="006F77CF">
        <w:rPr>
          <w:rFonts w:ascii="Times New Roman" w:hAnsi="Times New Roman"/>
          <w:i/>
          <w:iCs/>
          <w:sz w:val="24"/>
          <w:szCs w:val="24"/>
        </w:rPr>
        <w:t xml:space="preserve"> the Schultz Musical Instrument Digital Interface benchmarking toolbox </w:t>
      </w:r>
      <w:r w:rsidR="006F77CF">
        <w:rPr>
          <w:rFonts w:ascii="Times New Roman" w:hAnsi="Times New Roman"/>
          <w:i/>
          <w:iCs/>
          <w:sz w:val="24"/>
          <w:szCs w:val="24"/>
        </w:rPr>
        <w:fldChar w:fldCharType="begin" w:fldLock="1"/>
      </w:r>
      <w:r w:rsidR="00A008E7">
        <w:rPr>
          <w:rFonts w:ascii="Times New Roman" w:hAnsi="Times New Roman"/>
          <w:i/>
          <w:iCs/>
          <w:sz w:val="24"/>
          <w:szCs w:val="24"/>
        </w:rPr>
        <w:instrText>ADDIN CSL_CITATION {"citationItems":[{"id":"ITEM-1","itemData":{"ISSN":"1554-3528","author":[{"dropping-particle":"","family":"Schultz","given":"Benjamin G","non-dropping-particle":"","parse-names":false,"suffix":""}],"container-title":"Behavior Research Methods","id":"ITEM-1","issue":"1","issued":{"date-parts":[["2019"]]},"page":"204-234","publisher":"Springer","title":"The Schultz MIDI Benchmarking Toolbox for MIDI interfaces, percussion pads, and sound cards","type":"article-journal","volume":"51"},"uris":["http://www.mendeley.com/documents/?uuid=84d5d5ff-6bf7-46a4-922d-d3df85192d27"]}],"mendeley":{"formattedCitation":"(15)","plainTextFormattedCitation":"(15)","previouslyFormattedCitation":"(15)"},"properties":{"noteIndex":0},"schema":"https://github.com/citation-style-language/schema/raw/master/csl-citation.json"}</w:instrText>
      </w:r>
      <w:r w:rsidR="006F77CF">
        <w:rPr>
          <w:rFonts w:ascii="Times New Roman" w:hAnsi="Times New Roman"/>
          <w:i/>
          <w:iCs/>
          <w:sz w:val="24"/>
          <w:szCs w:val="24"/>
        </w:rPr>
        <w:fldChar w:fldCharType="separate"/>
      </w:r>
      <w:r w:rsidR="006F77CF" w:rsidRPr="006F77CF">
        <w:rPr>
          <w:rFonts w:ascii="Times New Roman" w:hAnsi="Times New Roman"/>
          <w:iCs/>
          <w:noProof/>
          <w:sz w:val="24"/>
          <w:szCs w:val="24"/>
        </w:rPr>
        <w:t>(15)</w:t>
      </w:r>
      <w:r w:rsidR="006F77CF">
        <w:rPr>
          <w:rFonts w:ascii="Times New Roman" w:hAnsi="Times New Roman"/>
          <w:i/>
          <w:iCs/>
          <w:sz w:val="24"/>
          <w:szCs w:val="24"/>
        </w:rPr>
        <w:fldChar w:fldCharType="end"/>
      </w:r>
      <w:r w:rsidR="0080575D">
        <w:rPr>
          <w:rFonts w:ascii="Times New Roman" w:hAnsi="Times New Roman"/>
          <w:i/>
          <w:iCs/>
          <w:sz w:val="24"/>
          <w:szCs w:val="24"/>
        </w:rPr>
        <w:t>.</w:t>
      </w:r>
    </w:p>
    <w:tbl>
      <w:tblPr>
        <w:tblW w:w="5000" w:type="pct"/>
        <w:tblLook w:val="04A0" w:firstRow="1" w:lastRow="0" w:firstColumn="1" w:lastColumn="0" w:noHBand="0" w:noVBand="1"/>
      </w:tblPr>
      <w:tblGrid>
        <w:gridCol w:w="4268"/>
        <w:gridCol w:w="7775"/>
        <w:gridCol w:w="1915"/>
      </w:tblGrid>
      <w:tr w:rsidR="006810CF" w:rsidRPr="002C4F8E" w14:paraId="0BA95D58" w14:textId="77777777" w:rsidTr="00AC4D54">
        <w:trPr>
          <w:trHeight w:val="288"/>
        </w:trPr>
        <w:tc>
          <w:tcPr>
            <w:tcW w:w="1529" w:type="pct"/>
            <w:tcBorders>
              <w:top w:val="single" w:sz="4" w:space="0" w:color="auto"/>
              <w:left w:val="nil"/>
              <w:bottom w:val="nil"/>
              <w:right w:val="nil"/>
            </w:tcBorders>
            <w:shd w:val="clear" w:color="auto" w:fill="auto"/>
            <w:noWrap/>
          </w:tcPr>
          <w:p w14:paraId="4C67955E" w14:textId="6D9B4316" w:rsidR="006810CF" w:rsidRPr="00D823B8" w:rsidRDefault="006810CF" w:rsidP="008F004A">
            <w:pPr>
              <w:spacing w:after="0" w:line="240" w:lineRule="auto"/>
              <w:rPr>
                <w:rFonts w:ascii="Times New Roman" w:eastAsia="Times New Roman" w:hAnsi="Times New Roman" w:cs="Times New Roman"/>
                <w:b/>
                <w:bCs/>
                <w:color w:val="000000"/>
                <w:lang w:eastAsia="en-AU"/>
              </w:rPr>
            </w:pPr>
            <w:r w:rsidRPr="00D823B8">
              <w:rPr>
                <w:rFonts w:ascii="Times New Roman" w:eastAsia="Times New Roman" w:hAnsi="Times New Roman" w:cs="Times New Roman"/>
                <w:b/>
                <w:bCs/>
                <w:color w:val="000000"/>
                <w:lang w:eastAsia="en-AU"/>
              </w:rPr>
              <w:t>Feature</w:t>
            </w:r>
          </w:p>
        </w:tc>
        <w:tc>
          <w:tcPr>
            <w:tcW w:w="2785" w:type="pct"/>
            <w:tcBorders>
              <w:top w:val="single" w:sz="4" w:space="0" w:color="auto"/>
              <w:left w:val="nil"/>
              <w:bottom w:val="nil"/>
              <w:right w:val="nil"/>
            </w:tcBorders>
            <w:shd w:val="clear" w:color="auto" w:fill="auto"/>
            <w:noWrap/>
          </w:tcPr>
          <w:p w14:paraId="3CDA20DF" w14:textId="089B660B" w:rsidR="006810CF" w:rsidRPr="00D823B8" w:rsidRDefault="006810CF" w:rsidP="008F004A">
            <w:pPr>
              <w:spacing w:after="0" w:line="240" w:lineRule="auto"/>
              <w:rPr>
                <w:rFonts w:ascii="Times New Roman" w:eastAsia="Times New Roman" w:hAnsi="Times New Roman" w:cs="Times New Roman"/>
                <w:b/>
                <w:bCs/>
                <w:color w:val="000000"/>
                <w:lang w:eastAsia="en-AU"/>
              </w:rPr>
            </w:pPr>
            <w:r w:rsidRPr="00D823B8">
              <w:rPr>
                <w:rFonts w:ascii="Times New Roman" w:eastAsia="Times New Roman" w:hAnsi="Times New Roman" w:cs="Times New Roman"/>
                <w:b/>
                <w:bCs/>
                <w:color w:val="000000"/>
                <w:lang w:eastAsia="en-AU"/>
              </w:rPr>
              <w:t>Description</w:t>
            </w:r>
          </w:p>
        </w:tc>
        <w:tc>
          <w:tcPr>
            <w:tcW w:w="686" w:type="pct"/>
            <w:tcBorders>
              <w:top w:val="single" w:sz="4" w:space="0" w:color="auto"/>
              <w:left w:val="nil"/>
              <w:bottom w:val="nil"/>
              <w:right w:val="nil"/>
            </w:tcBorders>
            <w:shd w:val="clear" w:color="auto" w:fill="auto"/>
            <w:noWrap/>
          </w:tcPr>
          <w:p w14:paraId="172BF02B" w14:textId="280CF239" w:rsidR="006810CF" w:rsidRPr="00D823B8" w:rsidRDefault="006810CF" w:rsidP="008F004A">
            <w:pPr>
              <w:spacing w:after="0" w:line="240" w:lineRule="auto"/>
              <w:rPr>
                <w:rFonts w:ascii="Times New Roman" w:eastAsia="Times New Roman" w:hAnsi="Times New Roman" w:cs="Times New Roman"/>
                <w:b/>
                <w:bCs/>
                <w:color w:val="000000"/>
                <w:lang w:eastAsia="en-AU"/>
              </w:rPr>
            </w:pPr>
            <w:r w:rsidRPr="00D823B8">
              <w:rPr>
                <w:rFonts w:ascii="Times New Roman" w:eastAsia="Times New Roman" w:hAnsi="Times New Roman" w:cs="Times New Roman"/>
                <w:b/>
                <w:bCs/>
                <w:color w:val="000000"/>
                <w:lang w:eastAsia="en-AU"/>
              </w:rPr>
              <w:t>References</w:t>
            </w:r>
          </w:p>
        </w:tc>
      </w:tr>
      <w:tr w:rsidR="006810CF" w:rsidRPr="002C4F8E" w14:paraId="4D29CD55" w14:textId="77777777" w:rsidTr="00AC4D54">
        <w:trPr>
          <w:trHeight w:val="288"/>
        </w:trPr>
        <w:tc>
          <w:tcPr>
            <w:tcW w:w="1529" w:type="pct"/>
            <w:tcBorders>
              <w:top w:val="single" w:sz="4" w:space="0" w:color="auto"/>
              <w:left w:val="nil"/>
              <w:bottom w:val="nil"/>
              <w:right w:val="nil"/>
            </w:tcBorders>
            <w:shd w:val="clear" w:color="auto" w:fill="auto"/>
            <w:noWrap/>
          </w:tcPr>
          <w:p w14:paraId="51DF3783" w14:textId="56698D60"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Amplitude Duration</w:t>
            </w:r>
          </w:p>
        </w:tc>
        <w:tc>
          <w:tcPr>
            <w:tcW w:w="2785" w:type="pct"/>
            <w:tcBorders>
              <w:top w:val="single" w:sz="4" w:space="0" w:color="auto"/>
              <w:left w:val="nil"/>
              <w:bottom w:val="nil"/>
              <w:right w:val="nil"/>
            </w:tcBorders>
            <w:shd w:val="clear" w:color="auto" w:fill="auto"/>
            <w:noWrap/>
          </w:tcPr>
          <w:p w14:paraId="7B617D52" w14:textId="2A618035"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amplitude profiles</w:t>
            </w:r>
          </w:p>
        </w:tc>
        <w:tc>
          <w:tcPr>
            <w:tcW w:w="686" w:type="pct"/>
            <w:tcBorders>
              <w:top w:val="single" w:sz="4" w:space="0" w:color="auto"/>
              <w:left w:val="nil"/>
              <w:bottom w:val="nil"/>
              <w:right w:val="nil"/>
            </w:tcBorders>
            <w:shd w:val="clear" w:color="auto" w:fill="auto"/>
            <w:noWrap/>
          </w:tcPr>
          <w:p w14:paraId="66119FBC" w14:textId="26BF88E1" w:rsidR="006810CF" w:rsidRPr="002C4F8E" w:rsidRDefault="00430A16"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7D1155">
              <w:rPr>
                <w:rFonts w:ascii="Times New Roman" w:eastAsia="Times New Roman" w:hAnsi="Times New Roman" w:cs="Times New Roman"/>
                <w:color w:val="000000"/>
                <w:lang w:eastAsia="en-AU"/>
              </w:rPr>
              <w:instrText>ADDIN CSL_CITATION {"citationItems":[{"id":"ITEM-1","itemData":{"ISSN":"1554-3528","author":[{"dropping-particle":"","family":"Schultz","given":"Benjamin G","non-dropping-particle":"","parse-names":false,"suffix":""}],"container-title":"Behavior Research Methods","id":"ITEM-1","issue":"1","issued":{"date-parts":[["2019"]]},"page":"204-234","publisher":"Springer","title":"The Schultz MIDI Benchmarking Toolbox for MIDI interfaces, percussion pads, and sound cards","type":"article-journal","volume":"51"},"uris":["http://www.mendeley.com/documents/?uuid=84d5d5ff-6bf7-46a4-922d-d3df85192d27"]},{"id":"ITEM-2","itemData":{"ISSN":"0142-7164","author":[{"dropping-particle":"","family":"Schultz","given":"Benjamin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ISSN":"0167-6393","author":[{"dropping-particle":"","family":"Prendergast","given":"Garreth","non-dropping-particle":"","parse-names":false,"suffix":""},{"dropping-particle":"","family":"Johnson","given":"Sam R","non-dropping-particle":"","parse-names":false,"suffix":""},{"dropping-particle":"","family":"Green","given":"Gary G R","non-dropping-particle":"","parse-names":false,"suffix":""}],"container-title":"Speech Communication","id":"ITEM-3","issue":"6","issued":{"date-parts":[["2011"]]},"page":"903-913","publisher":"Elsevier","title":"Extracting amplitude modulations from speech in the time domain","type":"article-journal","volume":"53"},"uris":["http://www.mendeley.com/documents/?uuid=eb5ffefc-3edb-4a60-aaba-09141f0ebc24"]}],"mendeley":{"formattedCitation":"(6,9,15)","plainTextFormattedCitation":"(6,9,15)","previouslyFormattedCitation":"(6,9,15)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00AC4D54" w:rsidRPr="00AC4D54">
              <w:rPr>
                <w:rFonts w:ascii="Times New Roman" w:eastAsia="Times New Roman" w:hAnsi="Times New Roman" w:cs="Times New Roman"/>
                <w:noProof/>
                <w:color w:val="000000"/>
                <w:lang w:eastAsia="en-AU"/>
              </w:rPr>
              <w:t>(6,9,15)</w:t>
            </w:r>
            <w:r>
              <w:rPr>
                <w:rFonts w:ascii="Times New Roman" w:eastAsia="Times New Roman" w:hAnsi="Times New Roman" w:cs="Times New Roman"/>
                <w:color w:val="000000"/>
                <w:lang w:eastAsia="en-AU"/>
              </w:rPr>
              <w:fldChar w:fldCharType="end"/>
            </w:r>
          </w:p>
        </w:tc>
      </w:tr>
      <w:tr w:rsidR="00AC4D54" w:rsidRPr="002C4F8E" w14:paraId="3DD342C0" w14:textId="77777777" w:rsidTr="00AC4D54">
        <w:trPr>
          <w:trHeight w:val="288"/>
        </w:trPr>
        <w:tc>
          <w:tcPr>
            <w:tcW w:w="1529" w:type="pct"/>
            <w:tcBorders>
              <w:top w:val="nil"/>
              <w:left w:val="nil"/>
              <w:bottom w:val="nil"/>
              <w:right w:val="nil"/>
            </w:tcBorders>
            <w:shd w:val="clear" w:color="auto" w:fill="auto"/>
            <w:noWrap/>
            <w:hideMark/>
          </w:tcPr>
          <w:p w14:paraId="5E845279" w14:textId="77777777" w:rsidR="00AC4D54" w:rsidRPr="002C4F8E" w:rsidRDefault="00AC4D54" w:rsidP="00AC4D54">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Amplitude Pause</w:t>
            </w:r>
          </w:p>
        </w:tc>
        <w:tc>
          <w:tcPr>
            <w:tcW w:w="2785" w:type="pct"/>
            <w:tcBorders>
              <w:top w:val="nil"/>
              <w:left w:val="nil"/>
              <w:bottom w:val="nil"/>
              <w:right w:val="nil"/>
            </w:tcBorders>
            <w:shd w:val="clear" w:color="auto" w:fill="auto"/>
            <w:noWrap/>
            <w:hideMark/>
          </w:tcPr>
          <w:p w14:paraId="155CE378" w14:textId="77777777" w:rsidR="00AC4D54" w:rsidRPr="002C4F8E" w:rsidRDefault="00AC4D54" w:rsidP="00AC4D54">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amplitude profiles</w:t>
            </w:r>
          </w:p>
        </w:tc>
        <w:tc>
          <w:tcPr>
            <w:tcW w:w="686" w:type="pct"/>
            <w:tcBorders>
              <w:top w:val="nil"/>
              <w:left w:val="nil"/>
              <w:bottom w:val="nil"/>
              <w:right w:val="nil"/>
            </w:tcBorders>
            <w:shd w:val="clear" w:color="auto" w:fill="auto"/>
            <w:noWrap/>
            <w:hideMark/>
          </w:tcPr>
          <w:p w14:paraId="278F4192" w14:textId="1638D4AF" w:rsidR="00AC4D54" w:rsidRPr="002C4F8E" w:rsidRDefault="00AC4D54" w:rsidP="00AC4D54">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7D1155">
              <w:rPr>
                <w:rFonts w:ascii="Times New Roman" w:eastAsia="Times New Roman" w:hAnsi="Times New Roman" w:cs="Times New Roman"/>
                <w:color w:val="000000"/>
                <w:lang w:eastAsia="en-AU"/>
              </w:rPr>
              <w:instrText>ADDIN CSL_CITATION {"citationItems":[{"id":"ITEM-1","itemData":{"ISSN":"1554-3528","author":[{"dropping-particle":"","family":"Schultz","given":"Benjamin G","non-dropping-particle":"","parse-names":false,"suffix":""}],"container-title":"Behavior Research Methods","id":"ITEM-1","issue":"1","issued":{"date-parts":[["2019"]]},"page":"204-234","publisher":"Springer","title":"The Schultz MIDI Benchmarking Toolbox for MIDI interfaces, percussion pads, and sound cards","type":"article-journal","volume":"51"},"uris":["http://www.mendeley.com/documents/?uuid=84d5d5ff-6bf7-46a4-922d-d3df85192d27"]},{"id":"ITEM-2","itemData":{"ISSN":"0142-7164","author":[{"dropping-particle":"","family":"Schultz","given":"Benjamin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ISSN":"0167-6393","author":[{"dropping-particle":"","family":"Prendergast","given":"Garreth","non-dropping-particle":"","parse-names":false,"suffix":""},{"dropping-particle":"","family":"Johnson","given":"Sam R","non-dropping-particle":"","parse-names":false,"suffix":""},{"dropping-particle":"","family":"Green","given":"Gary G R","non-dropping-particle":"","parse-names":false,"suffix":""}],"container-title":"Speech Communication","id":"ITEM-3","issue":"6","issued":{"date-parts":[["2011"]]},"page":"903-913","publisher":"Elsevier","title":"Extracting amplitude modulations from speech in the time domain","type":"article-journal","volume":"53"},"uris":["http://www.mendeley.com/documents/?uuid=eb5ffefc-3edb-4a60-aaba-09141f0ebc24"]}],"mendeley":{"formattedCitation":"(6,9,15)","plainTextFormattedCitation":"(6,9,15)","previouslyFormattedCitation":"(6,9,15)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C4D54">
              <w:rPr>
                <w:rFonts w:ascii="Times New Roman" w:eastAsia="Times New Roman" w:hAnsi="Times New Roman" w:cs="Times New Roman"/>
                <w:noProof/>
                <w:color w:val="000000"/>
                <w:lang w:eastAsia="en-AU"/>
              </w:rPr>
              <w:t>(6,9,15)</w:t>
            </w:r>
            <w:r>
              <w:rPr>
                <w:rFonts w:ascii="Times New Roman" w:eastAsia="Times New Roman" w:hAnsi="Times New Roman" w:cs="Times New Roman"/>
                <w:color w:val="000000"/>
                <w:lang w:eastAsia="en-AU"/>
              </w:rPr>
              <w:fldChar w:fldCharType="end"/>
            </w:r>
          </w:p>
        </w:tc>
      </w:tr>
      <w:tr w:rsidR="00AC4D54" w:rsidRPr="002C4F8E" w14:paraId="581C4295" w14:textId="77777777" w:rsidTr="00AC4D54">
        <w:trPr>
          <w:trHeight w:val="288"/>
        </w:trPr>
        <w:tc>
          <w:tcPr>
            <w:tcW w:w="1529" w:type="pct"/>
            <w:tcBorders>
              <w:top w:val="nil"/>
              <w:left w:val="nil"/>
              <w:bottom w:val="nil"/>
              <w:right w:val="nil"/>
            </w:tcBorders>
            <w:shd w:val="clear" w:color="auto" w:fill="auto"/>
            <w:noWrap/>
            <w:hideMark/>
          </w:tcPr>
          <w:p w14:paraId="64F4045D" w14:textId="77777777" w:rsidR="00AC4D54" w:rsidRPr="002C4F8E" w:rsidRDefault="00AC4D54" w:rsidP="00AC4D54">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Amplitude Rate</w:t>
            </w:r>
          </w:p>
        </w:tc>
        <w:tc>
          <w:tcPr>
            <w:tcW w:w="2785" w:type="pct"/>
            <w:tcBorders>
              <w:top w:val="nil"/>
              <w:left w:val="nil"/>
              <w:bottom w:val="nil"/>
              <w:right w:val="nil"/>
            </w:tcBorders>
            <w:shd w:val="clear" w:color="auto" w:fill="auto"/>
            <w:noWrap/>
            <w:hideMark/>
          </w:tcPr>
          <w:p w14:paraId="005861E5" w14:textId="77777777" w:rsidR="00AC4D54" w:rsidRPr="002C4F8E" w:rsidRDefault="00AC4D54" w:rsidP="00AC4D54">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amplitude profiles</w:t>
            </w:r>
          </w:p>
        </w:tc>
        <w:tc>
          <w:tcPr>
            <w:tcW w:w="686" w:type="pct"/>
            <w:tcBorders>
              <w:top w:val="nil"/>
              <w:left w:val="nil"/>
              <w:bottom w:val="nil"/>
              <w:right w:val="nil"/>
            </w:tcBorders>
            <w:shd w:val="clear" w:color="auto" w:fill="auto"/>
            <w:noWrap/>
            <w:hideMark/>
          </w:tcPr>
          <w:p w14:paraId="59B03634" w14:textId="18671507" w:rsidR="00AC4D54" w:rsidRPr="002C4F8E" w:rsidRDefault="00AC4D54" w:rsidP="00AC4D54">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7D1155">
              <w:rPr>
                <w:rFonts w:ascii="Times New Roman" w:eastAsia="Times New Roman" w:hAnsi="Times New Roman" w:cs="Times New Roman"/>
                <w:color w:val="000000"/>
                <w:lang w:eastAsia="en-AU"/>
              </w:rPr>
              <w:instrText>ADDIN CSL_CITATION {"citationItems":[{"id":"ITEM-1","itemData":{"ISSN":"1554-3528","author":[{"dropping-particle":"","family":"Schultz","given":"Benjamin G","non-dropping-particle":"","parse-names":false,"suffix":""}],"container-title":"Behavior Research Methods","id":"ITEM-1","issue":"1","issued":{"date-parts":[["2019"]]},"page":"204-234","publisher":"Springer","title":"The Schultz MIDI Benchmarking Toolbox for MIDI interfaces, percussion pads, and sound cards","type":"article-journal","volume":"51"},"uris":["http://www.mendeley.com/documents/?uuid=84d5d5ff-6bf7-46a4-922d-d3df85192d27"]},{"id":"ITEM-2","itemData":{"ISSN":"0142-7164","author":[{"dropping-particle":"","family":"Schultz","given":"Benjamin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ISSN":"0167-6393","author":[{"dropping-particle":"","family":"Prendergast","given":"Garreth","non-dropping-particle":"","parse-names":false,"suffix":""},{"dropping-particle":"","family":"Johnson","given":"Sam R","non-dropping-particle":"","parse-names":false,"suffix":""},{"dropping-particle":"","family":"Green","given":"Gary G R","non-dropping-particle":"","parse-names":false,"suffix":""}],"container-title":"Speech Communication","id":"ITEM-3","issue":"6","issued":{"date-parts":[["2011"]]},"page":"903-913","publisher":"Elsevier","title":"Extracting amplitude modulations from speech in the time domain","type":"article-journal","volume":"53"},"uris":["http://www.mendeley.com/documents/?uuid=eb5ffefc-3edb-4a60-aaba-09141f0ebc24"]}],"mendeley":{"formattedCitation":"(6,9,15)","plainTextFormattedCitation":"(6,9,15)","previouslyFormattedCitation":"(6,9,15)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C4D54">
              <w:rPr>
                <w:rFonts w:ascii="Times New Roman" w:eastAsia="Times New Roman" w:hAnsi="Times New Roman" w:cs="Times New Roman"/>
                <w:noProof/>
                <w:color w:val="000000"/>
                <w:lang w:eastAsia="en-AU"/>
              </w:rPr>
              <w:t>(6,9,15)</w:t>
            </w:r>
            <w:r>
              <w:rPr>
                <w:rFonts w:ascii="Times New Roman" w:eastAsia="Times New Roman" w:hAnsi="Times New Roman" w:cs="Times New Roman"/>
                <w:color w:val="000000"/>
                <w:lang w:eastAsia="en-AU"/>
              </w:rPr>
              <w:fldChar w:fldCharType="end"/>
            </w:r>
          </w:p>
        </w:tc>
      </w:tr>
      <w:tr w:rsidR="00400360" w:rsidRPr="002C4F8E" w14:paraId="6E7BD0E6" w14:textId="77777777" w:rsidTr="00AC4D54">
        <w:trPr>
          <w:trHeight w:val="288"/>
        </w:trPr>
        <w:tc>
          <w:tcPr>
            <w:tcW w:w="1529" w:type="pct"/>
            <w:tcBorders>
              <w:top w:val="nil"/>
              <w:left w:val="nil"/>
              <w:bottom w:val="nil"/>
              <w:right w:val="nil"/>
            </w:tcBorders>
            <w:shd w:val="clear" w:color="auto" w:fill="auto"/>
            <w:noWrap/>
            <w:hideMark/>
          </w:tcPr>
          <w:p w14:paraId="77691415" w14:textId="77777777" w:rsidR="00400360" w:rsidRPr="002C4F8E" w:rsidRDefault="00400360" w:rsidP="00400360">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Intensity Duration</w:t>
            </w:r>
          </w:p>
        </w:tc>
        <w:tc>
          <w:tcPr>
            <w:tcW w:w="2785" w:type="pct"/>
            <w:tcBorders>
              <w:top w:val="nil"/>
              <w:left w:val="nil"/>
              <w:bottom w:val="nil"/>
              <w:right w:val="nil"/>
            </w:tcBorders>
            <w:shd w:val="clear" w:color="auto" w:fill="auto"/>
            <w:noWrap/>
            <w:hideMark/>
          </w:tcPr>
          <w:p w14:paraId="15346BDB" w14:textId="77777777" w:rsidR="00400360" w:rsidRPr="002C4F8E" w:rsidRDefault="00400360" w:rsidP="00400360">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intensity profiles</w:t>
            </w:r>
          </w:p>
        </w:tc>
        <w:tc>
          <w:tcPr>
            <w:tcW w:w="686" w:type="pct"/>
            <w:tcBorders>
              <w:top w:val="nil"/>
              <w:left w:val="nil"/>
              <w:bottom w:val="nil"/>
              <w:right w:val="nil"/>
            </w:tcBorders>
            <w:shd w:val="clear" w:color="auto" w:fill="auto"/>
            <w:noWrap/>
            <w:hideMark/>
          </w:tcPr>
          <w:p w14:paraId="171A7EB6" w14:textId="38856529" w:rsidR="00400360" w:rsidRPr="002C4F8E" w:rsidRDefault="00400360" w:rsidP="00400360">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6F77CF">
              <w:rPr>
                <w:rFonts w:ascii="Times New Roman" w:eastAsia="Times New Roman" w:hAnsi="Times New Roman" w:cs="Times New Roman"/>
                <w:color w:val="000000"/>
                <w:lang w:eastAsia="en-AU"/>
              </w:rPr>
              <w:instrText>ADDIN CSL_CITATION {"citationItems":[{"id":"ITEM-1","itemData":{"ISSN":"1554-3528","author":[{"dropping-particle":"","family":"Schultz","given":"Benjamin G","non-dropping-particle":"","parse-names":false,"suffix":""}],"container-title":"Behavior Research Methods","id":"ITEM-1","issue":"1","issued":{"date-parts":[["2019"]]},"page":"204-234","publisher":"Springer","title":"The Schultz MIDI Benchmarking Toolbox for MIDI interfaces, percussion pads, and sound cards","type":"article-journal","volume":"51"},"uris":["http://www.mendeley.com/documents/?uuid=84d5d5ff-6bf7-46a4-922d-d3df85192d27"]},{"id":"ITEM-2","itemData":{"ISSN":"0142-7164","author":[{"dropping-particle":"","family":"Schultz","given":"Benjamin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ISSN":"0167-6393","author":[{"dropping-particle":"","family":"Prendergast","given":"Garreth","non-dropping-particle":"","parse-names":false,"suffix":""},{"dropping-particle":"","family":"Johnson","given":"Sam R","non-dropping-particle":"","parse-names":false,"suffix":""},{"dropping-particle":"","family":"Green","given":"Gary G R","non-dropping-particle":"","parse-names":false,"suffix":""}],"container-title":"Speech Communication","id":"ITEM-3","issue":"6","issued":{"date-parts":[["2011"]]},"page":"903-913","publisher":"Elsevier","title":"Extracting amplitude modulations from speech in the time domain","type":"article-journal","volume":"53"},"uris":["http://www.mendeley.com/documents/?uuid=eb5ffefc-3edb-4a60-aaba-09141f0ebc24"]},{"id":"ITEM-4","itemData":{"author":[{"dropping-particle":"","family":"Kopeček","given":"Ivan","non-dropping-particle":"","parse-names":false,"suffix":""}],"container-title":"International Workshop on Text, Speech and Dialogue","id":"ITEM-4","issued":{"date-parts":[["1999"]]},"page":"203-208","publisher":"Springer","title":"Speech recognition and syllable segments","type":"paper-conference"},"uris":["http://www.mendeley.com/documents/?uuid=def70613-4da4-4456-af9b-f9eb6f1ecc44"]}],"mendeley":{"formattedCitation":"(6,9,15,16)","plainTextFormattedCitation":"(6,9,15,16)","previouslyFormattedCitation":"(6,9,15,16)"},"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007D1155" w:rsidRPr="007D1155">
              <w:rPr>
                <w:rFonts w:ascii="Times New Roman" w:eastAsia="Times New Roman" w:hAnsi="Times New Roman" w:cs="Times New Roman"/>
                <w:noProof/>
                <w:color w:val="000000"/>
                <w:lang w:eastAsia="en-AU"/>
              </w:rPr>
              <w:t>(6,9,15,16)</w:t>
            </w:r>
            <w:r>
              <w:rPr>
                <w:rFonts w:ascii="Times New Roman" w:eastAsia="Times New Roman" w:hAnsi="Times New Roman" w:cs="Times New Roman"/>
                <w:color w:val="000000"/>
                <w:lang w:eastAsia="en-AU"/>
              </w:rPr>
              <w:fldChar w:fldCharType="end"/>
            </w:r>
          </w:p>
        </w:tc>
      </w:tr>
      <w:tr w:rsidR="007D1155" w:rsidRPr="002C4F8E" w14:paraId="2F82A451" w14:textId="77777777" w:rsidTr="00AC4D54">
        <w:trPr>
          <w:trHeight w:val="288"/>
        </w:trPr>
        <w:tc>
          <w:tcPr>
            <w:tcW w:w="1529" w:type="pct"/>
            <w:tcBorders>
              <w:top w:val="nil"/>
              <w:left w:val="nil"/>
              <w:bottom w:val="nil"/>
              <w:right w:val="nil"/>
            </w:tcBorders>
            <w:shd w:val="clear" w:color="auto" w:fill="auto"/>
            <w:noWrap/>
            <w:hideMark/>
          </w:tcPr>
          <w:p w14:paraId="5D62C009" w14:textId="77777777" w:rsidR="007D1155" w:rsidRPr="002C4F8E" w:rsidRDefault="007D1155" w:rsidP="007D1155">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Intensity Pause</w:t>
            </w:r>
          </w:p>
        </w:tc>
        <w:tc>
          <w:tcPr>
            <w:tcW w:w="2785" w:type="pct"/>
            <w:tcBorders>
              <w:top w:val="nil"/>
              <w:left w:val="nil"/>
              <w:bottom w:val="nil"/>
              <w:right w:val="nil"/>
            </w:tcBorders>
            <w:shd w:val="clear" w:color="auto" w:fill="auto"/>
            <w:noWrap/>
            <w:hideMark/>
          </w:tcPr>
          <w:p w14:paraId="306DF848" w14:textId="77777777" w:rsidR="007D1155" w:rsidRPr="002C4F8E" w:rsidRDefault="007D1155" w:rsidP="007D1155">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intensity profiles</w:t>
            </w:r>
          </w:p>
        </w:tc>
        <w:tc>
          <w:tcPr>
            <w:tcW w:w="686" w:type="pct"/>
            <w:tcBorders>
              <w:top w:val="nil"/>
              <w:left w:val="nil"/>
              <w:bottom w:val="nil"/>
              <w:right w:val="nil"/>
            </w:tcBorders>
            <w:shd w:val="clear" w:color="auto" w:fill="auto"/>
            <w:noWrap/>
            <w:hideMark/>
          </w:tcPr>
          <w:p w14:paraId="05DAA1ED" w14:textId="40F538CC" w:rsidR="007D1155" w:rsidRPr="002C4F8E" w:rsidRDefault="007D1155" w:rsidP="007D1155">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6F77CF">
              <w:rPr>
                <w:rFonts w:ascii="Times New Roman" w:eastAsia="Times New Roman" w:hAnsi="Times New Roman" w:cs="Times New Roman"/>
                <w:color w:val="000000"/>
                <w:lang w:eastAsia="en-AU"/>
              </w:rPr>
              <w:instrText>ADDIN CSL_CITATION {"citationItems":[{"id":"ITEM-1","itemData":{"ISSN":"1554-3528","author":[{"dropping-particle":"","family":"Schultz","given":"Benjamin G","non-dropping-particle":"","parse-names":false,"suffix":""}],"container-title":"Behavior Research Methods","id":"ITEM-1","issue":"1","issued":{"date-parts":[["2019"]]},"page":"204-234","publisher":"Springer","title":"The Schultz MIDI Benchmarking Toolbox for MIDI interfaces, percussion pads, and sound cards","type":"article-journal","volume":"51"},"uris":["http://www.mendeley.com/documents/?uuid=84d5d5ff-6bf7-46a4-922d-d3df85192d27"]},{"id":"ITEM-2","itemData":{"ISSN":"0142-7164","author":[{"dropping-particle":"","family":"Schultz","given":"Benjamin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ISSN":"0167-6393","author":[{"dropping-particle":"","family":"Prendergast","given":"Garreth","non-dropping-particle":"","parse-names":false,"suffix":""},{"dropping-particle":"","family":"Johnson","given":"Sam R","non-dropping-particle":"","parse-names":false,"suffix":""},{"dropping-particle":"","family":"Green","given":"Gary G R","non-dropping-particle":"","parse-names":false,"suffix":""}],"container-title":"Speech Communication","id":"ITEM-3","issue":"6","issued":{"date-parts":[["2011"]]},"page":"903-913","publisher":"Elsevier","title":"Extracting amplitude modulations from speech in the time domain","type":"article-journal","volume":"53"},"uris":["http://www.mendeley.com/documents/?uuid=eb5ffefc-3edb-4a60-aaba-09141f0ebc24"]},{"id":"ITEM-4","itemData":{"author":[{"dropping-particle":"","family":"Kopeček","given":"Ivan","non-dropping-particle":"","parse-names":false,"suffix":""}],"container-title":"International Workshop on Text, Speech and Dialogue","id":"ITEM-4","issued":{"date-parts":[["1999"]]},"page":"203-208","publisher":"Springer","title":"Speech recognition and syllable segments","type":"paper-conference"},"uris":["http://www.mendeley.com/documents/?uuid=def70613-4da4-4456-af9b-f9eb6f1ecc44"]}],"mendeley":{"formattedCitation":"(6,9,15,16)","plainTextFormattedCitation":"(6,9,15,16)","previouslyFormattedCitation":"(6,9,15,16)"},"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7D1155">
              <w:rPr>
                <w:rFonts w:ascii="Times New Roman" w:eastAsia="Times New Roman" w:hAnsi="Times New Roman" w:cs="Times New Roman"/>
                <w:noProof/>
                <w:color w:val="000000"/>
                <w:lang w:eastAsia="en-AU"/>
              </w:rPr>
              <w:t>(6,9,15,16)</w:t>
            </w:r>
            <w:r>
              <w:rPr>
                <w:rFonts w:ascii="Times New Roman" w:eastAsia="Times New Roman" w:hAnsi="Times New Roman" w:cs="Times New Roman"/>
                <w:color w:val="000000"/>
                <w:lang w:eastAsia="en-AU"/>
              </w:rPr>
              <w:fldChar w:fldCharType="end"/>
            </w:r>
          </w:p>
        </w:tc>
      </w:tr>
      <w:tr w:rsidR="007D1155" w:rsidRPr="002C4F8E" w14:paraId="06345E67" w14:textId="77777777" w:rsidTr="00AC4D54">
        <w:trPr>
          <w:trHeight w:val="288"/>
        </w:trPr>
        <w:tc>
          <w:tcPr>
            <w:tcW w:w="1529" w:type="pct"/>
            <w:tcBorders>
              <w:top w:val="nil"/>
              <w:left w:val="nil"/>
              <w:bottom w:val="nil"/>
              <w:right w:val="nil"/>
            </w:tcBorders>
            <w:shd w:val="clear" w:color="auto" w:fill="auto"/>
            <w:noWrap/>
            <w:hideMark/>
          </w:tcPr>
          <w:p w14:paraId="41C21905" w14:textId="77777777" w:rsidR="007D1155" w:rsidRPr="002C4F8E" w:rsidRDefault="007D1155" w:rsidP="007D1155">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Intensity Rate</w:t>
            </w:r>
          </w:p>
        </w:tc>
        <w:tc>
          <w:tcPr>
            <w:tcW w:w="2785" w:type="pct"/>
            <w:tcBorders>
              <w:top w:val="nil"/>
              <w:left w:val="nil"/>
              <w:bottom w:val="nil"/>
              <w:right w:val="nil"/>
            </w:tcBorders>
            <w:shd w:val="clear" w:color="auto" w:fill="auto"/>
            <w:noWrap/>
            <w:hideMark/>
          </w:tcPr>
          <w:p w14:paraId="4E469E78" w14:textId="77777777" w:rsidR="007D1155" w:rsidRPr="002C4F8E" w:rsidRDefault="007D1155" w:rsidP="007D1155">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intensity profiles</w:t>
            </w:r>
          </w:p>
        </w:tc>
        <w:tc>
          <w:tcPr>
            <w:tcW w:w="686" w:type="pct"/>
            <w:tcBorders>
              <w:top w:val="nil"/>
              <w:left w:val="nil"/>
              <w:bottom w:val="nil"/>
              <w:right w:val="nil"/>
            </w:tcBorders>
            <w:shd w:val="clear" w:color="auto" w:fill="auto"/>
            <w:noWrap/>
            <w:hideMark/>
          </w:tcPr>
          <w:p w14:paraId="063A50A4" w14:textId="38B9689C" w:rsidR="007D1155" w:rsidRPr="002C4F8E" w:rsidRDefault="007D1155" w:rsidP="007D1155">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6F77CF">
              <w:rPr>
                <w:rFonts w:ascii="Times New Roman" w:eastAsia="Times New Roman" w:hAnsi="Times New Roman" w:cs="Times New Roman"/>
                <w:color w:val="000000"/>
                <w:lang w:eastAsia="en-AU"/>
              </w:rPr>
              <w:instrText>ADDIN CSL_CITATION {"citationItems":[{"id":"ITEM-1","itemData":{"ISSN":"1554-3528","author":[{"dropping-particle":"","family":"Schultz","given":"Benjamin G","non-dropping-particle":"","parse-names":false,"suffix":""}],"container-title":"Behavior Research Methods","id":"ITEM-1","issue":"1","issued":{"date-parts":[["2019"]]},"page":"204-234","publisher":"Springer","title":"The Schultz MIDI Benchmarking Toolbox for MIDI interfaces, percussion pads, and sound cards","type":"article-journal","volume":"51"},"uris":["http://www.mendeley.com/documents/?uuid=84d5d5ff-6bf7-46a4-922d-d3df85192d27"]},{"id":"ITEM-2","itemData":{"ISSN":"0142-7164","author":[{"dropping-particle":"","family":"Schultz","given":"Benjamin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ISSN":"0167-6393","author":[{"dropping-particle":"","family":"Prendergast","given":"Garreth","non-dropping-particle":"","parse-names":false,"suffix":""},{"dropping-particle":"","family":"Johnson","given":"Sam R","non-dropping-particle":"","parse-names":false,"suffix":""},{"dropping-particle":"","family":"Green","given":"Gary G R","non-dropping-particle":"","parse-names":false,"suffix":""}],"container-title":"Speech Communication","id":"ITEM-3","issue":"6","issued":{"date-parts":[["2011"]]},"page":"903-913","publisher":"Elsevier","title":"Extracting amplitude modulations from speech in the time domain","type":"article-journal","volume":"53"},"uris":["http://www.mendeley.com/documents/?uuid=eb5ffefc-3edb-4a60-aaba-09141f0ebc24"]},{"id":"ITEM-4","itemData":{"author":[{"dropping-particle":"","family":"Kopeček","given":"Ivan","non-dropping-particle":"","parse-names":false,"suffix":""}],"container-title":"International Workshop on Text, Speech and Dialogue","id":"ITEM-4","issued":{"date-parts":[["1999"]]},"page":"203-208","publisher":"Springer","title":"Speech recognition and syllable segments","type":"paper-conference"},"uris":["http://www.mendeley.com/documents/?uuid=def70613-4da4-4456-af9b-f9eb6f1ecc44"]}],"mendeley":{"formattedCitation":"(6,9,15,16)","plainTextFormattedCitation":"(6,9,15,16)","previouslyFormattedCitation":"(6,9,15,16)"},"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7D1155">
              <w:rPr>
                <w:rFonts w:ascii="Times New Roman" w:eastAsia="Times New Roman" w:hAnsi="Times New Roman" w:cs="Times New Roman"/>
                <w:noProof/>
                <w:color w:val="000000"/>
                <w:lang w:eastAsia="en-AU"/>
              </w:rPr>
              <w:t>(6,9,15,16)</w:t>
            </w:r>
            <w:r>
              <w:rPr>
                <w:rFonts w:ascii="Times New Roman" w:eastAsia="Times New Roman" w:hAnsi="Times New Roman" w:cs="Times New Roman"/>
                <w:color w:val="000000"/>
                <w:lang w:eastAsia="en-AU"/>
              </w:rPr>
              <w:fldChar w:fldCharType="end"/>
            </w:r>
          </w:p>
        </w:tc>
      </w:tr>
      <w:tr w:rsidR="006810CF" w:rsidRPr="002C4F8E" w14:paraId="7C6871CB" w14:textId="77777777" w:rsidTr="00AC4D54">
        <w:trPr>
          <w:trHeight w:val="288"/>
        </w:trPr>
        <w:tc>
          <w:tcPr>
            <w:tcW w:w="1529" w:type="pct"/>
            <w:tcBorders>
              <w:top w:val="nil"/>
              <w:left w:val="nil"/>
              <w:bottom w:val="nil"/>
              <w:right w:val="nil"/>
            </w:tcBorders>
            <w:shd w:val="clear" w:color="auto" w:fill="auto"/>
            <w:noWrap/>
            <w:hideMark/>
          </w:tcPr>
          <w:p w14:paraId="4998C627"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Broadband Energy Duration*</w:t>
            </w:r>
          </w:p>
        </w:tc>
        <w:tc>
          <w:tcPr>
            <w:tcW w:w="2785" w:type="pct"/>
            <w:tcBorders>
              <w:top w:val="nil"/>
              <w:left w:val="nil"/>
              <w:bottom w:val="nil"/>
              <w:right w:val="nil"/>
            </w:tcBorders>
            <w:shd w:val="clear" w:color="auto" w:fill="auto"/>
            <w:noWrap/>
            <w:hideMark/>
          </w:tcPr>
          <w:p w14:paraId="04F692C0"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maximum broadband energy profiles</w:t>
            </w:r>
          </w:p>
        </w:tc>
        <w:tc>
          <w:tcPr>
            <w:tcW w:w="686" w:type="pct"/>
            <w:tcBorders>
              <w:top w:val="nil"/>
              <w:left w:val="nil"/>
              <w:bottom w:val="nil"/>
              <w:right w:val="nil"/>
            </w:tcBorders>
            <w:shd w:val="clear" w:color="auto" w:fill="auto"/>
            <w:noWrap/>
            <w:hideMark/>
          </w:tcPr>
          <w:p w14:paraId="0268754B" w14:textId="39F6E555" w:rsidR="006810CF" w:rsidRPr="002C4F8E" w:rsidRDefault="00A008E7"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38740A">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F398A6E" w14:textId="77777777" w:rsidTr="00AC4D54">
        <w:trPr>
          <w:trHeight w:val="288"/>
        </w:trPr>
        <w:tc>
          <w:tcPr>
            <w:tcW w:w="1529" w:type="pct"/>
            <w:tcBorders>
              <w:top w:val="nil"/>
              <w:left w:val="nil"/>
              <w:bottom w:val="nil"/>
              <w:right w:val="nil"/>
            </w:tcBorders>
            <w:shd w:val="clear" w:color="auto" w:fill="auto"/>
            <w:noWrap/>
            <w:hideMark/>
          </w:tcPr>
          <w:p w14:paraId="0418ED06"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Broadband Energy Pause*</w:t>
            </w:r>
          </w:p>
        </w:tc>
        <w:tc>
          <w:tcPr>
            <w:tcW w:w="2785" w:type="pct"/>
            <w:tcBorders>
              <w:top w:val="nil"/>
              <w:left w:val="nil"/>
              <w:bottom w:val="nil"/>
              <w:right w:val="nil"/>
            </w:tcBorders>
            <w:shd w:val="clear" w:color="auto" w:fill="auto"/>
            <w:noWrap/>
            <w:hideMark/>
          </w:tcPr>
          <w:p w14:paraId="4B49C4B6"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maximum broadband energy profiles</w:t>
            </w:r>
          </w:p>
        </w:tc>
        <w:tc>
          <w:tcPr>
            <w:tcW w:w="686" w:type="pct"/>
            <w:tcBorders>
              <w:top w:val="nil"/>
              <w:left w:val="nil"/>
              <w:bottom w:val="nil"/>
              <w:right w:val="nil"/>
            </w:tcBorders>
            <w:shd w:val="clear" w:color="auto" w:fill="auto"/>
            <w:noWrap/>
            <w:hideMark/>
          </w:tcPr>
          <w:p w14:paraId="680C6989" w14:textId="1C8B276F"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2ADF77CE" w14:textId="77777777" w:rsidTr="00AC4D54">
        <w:trPr>
          <w:trHeight w:val="288"/>
        </w:trPr>
        <w:tc>
          <w:tcPr>
            <w:tcW w:w="1529" w:type="pct"/>
            <w:tcBorders>
              <w:top w:val="nil"/>
              <w:left w:val="nil"/>
              <w:bottom w:val="nil"/>
              <w:right w:val="nil"/>
            </w:tcBorders>
            <w:shd w:val="clear" w:color="auto" w:fill="auto"/>
            <w:noWrap/>
            <w:hideMark/>
          </w:tcPr>
          <w:p w14:paraId="64CB81C8"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Broadband Energy Rate*</w:t>
            </w:r>
          </w:p>
        </w:tc>
        <w:tc>
          <w:tcPr>
            <w:tcW w:w="2785" w:type="pct"/>
            <w:tcBorders>
              <w:top w:val="nil"/>
              <w:left w:val="nil"/>
              <w:bottom w:val="nil"/>
              <w:right w:val="nil"/>
            </w:tcBorders>
            <w:shd w:val="clear" w:color="auto" w:fill="auto"/>
            <w:noWrap/>
            <w:hideMark/>
          </w:tcPr>
          <w:p w14:paraId="6E3EB6FC"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maximum broadband energy profiles</w:t>
            </w:r>
          </w:p>
        </w:tc>
        <w:tc>
          <w:tcPr>
            <w:tcW w:w="686" w:type="pct"/>
            <w:tcBorders>
              <w:top w:val="nil"/>
              <w:left w:val="nil"/>
              <w:bottom w:val="nil"/>
              <w:right w:val="nil"/>
            </w:tcBorders>
            <w:shd w:val="clear" w:color="auto" w:fill="auto"/>
            <w:noWrap/>
            <w:hideMark/>
          </w:tcPr>
          <w:p w14:paraId="76FEDFDF" w14:textId="105E21A2"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D49AD51" w14:textId="77777777" w:rsidTr="00AC4D54">
        <w:trPr>
          <w:trHeight w:val="288"/>
        </w:trPr>
        <w:tc>
          <w:tcPr>
            <w:tcW w:w="1529" w:type="pct"/>
            <w:tcBorders>
              <w:top w:val="nil"/>
              <w:left w:val="nil"/>
              <w:bottom w:val="nil"/>
              <w:right w:val="nil"/>
            </w:tcBorders>
            <w:shd w:val="clear" w:color="auto" w:fill="auto"/>
            <w:noWrap/>
            <w:hideMark/>
          </w:tcPr>
          <w:p w14:paraId="64E182EE"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f0 Energy Duration*</w:t>
            </w:r>
          </w:p>
        </w:tc>
        <w:tc>
          <w:tcPr>
            <w:tcW w:w="2785" w:type="pct"/>
            <w:tcBorders>
              <w:top w:val="nil"/>
              <w:left w:val="nil"/>
              <w:bottom w:val="nil"/>
              <w:right w:val="nil"/>
            </w:tcBorders>
            <w:shd w:val="clear" w:color="auto" w:fill="auto"/>
            <w:noWrap/>
            <w:hideMark/>
          </w:tcPr>
          <w:p w14:paraId="3A68DE85"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maximum energy from 75Hz to 500Hz</w:t>
            </w:r>
          </w:p>
        </w:tc>
        <w:tc>
          <w:tcPr>
            <w:tcW w:w="686" w:type="pct"/>
            <w:tcBorders>
              <w:top w:val="nil"/>
              <w:left w:val="nil"/>
              <w:bottom w:val="nil"/>
              <w:right w:val="nil"/>
            </w:tcBorders>
            <w:shd w:val="clear" w:color="auto" w:fill="auto"/>
            <w:noWrap/>
            <w:hideMark/>
          </w:tcPr>
          <w:p w14:paraId="642D6A08" w14:textId="615A4AC0"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071601A9" w14:textId="77777777" w:rsidTr="00AC4D54">
        <w:trPr>
          <w:trHeight w:val="288"/>
        </w:trPr>
        <w:tc>
          <w:tcPr>
            <w:tcW w:w="1529" w:type="pct"/>
            <w:tcBorders>
              <w:top w:val="nil"/>
              <w:left w:val="nil"/>
              <w:bottom w:val="nil"/>
              <w:right w:val="nil"/>
            </w:tcBorders>
            <w:shd w:val="clear" w:color="auto" w:fill="auto"/>
            <w:noWrap/>
            <w:hideMark/>
          </w:tcPr>
          <w:p w14:paraId="3EB2673B"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f0 Energy Pause*</w:t>
            </w:r>
          </w:p>
        </w:tc>
        <w:tc>
          <w:tcPr>
            <w:tcW w:w="2785" w:type="pct"/>
            <w:tcBorders>
              <w:top w:val="nil"/>
              <w:left w:val="nil"/>
              <w:bottom w:val="nil"/>
              <w:right w:val="nil"/>
            </w:tcBorders>
            <w:shd w:val="clear" w:color="auto" w:fill="auto"/>
            <w:noWrap/>
            <w:hideMark/>
          </w:tcPr>
          <w:p w14:paraId="5D2F100F"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maximum energy from 75Hz to 500Hz</w:t>
            </w:r>
          </w:p>
        </w:tc>
        <w:tc>
          <w:tcPr>
            <w:tcW w:w="686" w:type="pct"/>
            <w:tcBorders>
              <w:top w:val="nil"/>
              <w:left w:val="nil"/>
              <w:bottom w:val="nil"/>
              <w:right w:val="nil"/>
            </w:tcBorders>
            <w:shd w:val="clear" w:color="auto" w:fill="auto"/>
            <w:noWrap/>
            <w:hideMark/>
          </w:tcPr>
          <w:p w14:paraId="7187F02E" w14:textId="5C377780"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005A815B" w14:textId="77777777" w:rsidTr="00AC4D54">
        <w:trPr>
          <w:trHeight w:val="288"/>
        </w:trPr>
        <w:tc>
          <w:tcPr>
            <w:tcW w:w="1529" w:type="pct"/>
            <w:tcBorders>
              <w:top w:val="nil"/>
              <w:left w:val="nil"/>
              <w:bottom w:val="nil"/>
              <w:right w:val="nil"/>
            </w:tcBorders>
            <w:shd w:val="clear" w:color="auto" w:fill="auto"/>
            <w:noWrap/>
            <w:hideMark/>
          </w:tcPr>
          <w:p w14:paraId="2B872C71"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f0 Energy Rate*</w:t>
            </w:r>
          </w:p>
        </w:tc>
        <w:tc>
          <w:tcPr>
            <w:tcW w:w="2785" w:type="pct"/>
            <w:tcBorders>
              <w:top w:val="nil"/>
              <w:left w:val="nil"/>
              <w:bottom w:val="nil"/>
              <w:right w:val="nil"/>
            </w:tcBorders>
            <w:shd w:val="clear" w:color="auto" w:fill="auto"/>
            <w:noWrap/>
            <w:hideMark/>
          </w:tcPr>
          <w:p w14:paraId="7BC0C3FD"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maximum energy from 75Hz to 500Hz</w:t>
            </w:r>
          </w:p>
        </w:tc>
        <w:tc>
          <w:tcPr>
            <w:tcW w:w="686" w:type="pct"/>
            <w:tcBorders>
              <w:top w:val="nil"/>
              <w:left w:val="nil"/>
              <w:bottom w:val="nil"/>
              <w:right w:val="nil"/>
            </w:tcBorders>
            <w:shd w:val="clear" w:color="auto" w:fill="auto"/>
            <w:noWrap/>
            <w:hideMark/>
          </w:tcPr>
          <w:p w14:paraId="2D2BB20E" w14:textId="5B75D373"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46285DA" w14:textId="77777777" w:rsidTr="00AC4D54">
        <w:trPr>
          <w:trHeight w:val="288"/>
        </w:trPr>
        <w:tc>
          <w:tcPr>
            <w:tcW w:w="1529" w:type="pct"/>
            <w:tcBorders>
              <w:top w:val="nil"/>
              <w:left w:val="nil"/>
              <w:bottom w:val="nil"/>
              <w:right w:val="nil"/>
            </w:tcBorders>
            <w:shd w:val="clear" w:color="auto" w:fill="auto"/>
            <w:noWrap/>
            <w:hideMark/>
          </w:tcPr>
          <w:p w14:paraId="336F8432"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High-Frequency Energy Duration*</w:t>
            </w:r>
          </w:p>
        </w:tc>
        <w:tc>
          <w:tcPr>
            <w:tcW w:w="2785" w:type="pct"/>
            <w:tcBorders>
              <w:top w:val="nil"/>
              <w:left w:val="nil"/>
              <w:bottom w:val="nil"/>
              <w:right w:val="nil"/>
            </w:tcBorders>
            <w:shd w:val="clear" w:color="auto" w:fill="auto"/>
            <w:noWrap/>
            <w:hideMark/>
          </w:tcPr>
          <w:p w14:paraId="582F37FF"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maximum energy from 4000Hz to 8000Hz</w:t>
            </w:r>
          </w:p>
        </w:tc>
        <w:tc>
          <w:tcPr>
            <w:tcW w:w="686" w:type="pct"/>
            <w:tcBorders>
              <w:top w:val="nil"/>
              <w:left w:val="nil"/>
              <w:bottom w:val="nil"/>
              <w:right w:val="nil"/>
            </w:tcBorders>
            <w:shd w:val="clear" w:color="auto" w:fill="auto"/>
            <w:noWrap/>
            <w:hideMark/>
          </w:tcPr>
          <w:p w14:paraId="26841691" w14:textId="7DCA862F"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0E6C5E06" w14:textId="77777777" w:rsidTr="00AC4D54">
        <w:trPr>
          <w:trHeight w:val="288"/>
        </w:trPr>
        <w:tc>
          <w:tcPr>
            <w:tcW w:w="1529" w:type="pct"/>
            <w:tcBorders>
              <w:top w:val="nil"/>
              <w:left w:val="nil"/>
              <w:bottom w:val="nil"/>
              <w:right w:val="nil"/>
            </w:tcBorders>
            <w:shd w:val="clear" w:color="auto" w:fill="auto"/>
            <w:noWrap/>
            <w:hideMark/>
          </w:tcPr>
          <w:p w14:paraId="556522FE"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High-Frequency Energy Pause*</w:t>
            </w:r>
          </w:p>
        </w:tc>
        <w:tc>
          <w:tcPr>
            <w:tcW w:w="2785" w:type="pct"/>
            <w:tcBorders>
              <w:top w:val="nil"/>
              <w:left w:val="nil"/>
              <w:bottom w:val="nil"/>
              <w:right w:val="nil"/>
            </w:tcBorders>
            <w:shd w:val="clear" w:color="auto" w:fill="auto"/>
            <w:noWrap/>
            <w:hideMark/>
          </w:tcPr>
          <w:p w14:paraId="23FC45EA"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maximum energy from 4000Hz to 8000Hz</w:t>
            </w:r>
          </w:p>
        </w:tc>
        <w:tc>
          <w:tcPr>
            <w:tcW w:w="686" w:type="pct"/>
            <w:tcBorders>
              <w:top w:val="nil"/>
              <w:left w:val="nil"/>
              <w:bottom w:val="nil"/>
              <w:right w:val="nil"/>
            </w:tcBorders>
            <w:shd w:val="clear" w:color="auto" w:fill="auto"/>
            <w:noWrap/>
            <w:hideMark/>
          </w:tcPr>
          <w:p w14:paraId="2012DB1B" w14:textId="2B7C60EE"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51E556D4" w14:textId="77777777" w:rsidTr="00AC4D54">
        <w:trPr>
          <w:trHeight w:val="288"/>
        </w:trPr>
        <w:tc>
          <w:tcPr>
            <w:tcW w:w="1529" w:type="pct"/>
            <w:tcBorders>
              <w:top w:val="nil"/>
              <w:left w:val="nil"/>
              <w:bottom w:val="nil"/>
              <w:right w:val="nil"/>
            </w:tcBorders>
            <w:shd w:val="clear" w:color="auto" w:fill="auto"/>
            <w:noWrap/>
            <w:hideMark/>
          </w:tcPr>
          <w:p w14:paraId="69E3C63A"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High-Frequency Energy Rate*</w:t>
            </w:r>
          </w:p>
        </w:tc>
        <w:tc>
          <w:tcPr>
            <w:tcW w:w="2785" w:type="pct"/>
            <w:tcBorders>
              <w:top w:val="nil"/>
              <w:left w:val="nil"/>
              <w:bottom w:val="nil"/>
              <w:right w:val="nil"/>
            </w:tcBorders>
            <w:shd w:val="clear" w:color="auto" w:fill="auto"/>
            <w:noWrap/>
            <w:hideMark/>
          </w:tcPr>
          <w:p w14:paraId="623895AE"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maximum energy from 4000Hz to 8000Hz</w:t>
            </w:r>
          </w:p>
        </w:tc>
        <w:tc>
          <w:tcPr>
            <w:tcW w:w="686" w:type="pct"/>
            <w:tcBorders>
              <w:top w:val="nil"/>
              <w:left w:val="nil"/>
              <w:bottom w:val="nil"/>
              <w:right w:val="nil"/>
            </w:tcBorders>
            <w:shd w:val="clear" w:color="auto" w:fill="auto"/>
            <w:noWrap/>
            <w:hideMark/>
          </w:tcPr>
          <w:p w14:paraId="2FD322A8" w14:textId="20BE5F41"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2E561FE" w14:textId="77777777" w:rsidTr="00AC4D54">
        <w:trPr>
          <w:trHeight w:val="288"/>
        </w:trPr>
        <w:tc>
          <w:tcPr>
            <w:tcW w:w="1529" w:type="pct"/>
            <w:tcBorders>
              <w:top w:val="nil"/>
              <w:left w:val="nil"/>
              <w:right w:val="nil"/>
            </w:tcBorders>
            <w:shd w:val="clear" w:color="auto" w:fill="auto"/>
            <w:noWrap/>
            <w:hideMark/>
          </w:tcPr>
          <w:p w14:paraId="63F7D19D"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Low-Frequency Energy Duration*</w:t>
            </w:r>
          </w:p>
        </w:tc>
        <w:tc>
          <w:tcPr>
            <w:tcW w:w="2785" w:type="pct"/>
            <w:tcBorders>
              <w:top w:val="nil"/>
              <w:left w:val="nil"/>
              <w:right w:val="nil"/>
            </w:tcBorders>
            <w:shd w:val="clear" w:color="auto" w:fill="auto"/>
            <w:noWrap/>
            <w:hideMark/>
          </w:tcPr>
          <w:p w14:paraId="35315CC9"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maximum energy from 1Hz to 75Hz</w:t>
            </w:r>
          </w:p>
        </w:tc>
        <w:tc>
          <w:tcPr>
            <w:tcW w:w="686" w:type="pct"/>
            <w:tcBorders>
              <w:top w:val="nil"/>
              <w:left w:val="nil"/>
              <w:bottom w:val="nil"/>
              <w:right w:val="nil"/>
            </w:tcBorders>
            <w:shd w:val="clear" w:color="auto" w:fill="auto"/>
            <w:noWrap/>
            <w:hideMark/>
          </w:tcPr>
          <w:p w14:paraId="41C16250" w14:textId="3652B572"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17331C7B" w14:textId="77777777" w:rsidTr="00AC4D54">
        <w:trPr>
          <w:trHeight w:val="288"/>
        </w:trPr>
        <w:tc>
          <w:tcPr>
            <w:tcW w:w="1529" w:type="pct"/>
            <w:tcBorders>
              <w:top w:val="nil"/>
              <w:left w:val="nil"/>
              <w:right w:val="nil"/>
            </w:tcBorders>
            <w:shd w:val="clear" w:color="auto" w:fill="auto"/>
            <w:noWrap/>
            <w:hideMark/>
          </w:tcPr>
          <w:p w14:paraId="36F16D01"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Low-Frequency Energy Pause*</w:t>
            </w:r>
          </w:p>
        </w:tc>
        <w:tc>
          <w:tcPr>
            <w:tcW w:w="2785" w:type="pct"/>
            <w:tcBorders>
              <w:top w:val="nil"/>
              <w:left w:val="nil"/>
              <w:right w:val="nil"/>
            </w:tcBorders>
            <w:shd w:val="clear" w:color="auto" w:fill="auto"/>
            <w:noWrap/>
            <w:hideMark/>
          </w:tcPr>
          <w:p w14:paraId="66EF8FC2"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maximum energy from 1Hz to 75Hz</w:t>
            </w:r>
          </w:p>
        </w:tc>
        <w:tc>
          <w:tcPr>
            <w:tcW w:w="686" w:type="pct"/>
            <w:tcBorders>
              <w:top w:val="nil"/>
              <w:left w:val="nil"/>
              <w:bottom w:val="nil"/>
              <w:right w:val="nil"/>
            </w:tcBorders>
            <w:shd w:val="clear" w:color="auto" w:fill="auto"/>
            <w:noWrap/>
            <w:hideMark/>
          </w:tcPr>
          <w:p w14:paraId="0F6B01DC" w14:textId="5F79BCE4"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827AE5C" w14:textId="77777777" w:rsidTr="00AC4D54">
        <w:trPr>
          <w:trHeight w:val="288"/>
        </w:trPr>
        <w:tc>
          <w:tcPr>
            <w:tcW w:w="1529" w:type="pct"/>
            <w:tcBorders>
              <w:left w:val="nil"/>
              <w:bottom w:val="nil"/>
              <w:right w:val="nil"/>
            </w:tcBorders>
            <w:shd w:val="clear" w:color="auto" w:fill="auto"/>
            <w:noWrap/>
            <w:hideMark/>
          </w:tcPr>
          <w:p w14:paraId="6DEA4DA8"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Low-Frequency Energy Rate*</w:t>
            </w:r>
          </w:p>
        </w:tc>
        <w:tc>
          <w:tcPr>
            <w:tcW w:w="2785" w:type="pct"/>
            <w:tcBorders>
              <w:left w:val="nil"/>
              <w:bottom w:val="nil"/>
              <w:right w:val="nil"/>
            </w:tcBorders>
            <w:shd w:val="clear" w:color="auto" w:fill="auto"/>
            <w:noWrap/>
            <w:hideMark/>
          </w:tcPr>
          <w:p w14:paraId="50B20BEF"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maximum energy from 1Hz to 75Hz</w:t>
            </w:r>
          </w:p>
        </w:tc>
        <w:tc>
          <w:tcPr>
            <w:tcW w:w="686" w:type="pct"/>
            <w:tcBorders>
              <w:top w:val="nil"/>
              <w:left w:val="nil"/>
              <w:bottom w:val="nil"/>
              <w:right w:val="nil"/>
            </w:tcBorders>
            <w:shd w:val="clear" w:color="auto" w:fill="auto"/>
            <w:noWrap/>
            <w:hideMark/>
          </w:tcPr>
          <w:p w14:paraId="5980AADC" w14:textId="65DBBCFF"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41DBBC52" w14:textId="77777777" w:rsidTr="00AC4D54">
        <w:trPr>
          <w:trHeight w:val="288"/>
        </w:trPr>
        <w:tc>
          <w:tcPr>
            <w:tcW w:w="1529" w:type="pct"/>
            <w:tcBorders>
              <w:top w:val="nil"/>
              <w:left w:val="nil"/>
              <w:bottom w:val="nil"/>
              <w:right w:val="nil"/>
            </w:tcBorders>
            <w:shd w:val="clear" w:color="auto" w:fill="auto"/>
            <w:noWrap/>
            <w:hideMark/>
          </w:tcPr>
          <w:p w14:paraId="1E205F2B"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Mid-Frequency Energy Duration*</w:t>
            </w:r>
          </w:p>
        </w:tc>
        <w:tc>
          <w:tcPr>
            <w:tcW w:w="2785" w:type="pct"/>
            <w:tcBorders>
              <w:top w:val="nil"/>
              <w:left w:val="nil"/>
              <w:bottom w:val="nil"/>
              <w:right w:val="nil"/>
            </w:tcBorders>
            <w:shd w:val="clear" w:color="auto" w:fill="auto"/>
            <w:noWrap/>
            <w:hideMark/>
          </w:tcPr>
          <w:p w14:paraId="5AEFAE64"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maximum energy from 75Hz to 4000Hz</w:t>
            </w:r>
          </w:p>
        </w:tc>
        <w:tc>
          <w:tcPr>
            <w:tcW w:w="686" w:type="pct"/>
            <w:tcBorders>
              <w:top w:val="nil"/>
              <w:left w:val="nil"/>
              <w:bottom w:val="nil"/>
              <w:right w:val="nil"/>
            </w:tcBorders>
            <w:shd w:val="clear" w:color="auto" w:fill="auto"/>
            <w:noWrap/>
            <w:hideMark/>
          </w:tcPr>
          <w:p w14:paraId="38020DE4" w14:textId="4DF42819"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731D6BFF" w14:textId="77777777" w:rsidTr="00AC4D54">
        <w:trPr>
          <w:trHeight w:val="288"/>
        </w:trPr>
        <w:tc>
          <w:tcPr>
            <w:tcW w:w="1529" w:type="pct"/>
            <w:tcBorders>
              <w:top w:val="nil"/>
              <w:left w:val="nil"/>
              <w:right w:val="nil"/>
            </w:tcBorders>
            <w:shd w:val="clear" w:color="auto" w:fill="auto"/>
            <w:noWrap/>
            <w:hideMark/>
          </w:tcPr>
          <w:p w14:paraId="5F05451A"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Mid-Frequency Energy Pause*</w:t>
            </w:r>
          </w:p>
        </w:tc>
        <w:tc>
          <w:tcPr>
            <w:tcW w:w="2785" w:type="pct"/>
            <w:tcBorders>
              <w:top w:val="nil"/>
              <w:left w:val="nil"/>
              <w:right w:val="nil"/>
            </w:tcBorders>
            <w:shd w:val="clear" w:color="auto" w:fill="auto"/>
            <w:noWrap/>
            <w:hideMark/>
          </w:tcPr>
          <w:p w14:paraId="6838E44A"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maximum energy from 75Hz to 4000Hz</w:t>
            </w:r>
          </w:p>
        </w:tc>
        <w:tc>
          <w:tcPr>
            <w:tcW w:w="686" w:type="pct"/>
            <w:tcBorders>
              <w:top w:val="nil"/>
              <w:left w:val="nil"/>
              <w:right w:val="nil"/>
            </w:tcBorders>
            <w:shd w:val="clear" w:color="auto" w:fill="auto"/>
            <w:noWrap/>
            <w:hideMark/>
          </w:tcPr>
          <w:p w14:paraId="699ACFA9" w14:textId="20C038CB"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504648ED" w14:textId="77777777" w:rsidTr="00AC4D54">
        <w:trPr>
          <w:trHeight w:val="288"/>
        </w:trPr>
        <w:tc>
          <w:tcPr>
            <w:tcW w:w="1529" w:type="pct"/>
            <w:tcBorders>
              <w:top w:val="nil"/>
              <w:left w:val="nil"/>
              <w:right w:val="nil"/>
            </w:tcBorders>
            <w:shd w:val="clear" w:color="auto" w:fill="auto"/>
            <w:noWrap/>
          </w:tcPr>
          <w:p w14:paraId="182310B3" w14:textId="3A3A95C1"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Maximum Mid-Frequency Energy Rate*</w:t>
            </w:r>
          </w:p>
        </w:tc>
        <w:tc>
          <w:tcPr>
            <w:tcW w:w="2785" w:type="pct"/>
            <w:tcBorders>
              <w:top w:val="nil"/>
              <w:left w:val="nil"/>
              <w:right w:val="nil"/>
            </w:tcBorders>
            <w:shd w:val="clear" w:color="auto" w:fill="auto"/>
            <w:noWrap/>
          </w:tcPr>
          <w:p w14:paraId="14445AC7" w14:textId="748FEDC5"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maximum energy from 75Hz to 4000Hz</w:t>
            </w:r>
          </w:p>
        </w:tc>
        <w:tc>
          <w:tcPr>
            <w:tcW w:w="686" w:type="pct"/>
            <w:tcBorders>
              <w:top w:val="nil"/>
              <w:left w:val="nil"/>
              <w:right w:val="nil"/>
            </w:tcBorders>
            <w:shd w:val="clear" w:color="auto" w:fill="auto"/>
            <w:noWrap/>
          </w:tcPr>
          <w:p w14:paraId="1D5B3D2A" w14:textId="6455B5D4"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73256F7C" w14:textId="77777777" w:rsidTr="00AC4D54">
        <w:trPr>
          <w:trHeight w:val="288"/>
        </w:trPr>
        <w:tc>
          <w:tcPr>
            <w:tcW w:w="1529" w:type="pct"/>
            <w:tcBorders>
              <w:left w:val="nil"/>
              <w:bottom w:val="nil"/>
              <w:right w:val="nil"/>
            </w:tcBorders>
            <w:shd w:val="clear" w:color="auto" w:fill="auto"/>
            <w:noWrap/>
            <w:hideMark/>
          </w:tcPr>
          <w:p w14:paraId="257FE299"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Flux Duration</w:t>
            </w:r>
          </w:p>
        </w:tc>
        <w:tc>
          <w:tcPr>
            <w:tcW w:w="2785" w:type="pct"/>
            <w:tcBorders>
              <w:left w:val="nil"/>
              <w:bottom w:val="nil"/>
              <w:right w:val="nil"/>
            </w:tcBorders>
            <w:shd w:val="clear" w:color="auto" w:fill="auto"/>
            <w:noWrap/>
            <w:hideMark/>
          </w:tcPr>
          <w:p w14:paraId="3624C6D3"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spectral flux</w:t>
            </w:r>
          </w:p>
        </w:tc>
        <w:tc>
          <w:tcPr>
            <w:tcW w:w="686" w:type="pct"/>
            <w:tcBorders>
              <w:left w:val="nil"/>
              <w:bottom w:val="nil"/>
              <w:right w:val="nil"/>
            </w:tcBorders>
            <w:shd w:val="clear" w:color="auto" w:fill="auto"/>
            <w:noWrap/>
            <w:hideMark/>
          </w:tcPr>
          <w:p w14:paraId="3BEC4BD1" w14:textId="5170D571" w:rsidR="006810CF" w:rsidRPr="002C4F8E" w:rsidRDefault="0038740A"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CD084E">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id":"ITEM-5","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applications","id":"ITEM-5","issued":{"date-parts":[["2008"]]},"page":"261-268","publisher":"Springer","title":"A matlab toolbox for music information retrieval","type":"chapter"},"uris":["http://www.mendeley.com/documents/?uuid=7da77ba9-b840-4415-9bef-0eb226ef274f"]},{"id":"ITEM-6","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America","id":"ITEM-6","issue":"5","issued":{"date-parts":[["2011"]]},"page":"2902-2916","publisher":"Acoustical Society of America","title":"The timbre toolbox: Extracting audio descriptors from musical signals","type":"article-journal","volume":"130"},"uris":["http://www.mendeley.com/documents/?uuid=a5e3022d-d1bc-4766-bec0-022f34735b50"]},{"id":"ITEM-7","itemData":{"author":[{"dropping-particle":"","family":"Dixon","given":"Simon","non-dropping-particle":"","parse-names":false,"suffix":""}],"container-title":"Proceedings of the 9th International Conference on Digital Audio Effects","id":"ITEM-7","issued":{"date-parts":[["2006"]]},"page":"133-137","publisher":"Citeseer","title":"Onset detection revisited","type":"paper-conference","volume":"120"},"uris":["http://www.mendeley.com/documents/?uuid=271c0e4d-f5d0-467e-afee-995678cd2f93"]}],"mendeley":{"formattedCitation":"(6–8,12,13,15,17)","plainTextFormattedCitation":"(6–8,12,13,15,17)","previouslyFormattedCitation":"(6–8,12,13,15,17)"},"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00CD084E" w:rsidRPr="00CD084E">
              <w:rPr>
                <w:rFonts w:ascii="Times New Roman" w:eastAsia="Times New Roman" w:hAnsi="Times New Roman" w:cs="Times New Roman"/>
                <w:noProof/>
                <w:color w:val="000000"/>
                <w:lang w:eastAsia="en-AU"/>
              </w:rPr>
              <w:t>(6–8,12,13,15,17)</w:t>
            </w:r>
            <w:r>
              <w:rPr>
                <w:rFonts w:ascii="Times New Roman" w:eastAsia="Times New Roman" w:hAnsi="Times New Roman" w:cs="Times New Roman"/>
                <w:color w:val="000000"/>
                <w:lang w:eastAsia="en-AU"/>
              </w:rPr>
              <w:fldChar w:fldCharType="end"/>
            </w:r>
          </w:p>
        </w:tc>
      </w:tr>
      <w:tr w:rsidR="006810CF" w:rsidRPr="002C4F8E" w14:paraId="095FCD88" w14:textId="77777777" w:rsidTr="00AC4D54">
        <w:trPr>
          <w:trHeight w:val="288"/>
        </w:trPr>
        <w:tc>
          <w:tcPr>
            <w:tcW w:w="1529" w:type="pct"/>
            <w:tcBorders>
              <w:top w:val="nil"/>
              <w:left w:val="nil"/>
              <w:bottom w:val="nil"/>
              <w:right w:val="nil"/>
            </w:tcBorders>
            <w:shd w:val="clear" w:color="auto" w:fill="auto"/>
            <w:noWrap/>
            <w:hideMark/>
          </w:tcPr>
          <w:p w14:paraId="7D9823F3"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Flux Pause</w:t>
            </w:r>
          </w:p>
        </w:tc>
        <w:tc>
          <w:tcPr>
            <w:tcW w:w="2785" w:type="pct"/>
            <w:tcBorders>
              <w:top w:val="nil"/>
              <w:left w:val="nil"/>
              <w:bottom w:val="nil"/>
              <w:right w:val="nil"/>
            </w:tcBorders>
            <w:shd w:val="clear" w:color="auto" w:fill="auto"/>
            <w:noWrap/>
            <w:hideMark/>
          </w:tcPr>
          <w:p w14:paraId="50A80E26"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spectral flux</w:t>
            </w:r>
          </w:p>
        </w:tc>
        <w:tc>
          <w:tcPr>
            <w:tcW w:w="686" w:type="pct"/>
            <w:tcBorders>
              <w:top w:val="nil"/>
              <w:left w:val="nil"/>
              <w:bottom w:val="nil"/>
              <w:right w:val="nil"/>
            </w:tcBorders>
            <w:shd w:val="clear" w:color="auto" w:fill="auto"/>
            <w:noWrap/>
            <w:hideMark/>
          </w:tcPr>
          <w:p w14:paraId="5A339ECC" w14:textId="59BD26EA" w:rsidR="006810CF" w:rsidRPr="002C4F8E" w:rsidRDefault="00CD084E"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id":"ITEM-5","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applications","id":"ITEM-5","issued":{"date-parts":[["2008"]]},"page":"261-268","publisher":"Springer","title":"A matlab toolbox for music information retrieval","type":"chapter"},"uris":["http://www.mendeley.com/documents/?uuid=7da77ba9-b840-4415-9bef-0eb226ef274f"]},{"id":"ITEM-6","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America","id":"ITEM-6","issue":"5","issued":{"date-parts":[["2011"]]},"page":"2902-2916","publisher":"Acoustical Society of America","title":"The timbre toolbox: Extracting audio descriptors from musical signals","type":"article-journal","volume":"130"},"uris":["http://www.mendeley.com/documents/?uuid=a5e3022d-d1bc-4766-bec0-022f34735b50"]},{"id":"ITEM-7","itemData":{"author":[{"dropping-particle":"","family":"Dixon","given":"Simon","non-dropping-particle":"","parse-names":false,"suffix":""}],"container-title":"Proceedings of the 9th International Conference on Digital Audio Effects","id":"ITEM-7","issued":{"date-parts":[["2006"]]},"page":"133-137","publisher":"Citeseer","title":"Onset detection revisited","type":"paper-conference","volume":"120"},"uris":["http://www.mendeley.com/documents/?uuid=271c0e4d-f5d0-467e-afee-995678cd2f93"]}],"mendeley":{"formattedCitation":"(6–8,12,13,15,17)","plainTextFormattedCitation":"(6–8,12,13,15,17)","previouslyFormattedCitation":"(6–8,12,13,15,17)"},"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CD084E">
              <w:rPr>
                <w:rFonts w:ascii="Times New Roman" w:eastAsia="Times New Roman" w:hAnsi="Times New Roman" w:cs="Times New Roman"/>
                <w:noProof/>
                <w:color w:val="000000"/>
                <w:lang w:eastAsia="en-AU"/>
              </w:rPr>
              <w:t>(6–8,12,13,15,17)</w:t>
            </w:r>
            <w:r>
              <w:rPr>
                <w:rFonts w:ascii="Times New Roman" w:eastAsia="Times New Roman" w:hAnsi="Times New Roman" w:cs="Times New Roman"/>
                <w:color w:val="000000"/>
                <w:lang w:eastAsia="en-AU"/>
              </w:rPr>
              <w:fldChar w:fldCharType="end"/>
            </w:r>
          </w:p>
        </w:tc>
      </w:tr>
      <w:tr w:rsidR="006810CF" w:rsidRPr="002C4F8E" w14:paraId="1FD85B7E" w14:textId="77777777" w:rsidTr="00AC4D54">
        <w:trPr>
          <w:trHeight w:val="288"/>
        </w:trPr>
        <w:tc>
          <w:tcPr>
            <w:tcW w:w="1529" w:type="pct"/>
            <w:tcBorders>
              <w:top w:val="nil"/>
              <w:left w:val="nil"/>
              <w:bottom w:val="nil"/>
              <w:right w:val="nil"/>
            </w:tcBorders>
            <w:shd w:val="clear" w:color="auto" w:fill="auto"/>
            <w:noWrap/>
            <w:hideMark/>
          </w:tcPr>
          <w:p w14:paraId="6923641E"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Spectral Flux Rate</w:t>
            </w:r>
          </w:p>
        </w:tc>
        <w:tc>
          <w:tcPr>
            <w:tcW w:w="2785" w:type="pct"/>
            <w:tcBorders>
              <w:top w:val="nil"/>
              <w:left w:val="nil"/>
              <w:bottom w:val="nil"/>
              <w:right w:val="nil"/>
            </w:tcBorders>
            <w:shd w:val="clear" w:color="auto" w:fill="auto"/>
            <w:noWrap/>
            <w:hideMark/>
          </w:tcPr>
          <w:p w14:paraId="0DC4B163"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spectral flux</w:t>
            </w:r>
          </w:p>
        </w:tc>
        <w:tc>
          <w:tcPr>
            <w:tcW w:w="686" w:type="pct"/>
            <w:tcBorders>
              <w:top w:val="nil"/>
              <w:left w:val="nil"/>
              <w:bottom w:val="nil"/>
              <w:right w:val="nil"/>
            </w:tcBorders>
            <w:shd w:val="clear" w:color="auto" w:fill="auto"/>
            <w:noWrap/>
            <w:hideMark/>
          </w:tcPr>
          <w:p w14:paraId="4DD5D850" w14:textId="1CCF3CB2" w:rsidR="006810CF" w:rsidRPr="002C4F8E" w:rsidRDefault="00CD084E"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id":"ITEM-5","itemData":{"author":[{"dropping-particle":"","family":"Lartillot","given":"Olivier","non-dropping-particle":"","parse-names":false,"suffix":""},{"dropping-particle":"","family":"Toiviainen","given":"Petri","non-dropping-particle":"","parse-names":false,"suffix":""},{"dropping-particle":"","family":"Eerola","given":"Tuomas","non-dropping-particle":"","parse-names":false,"suffix":""}],"container-title":"Data analysis, machine learning and applications","id":"ITEM-5","issued":{"date-parts":[["2008"]]},"page":"261-268","publisher":"Springer","title":"A matlab toolbox for music information retrieval","type":"chapter"},"uris":["http://www.mendeley.com/documents/?uuid=7da77ba9-b840-4415-9bef-0eb226ef274f"]},{"id":"ITEM-6","itemData":{"ISSN":"0001-4966","author":[{"dropping-particle":"","family":"Peeters","given":"Geoffroy","non-dropping-particle":"","parse-names":false,"suffix":""},{"dropping-particle":"","family":"Giordano","given":"Bruno L","non-dropping-particle":"","parse-names":false,"suffix":""},{"dropping-particle":"","family":"Susini","given":"Patrick","non-dropping-particle":"","parse-names":false,"suffix":""},{"dropping-particle":"","family":"Misdariis","given":"Nicolas","non-dropping-particle":"","parse-names":false,"suffix":""},{"dropping-particle":"","family":"McAdams","given":"Stephen","non-dropping-particle":"","parse-names":false,"suffix":""}],"container-title":"The Journal of the Acoustical Society of America","id":"ITEM-6","issue":"5","issued":{"date-parts":[["2011"]]},"page":"2902-2916","publisher":"Acoustical Society of America","title":"The timbre toolbox: Extracting audio descriptors from musical signals","type":"article-journal","volume":"130"},"uris":["http://www.mendeley.com/documents/?uuid=a5e3022d-d1bc-4766-bec0-022f34735b50"]},{"id":"ITEM-7","itemData":{"author":[{"dropping-particle":"","family":"Dixon","given":"Simon","non-dropping-particle":"","parse-names":false,"suffix":""}],"container-title":"Proceedings of the 9th International Conference on Digital Audio Effects","id":"ITEM-7","issued":{"date-parts":[["2006"]]},"page":"133-137","publisher":"Citeseer","title":"Onset detection revisited","type":"paper-conference","volume":"120"},"uris":["http://www.mendeley.com/documents/?uuid=271c0e4d-f5d0-467e-afee-995678cd2f93"]}],"mendeley":{"formattedCitation":"(6–8,12,13,15,17)","plainTextFormattedCitation":"(6–8,12,13,15,17)","previouslyFormattedCitation":"(6–8,12,13,15,17)"},"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CD084E">
              <w:rPr>
                <w:rFonts w:ascii="Times New Roman" w:eastAsia="Times New Roman" w:hAnsi="Times New Roman" w:cs="Times New Roman"/>
                <w:noProof/>
                <w:color w:val="000000"/>
                <w:lang w:eastAsia="en-AU"/>
              </w:rPr>
              <w:t>(6–8,12,13,15,17)</w:t>
            </w:r>
            <w:r>
              <w:rPr>
                <w:rFonts w:ascii="Times New Roman" w:eastAsia="Times New Roman" w:hAnsi="Times New Roman" w:cs="Times New Roman"/>
                <w:color w:val="000000"/>
                <w:lang w:eastAsia="en-AU"/>
              </w:rPr>
              <w:fldChar w:fldCharType="end"/>
            </w:r>
          </w:p>
        </w:tc>
      </w:tr>
      <w:tr w:rsidR="007705E9" w:rsidRPr="002C4F8E" w14:paraId="1864D57E" w14:textId="77777777" w:rsidTr="007705E9">
        <w:trPr>
          <w:trHeight w:val="288"/>
        </w:trPr>
        <w:tc>
          <w:tcPr>
            <w:tcW w:w="1529" w:type="pct"/>
            <w:tcBorders>
              <w:top w:val="nil"/>
              <w:left w:val="nil"/>
              <w:bottom w:val="single" w:sz="4" w:space="0" w:color="auto"/>
              <w:right w:val="nil"/>
            </w:tcBorders>
            <w:shd w:val="clear" w:color="auto" w:fill="auto"/>
            <w:noWrap/>
          </w:tcPr>
          <w:p w14:paraId="68CE265C" w14:textId="77777777" w:rsidR="007705E9" w:rsidRPr="002C4F8E" w:rsidRDefault="007705E9" w:rsidP="00D823B8">
            <w:pPr>
              <w:spacing w:after="0" w:line="240" w:lineRule="auto"/>
              <w:rPr>
                <w:rFonts w:ascii="Times New Roman" w:eastAsia="Times New Roman" w:hAnsi="Times New Roman" w:cs="Times New Roman"/>
                <w:color w:val="000000"/>
                <w:lang w:eastAsia="en-AU"/>
              </w:rPr>
            </w:pPr>
          </w:p>
        </w:tc>
        <w:tc>
          <w:tcPr>
            <w:tcW w:w="2785" w:type="pct"/>
            <w:tcBorders>
              <w:top w:val="nil"/>
              <w:left w:val="nil"/>
              <w:bottom w:val="single" w:sz="4" w:space="0" w:color="auto"/>
              <w:right w:val="nil"/>
            </w:tcBorders>
            <w:shd w:val="clear" w:color="auto" w:fill="auto"/>
            <w:noWrap/>
          </w:tcPr>
          <w:p w14:paraId="47A28471" w14:textId="77777777" w:rsidR="007705E9" w:rsidRPr="002C4F8E" w:rsidRDefault="007705E9" w:rsidP="00D823B8">
            <w:pPr>
              <w:spacing w:after="0" w:line="240" w:lineRule="auto"/>
              <w:rPr>
                <w:rFonts w:ascii="Times New Roman" w:eastAsia="Times New Roman" w:hAnsi="Times New Roman" w:cs="Times New Roman"/>
                <w:color w:val="000000"/>
                <w:lang w:eastAsia="en-AU"/>
              </w:rPr>
            </w:pPr>
          </w:p>
        </w:tc>
        <w:tc>
          <w:tcPr>
            <w:tcW w:w="686" w:type="pct"/>
            <w:tcBorders>
              <w:top w:val="nil"/>
              <w:left w:val="nil"/>
              <w:bottom w:val="single" w:sz="4" w:space="0" w:color="auto"/>
              <w:right w:val="nil"/>
            </w:tcBorders>
            <w:shd w:val="clear" w:color="auto" w:fill="auto"/>
            <w:noWrap/>
          </w:tcPr>
          <w:p w14:paraId="40BFC7E8" w14:textId="77777777" w:rsidR="007705E9" w:rsidRDefault="007705E9" w:rsidP="00D823B8">
            <w:pPr>
              <w:spacing w:after="0" w:line="240" w:lineRule="auto"/>
              <w:rPr>
                <w:rFonts w:ascii="Times New Roman" w:eastAsia="Times New Roman" w:hAnsi="Times New Roman" w:cs="Times New Roman"/>
                <w:color w:val="000000"/>
                <w:lang w:eastAsia="en-AU"/>
              </w:rPr>
            </w:pPr>
          </w:p>
        </w:tc>
      </w:tr>
      <w:tr w:rsidR="000F4BFE" w:rsidRPr="002C4F8E" w14:paraId="479358D9" w14:textId="77777777" w:rsidTr="007705E9">
        <w:trPr>
          <w:trHeight w:val="288"/>
        </w:trPr>
        <w:tc>
          <w:tcPr>
            <w:tcW w:w="1529" w:type="pct"/>
            <w:tcBorders>
              <w:top w:val="single" w:sz="4" w:space="0" w:color="auto"/>
              <w:left w:val="nil"/>
              <w:bottom w:val="single" w:sz="4" w:space="0" w:color="auto"/>
              <w:right w:val="nil"/>
            </w:tcBorders>
            <w:shd w:val="clear" w:color="auto" w:fill="auto"/>
            <w:noWrap/>
          </w:tcPr>
          <w:p w14:paraId="5A69DD8E" w14:textId="2A3C19DD" w:rsidR="000F4BFE" w:rsidRPr="002C4F8E" w:rsidRDefault="007705E9"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b/>
                <w:bCs/>
                <w:i/>
                <w:iCs/>
                <w:lang w:eastAsia="en-AU"/>
              </w:rPr>
              <w:t>continued</w:t>
            </w:r>
          </w:p>
        </w:tc>
        <w:tc>
          <w:tcPr>
            <w:tcW w:w="2785" w:type="pct"/>
            <w:tcBorders>
              <w:top w:val="single" w:sz="4" w:space="0" w:color="auto"/>
              <w:left w:val="nil"/>
              <w:bottom w:val="single" w:sz="4" w:space="0" w:color="auto"/>
              <w:right w:val="nil"/>
            </w:tcBorders>
            <w:shd w:val="clear" w:color="auto" w:fill="auto"/>
            <w:noWrap/>
          </w:tcPr>
          <w:p w14:paraId="2A6588FF" w14:textId="77777777" w:rsidR="000F4BFE" w:rsidRPr="002C4F8E" w:rsidRDefault="000F4BFE" w:rsidP="00D823B8">
            <w:pPr>
              <w:spacing w:after="0" w:line="240" w:lineRule="auto"/>
              <w:rPr>
                <w:rFonts w:ascii="Times New Roman" w:eastAsia="Times New Roman" w:hAnsi="Times New Roman" w:cs="Times New Roman"/>
                <w:color w:val="000000"/>
                <w:lang w:eastAsia="en-AU"/>
              </w:rPr>
            </w:pPr>
          </w:p>
        </w:tc>
        <w:tc>
          <w:tcPr>
            <w:tcW w:w="686" w:type="pct"/>
            <w:tcBorders>
              <w:top w:val="single" w:sz="4" w:space="0" w:color="auto"/>
              <w:left w:val="nil"/>
              <w:bottom w:val="single" w:sz="4" w:space="0" w:color="auto"/>
              <w:right w:val="nil"/>
            </w:tcBorders>
            <w:shd w:val="clear" w:color="auto" w:fill="auto"/>
            <w:noWrap/>
          </w:tcPr>
          <w:p w14:paraId="14457482" w14:textId="77777777" w:rsidR="000F4BFE" w:rsidRDefault="000F4BFE" w:rsidP="00D823B8">
            <w:pPr>
              <w:spacing w:after="0" w:line="240" w:lineRule="auto"/>
              <w:rPr>
                <w:rFonts w:ascii="Times New Roman" w:eastAsia="Times New Roman" w:hAnsi="Times New Roman" w:cs="Times New Roman"/>
                <w:color w:val="000000"/>
                <w:lang w:eastAsia="en-AU"/>
              </w:rPr>
            </w:pPr>
          </w:p>
        </w:tc>
      </w:tr>
      <w:tr w:rsidR="006810CF" w:rsidRPr="002C4F8E" w14:paraId="7DAC8D37" w14:textId="77777777" w:rsidTr="007705E9">
        <w:trPr>
          <w:trHeight w:val="288"/>
        </w:trPr>
        <w:tc>
          <w:tcPr>
            <w:tcW w:w="1529" w:type="pct"/>
            <w:tcBorders>
              <w:top w:val="single" w:sz="4" w:space="0" w:color="auto"/>
              <w:left w:val="nil"/>
              <w:right w:val="nil"/>
            </w:tcBorders>
            <w:shd w:val="clear" w:color="auto" w:fill="auto"/>
            <w:noWrap/>
            <w:hideMark/>
          </w:tcPr>
          <w:p w14:paraId="487988E0"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lastRenderedPageBreak/>
              <w:t>Summed Broadband Energy Duration*</w:t>
            </w:r>
          </w:p>
        </w:tc>
        <w:tc>
          <w:tcPr>
            <w:tcW w:w="2785" w:type="pct"/>
            <w:tcBorders>
              <w:top w:val="single" w:sz="4" w:space="0" w:color="auto"/>
              <w:left w:val="nil"/>
              <w:right w:val="nil"/>
            </w:tcBorders>
            <w:shd w:val="clear" w:color="auto" w:fill="auto"/>
            <w:noWrap/>
            <w:hideMark/>
          </w:tcPr>
          <w:p w14:paraId="7984E02C"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summed broadband energy profiles</w:t>
            </w:r>
          </w:p>
        </w:tc>
        <w:tc>
          <w:tcPr>
            <w:tcW w:w="686" w:type="pct"/>
            <w:tcBorders>
              <w:top w:val="single" w:sz="4" w:space="0" w:color="auto"/>
              <w:left w:val="nil"/>
              <w:right w:val="nil"/>
            </w:tcBorders>
            <w:shd w:val="clear" w:color="auto" w:fill="auto"/>
            <w:noWrap/>
            <w:hideMark/>
          </w:tcPr>
          <w:p w14:paraId="79990047" w14:textId="1FC1EA47" w:rsidR="006810CF" w:rsidRPr="002C4F8E" w:rsidRDefault="00CD084E"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456EC018" w14:textId="77777777" w:rsidTr="007705E9">
        <w:trPr>
          <w:trHeight w:val="288"/>
        </w:trPr>
        <w:tc>
          <w:tcPr>
            <w:tcW w:w="1529" w:type="pct"/>
            <w:tcBorders>
              <w:top w:val="nil"/>
              <w:left w:val="nil"/>
              <w:right w:val="nil"/>
            </w:tcBorders>
            <w:shd w:val="clear" w:color="auto" w:fill="auto"/>
            <w:noWrap/>
            <w:hideMark/>
          </w:tcPr>
          <w:p w14:paraId="5A1AB445"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Broadband Energy Pause*</w:t>
            </w:r>
          </w:p>
        </w:tc>
        <w:tc>
          <w:tcPr>
            <w:tcW w:w="2785" w:type="pct"/>
            <w:tcBorders>
              <w:top w:val="nil"/>
              <w:left w:val="nil"/>
              <w:right w:val="nil"/>
            </w:tcBorders>
            <w:shd w:val="clear" w:color="auto" w:fill="auto"/>
            <w:noWrap/>
            <w:hideMark/>
          </w:tcPr>
          <w:p w14:paraId="4D82B3B3"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summed broadband energy profiles</w:t>
            </w:r>
          </w:p>
        </w:tc>
        <w:tc>
          <w:tcPr>
            <w:tcW w:w="686" w:type="pct"/>
            <w:tcBorders>
              <w:top w:val="nil"/>
              <w:left w:val="nil"/>
              <w:right w:val="nil"/>
            </w:tcBorders>
            <w:shd w:val="clear" w:color="auto" w:fill="auto"/>
            <w:noWrap/>
            <w:hideMark/>
          </w:tcPr>
          <w:p w14:paraId="2A34C4CD" w14:textId="18170266"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1FC49BD6" w14:textId="77777777" w:rsidTr="007705E9">
        <w:trPr>
          <w:trHeight w:val="288"/>
        </w:trPr>
        <w:tc>
          <w:tcPr>
            <w:tcW w:w="1529" w:type="pct"/>
            <w:tcBorders>
              <w:left w:val="nil"/>
              <w:bottom w:val="nil"/>
              <w:right w:val="nil"/>
            </w:tcBorders>
            <w:shd w:val="clear" w:color="auto" w:fill="auto"/>
            <w:noWrap/>
            <w:hideMark/>
          </w:tcPr>
          <w:p w14:paraId="6712FCC2"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Broadband Energy Rate*</w:t>
            </w:r>
          </w:p>
        </w:tc>
        <w:tc>
          <w:tcPr>
            <w:tcW w:w="2785" w:type="pct"/>
            <w:tcBorders>
              <w:left w:val="nil"/>
              <w:bottom w:val="nil"/>
              <w:right w:val="nil"/>
            </w:tcBorders>
            <w:shd w:val="clear" w:color="auto" w:fill="auto"/>
            <w:noWrap/>
            <w:hideMark/>
          </w:tcPr>
          <w:p w14:paraId="5E779A55"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summed broadband energy profiles</w:t>
            </w:r>
          </w:p>
        </w:tc>
        <w:tc>
          <w:tcPr>
            <w:tcW w:w="686" w:type="pct"/>
            <w:tcBorders>
              <w:left w:val="nil"/>
              <w:bottom w:val="nil"/>
              <w:right w:val="nil"/>
            </w:tcBorders>
            <w:shd w:val="clear" w:color="auto" w:fill="auto"/>
            <w:noWrap/>
            <w:hideMark/>
          </w:tcPr>
          <w:p w14:paraId="2D689263" w14:textId="7F6F5A63"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72AB624" w14:textId="77777777" w:rsidTr="00AC4D54">
        <w:trPr>
          <w:trHeight w:val="288"/>
        </w:trPr>
        <w:tc>
          <w:tcPr>
            <w:tcW w:w="1529" w:type="pct"/>
            <w:tcBorders>
              <w:top w:val="nil"/>
              <w:left w:val="nil"/>
              <w:bottom w:val="nil"/>
              <w:right w:val="nil"/>
            </w:tcBorders>
            <w:shd w:val="clear" w:color="auto" w:fill="auto"/>
            <w:noWrap/>
            <w:hideMark/>
          </w:tcPr>
          <w:p w14:paraId="5D241159"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f0 Energy Duration*</w:t>
            </w:r>
          </w:p>
        </w:tc>
        <w:tc>
          <w:tcPr>
            <w:tcW w:w="2785" w:type="pct"/>
            <w:tcBorders>
              <w:top w:val="nil"/>
              <w:left w:val="nil"/>
              <w:bottom w:val="nil"/>
              <w:right w:val="nil"/>
            </w:tcBorders>
            <w:shd w:val="clear" w:color="auto" w:fill="auto"/>
            <w:noWrap/>
            <w:hideMark/>
          </w:tcPr>
          <w:p w14:paraId="4BBA7B84"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summed energy from 75Hz to 500Hz</w:t>
            </w:r>
          </w:p>
        </w:tc>
        <w:tc>
          <w:tcPr>
            <w:tcW w:w="686" w:type="pct"/>
            <w:tcBorders>
              <w:top w:val="nil"/>
              <w:left w:val="nil"/>
              <w:bottom w:val="nil"/>
              <w:right w:val="nil"/>
            </w:tcBorders>
            <w:shd w:val="clear" w:color="auto" w:fill="auto"/>
            <w:noWrap/>
            <w:hideMark/>
          </w:tcPr>
          <w:p w14:paraId="4C215E47" w14:textId="7E3B7DBB"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74C6F7DF" w14:textId="77777777" w:rsidTr="00AC4D54">
        <w:trPr>
          <w:trHeight w:val="288"/>
        </w:trPr>
        <w:tc>
          <w:tcPr>
            <w:tcW w:w="1529" w:type="pct"/>
            <w:tcBorders>
              <w:top w:val="nil"/>
              <w:left w:val="nil"/>
              <w:bottom w:val="nil"/>
              <w:right w:val="nil"/>
            </w:tcBorders>
            <w:shd w:val="clear" w:color="auto" w:fill="auto"/>
            <w:noWrap/>
            <w:hideMark/>
          </w:tcPr>
          <w:p w14:paraId="46EBCC10"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f0 Energy Pause*</w:t>
            </w:r>
          </w:p>
        </w:tc>
        <w:tc>
          <w:tcPr>
            <w:tcW w:w="2785" w:type="pct"/>
            <w:tcBorders>
              <w:top w:val="nil"/>
              <w:left w:val="nil"/>
              <w:bottom w:val="nil"/>
              <w:right w:val="nil"/>
            </w:tcBorders>
            <w:shd w:val="clear" w:color="auto" w:fill="auto"/>
            <w:noWrap/>
            <w:hideMark/>
          </w:tcPr>
          <w:p w14:paraId="5F005FD9"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summed energy from 75Hz to 500Hz</w:t>
            </w:r>
          </w:p>
        </w:tc>
        <w:tc>
          <w:tcPr>
            <w:tcW w:w="686" w:type="pct"/>
            <w:tcBorders>
              <w:top w:val="nil"/>
              <w:left w:val="nil"/>
              <w:bottom w:val="nil"/>
              <w:right w:val="nil"/>
            </w:tcBorders>
            <w:shd w:val="clear" w:color="auto" w:fill="auto"/>
            <w:noWrap/>
            <w:hideMark/>
          </w:tcPr>
          <w:p w14:paraId="2C69E019" w14:textId="578E497B"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F2E0ECD" w14:textId="77777777" w:rsidTr="00AC4D54">
        <w:trPr>
          <w:trHeight w:val="288"/>
        </w:trPr>
        <w:tc>
          <w:tcPr>
            <w:tcW w:w="1529" w:type="pct"/>
            <w:tcBorders>
              <w:top w:val="nil"/>
              <w:left w:val="nil"/>
              <w:bottom w:val="nil"/>
              <w:right w:val="nil"/>
            </w:tcBorders>
            <w:shd w:val="clear" w:color="auto" w:fill="auto"/>
            <w:noWrap/>
            <w:hideMark/>
          </w:tcPr>
          <w:p w14:paraId="380E6FB4"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f0 Energy Rate*</w:t>
            </w:r>
          </w:p>
        </w:tc>
        <w:tc>
          <w:tcPr>
            <w:tcW w:w="2785" w:type="pct"/>
            <w:tcBorders>
              <w:top w:val="nil"/>
              <w:left w:val="nil"/>
              <w:bottom w:val="nil"/>
              <w:right w:val="nil"/>
            </w:tcBorders>
            <w:shd w:val="clear" w:color="auto" w:fill="auto"/>
            <w:noWrap/>
            <w:hideMark/>
          </w:tcPr>
          <w:p w14:paraId="1CE01560"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summed energy from 75Hz to 500Hz</w:t>
            </w:r>
          </w:p>
        </w:tc>
        <w:tc>
          <w:tcPr>
            <w:tcW w:w="686" w:type="pct"/>
            <w:tcBorders>
              <w:top w:val="nil"/>
              <w:left w:val="nil"/>
              <w:bottom w:val="nil"/>
              <w:right w:val="nil"/>
            </w:tcBorders>
            <w:shd w:val="clear" w:color="auto" w:fill="auto"/>
            <w:noWrap/>
            <w:hideMark/>
          </w:tcPr>
          <w:p w14:paraId="5BA0B434" w14:textId="601D0D8F"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7BDB696A" w14:textId="77777777" w:rsidTr="00AC4D54">
        <w:trPr>
          <w:trHeight w:val="288"/>
        </w:trPr>
        <w:tc>
          <w:tcPr>
            <w:tcW w:w="1529" w:type="pct"/>
            <w:tcBorders>
              <w:top w:val="nil"/>
              <w:left w:val="nil"/>
              <w:bottom w:val="nil"/>
              <w:right w:val="nil"/>
            </w:tcBorders>
            <w:shd w:val="clear" w:color="auto" w:fill="auto"/>
            <w:noWrap/>
            <w:hideMark/>
          </w:tcPr>
          <w:p w14:paraId="7C37F7D7"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High-Frequency Energy Duration*</w:t>
            </w:r>
          </w:p>
        </w:tc>
        <w:tc>
          <w:tcPr>
            <w:tcW w:w="2785" w:type="pct"/>
            <w:tcBorders>
              <w:top w:val="nil"/>
              <w:left w:val="nil"/>
              <w:bottom w:val="nil"/>
              <w:right w:val="nil"/>
            </w:tcBorders>
            <w:shd w:val="clear" w:color="auto" w:fill="auto"/>
            <w:noWrap/>
            <w:hideMark/>
          </w:tcPr>
          <w:p w14:paraId="0A2BDFAE"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summed energy from 4000Hz to 8000Hz</w:t>
            </w:r>
          </w:p>
        </w:tc>
        <w:tc>
          <w:tcPr>
            <w:tcW w:w="686" w:type="pct"/>
            <w:tcBorders>
              <w:top w:val="nil"/>
              <w:left w:val="nil"/>
              <w:bottom w:val="nil"/>
              <w:right w:val="nil"/>
            </w:tcBorders>
            <w:shd w:val="clear" w:color="auto" w:fill="auto"/>
            <w:noWrap/>
            <w:hideMark/>
          </w:tcPr>
          <w:p w14:paraId="5030D154" w14:textId="2D318D49"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A769A77" w14:textId="77777777" w:rsidTr="00AC4D54">
        <w:trPr>
          <w:trHeight w:val="288"/>
        </w:trPr>
        <w:tc>
          <w:tcPr>
            <w:tcW w:w="1529" w:type="pct"/>
            <w:tcBorders>
              <w:top w:val="nil"/>
              <w:left w:val="nil"/>
              <w:bottom w:val="nil"/>
              <w:right w:val="nil"/>
            </w:tcBorders>
            <w:shd w:val="clear" w:color="auto" w:fill="auto"/>
            <w:noWrap/>
            <w:hideMark/>
          </w:tcPr>
          <w:p w14:paraId="512AA0CB"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High-Frequency Energy Pause*</w:t>
            </w:r>
          </w:p>
        </w:tc>
        <w:tc>
          <w:tcPr>
            <w:tcW w:w="2785" w:type="pct"/>
            <w:tcBorders>
              <w:top w:val="nil"/>
              <w:left w:val="nil"/>
              <w:bottom w:val="nil"/>
              <w:right w:val="nil"/>
            </w:tcBorders>
            <w:shd w:val="clear" w:color="auto" w:fill="auto"/>
            <w:noWrap/>
            <w:hideMark/>
          </w:tcPr>
          <w:p w14:paraId="6B6776E4"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summed energy from 4000Hz to 8000Hz</w:t>
            </w:r>
          </w:p>
        </w:tc>
        <w:tc>
          <w:tcPr>
            <w:tcW w:w="686" w:type="pct"/>
            <w:tcBorders>
              <w:top w:val="nil"/>
              <w:left w:val="nil"/>
              <w:bottom w:val="nil"/>
              <w:right w:val="nil"/>
            </w:tcBorders>
            <w:shd w:val="clear" w:color="auto" w:fill="auto"/>
            <w:noWrap/>
            <w:hideMark/>
          </w:tcPr>
          <w:p w14:paraId="7B48FF49" w14:textId="3AA8410A"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6CF0F038" w14:textId="77777777" w:rsidTr="00AC4D54">
        <w:trPr>
          <w:trHeight w:val="288"/>
        </w:trPr>
        <w:tc>
          <w:tcPr>
            <w:tcW w:w="1529" w:type="pct"/>
            <w:tcBorders>
              <w:top w:val="nil"/>
              <w:left w:val="nil"/>
              <w:bottom w:val="nil"/>
              <w:right w:val="nil"/>
            </w:tcBorders>
            <w:shd w:val="clear" w:color="auto" w:fill="auto"/>
            <w:noWrap/>
            <w:hideMark/>
          </w:tcPr>
          <w:p w14:paraId="60C93828"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High-Frequency Energy Rate*</w:t>
            </w:r>
          </w:p>
        </w:tc>
        <w:tc>
          <w:tcPr>
            <w:tcW w:w="2785" w:type="pct"/>
            <w:tcBorders>
              <w:top w:val="nil"/>
              <w:left w:val="nil"/>
              <w:bottom w:val="nil"/>
              <w:right w:val="nil"/>
            </w:tcBorders>
            <w:shd w:val="clear" w:color="auto" w:fill="auto"/>
            <w:noWrap/>
            <w:hideMark/>
          </w:tcPr>
          <w:p w14:paraId="227C425B"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summed energy from 4000Hz to 8000Hz</w:t>
            </w:r>
          </w:p>
        </w:tc>
        <w:tc>
          <w:tcPr>
            <w:tcW w:w="686" w:type="pct"/>
            <w:tcBorders>
              <w:top w:val="nil"/>
              <w:left w:val="nil"/>
              <w:bottom w:val="nil"/>
              <w:right w:val="nil"/>
            </w:tcBorders>
            <w:shd w:val="clear" w:color="auto" w:fill="auto"/>
            <w:noWrap/>
            <w:hideMark/>
          </w:tcPr>
          <w:p w14:paraId="140A5F26" w14:textId="558972CB"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485FDA3" w14:textId="77777777" w:rsidTr="00AC4D54">
        <w:trPr>
          <w:trHeight w:val="288"/>
        </w:trPr>
        <w:tc>
          <w:tcPr>
            <w:tcW w:w="1529" w:type="pct"/>
            <w:tcBorders>
              <w:top w:val="nil"/>
              <w:left w:val="nil"/>
              <w:right w:val="nil"/>
            </w:tcBorders>
            <w:shd w:val="clear" w:color="auto" w:fill="auto"/>
            <w:noWrap/>
            <w:hideMark/>
          </w:tcPr>
          <w:p w14:paraId="1957EDD1"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Low-Frequency Energy Duration*</w:t>
            </w:r>
          </w:p>
        </w:tc>
        <w:tc>
          <w:tcPr>
            <w:tcW w:w="2785" w:type="pct"/>
            <w:tcBorders>
              <w:top w:val="nil"/>
              <w:left w:val="nil"/>
              <w:right w:val="nil"/>
            </w:tcBorders>
            <w:shd w:val="clear" w:color="auto" w:fill="auto"/>
            <w:noWrap/>
            <w:hideMark/>
          </w:tcPr>
          <w:p w14:paraId="5D4B3A93"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summed energy from 1Hz to 75Hz</w:t>
            </w:r>
          </w:p>
        </w:tc>
        <w:tc>
          <w:tcPr>
            <w:tcW w:w="686" w:type="pct"/>
            <w:tcBorders>
              <w:top w:val="nil"/>
              <w:left w:val="nil"/>
              <w:bottom w:val="nil"/>
              <w:right w:val="nil"/>
            </w:tcBorders>
            <w:shd w:val="clear" w:color="auto" w:fill="auto"/>
            <w:noWrap/>
            <w:hideMark/>
          </w:tcPr>
          <w:p w14:paraId="2A12F677" w14:textId="15EBC224"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21016FF2" w14:textId="77777777" w:rsidTr="00AC4D54">
        <w:trPr>
          <w:trHeight w:val="288"/>
        </w:trPr>
        <w:tc>
          <w:tcPr>
            <w:tcW w:w="1529" w:type="pct"/>
            <w:tcBorders>
              <w:left w:val="nil"/>
              <w:bottom w:val="nil"/>
              <w:right w:val="nil"/>
            </w:tcBorders>
            <w:shd w:val="clear" w:color="auto" w:fill="auto"/>
            <w:noWrap/>
            <w:hideMark/>
          </w:tcPr>
          <w:p w14:paraId="687FE487"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Low-Frequency Energy Pause*</w:t>
            </w:r>
          </w:p>
        </w:tc>
        <w:tc>
          <w:tcPr>
            <w:tcW w:w="2785" w:type="pct"/>
            <w:tcBorders>
              <w:left w:val="nil"/>
              <w:bottom w:val="nil"/>
              <w:right w:val="nil"/>
            </w:tcBorders>
            <w:shd w:val="clear" w:color="auto" w:fill="auto"/>
            <w:noWrap/>
            <w:hideMark/>
          </w:tcPr>
          <w:p w14:paraId="0D6F032F"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summed energy from 1Hz to 75Hz</w:t>
            </w:r>
          </w:p>
        </w:tc>
        <w:tc>
          <w:tcPr>
            <w:tcW w:w="686" w:type="pct"/>
            <w:tcBorders>
              <w:top w:val="nil"/>
              <w:left w:val="nil"/>
              <w:bottom w:val="nil"/>
              <w:right w:val="nil"/>
            </w:tcBorders>
            <w:shd w:val="clear" w:color="auto" w:fill="auto"/>
            <w:noWrap/>
            <w:hideMark/>
          </w:tcPr>
          <w:p w14:paraId="76D9EA61" w14:textId="253DA4DE"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B651DF4" w14:textId="77777777" w:rsidTr="00AC4D54">
        <w:trPr>
          <w:trHeight w:val="288"/>
        </w:trPr>
        <w:tc>
          <w:tcPr>
            <w:tcW w:w="1529" w:type="pct"/>
            <w:tcBorders>
              <w:top w:val="nil"/>
              <w:left w:val="nil"/>
              <w:bottom w:val="nil"/>
              <w:right w:val="nil"/>
            </w:tcBorders>
            <w:shd w:val="clear" w:color="auto" w:fill="auto"/>
            <w:noWrap/>
            <w:hideMark/>
          </w:tcPr>
          <w:p w14:paraId="0B5AA7BA"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Low-Frequency Energy Rate*</w:t>
            </w:r>
          </w:p>
        </w:tc>
        <w:tc>
          <w:tcPr>
            <w:tcW w:w="2785" w:type="pct"/>
            <w:tcBorders>
              <w:top w:val="nil"/>
              <w:left w:val="nil"/>
              <w:bottom w:val="nil"/>
              <w:right w:val="nil"/>
            </w:tcBorders>
            <w:shd w:val="clear" w:color="auto" w:fill="auto"/>
            <w:noWrap/>
            <w:hideMark/>
          </w:tcPr>
          <w:p w14:paraId="2FE14265"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summed energy from 1Hz to 75Hz</w:t>
            </w:r>
          </w:p>
        </w:tc>
        <w:tc>
          <w:tcPr>
            <w:tcW w:w="686" w:type="pct"/>
            <w:tcBorders>
              <w:top w:val="nil"/>
              <w:left w:val="nil"/>
              <w:bottom w:val="nil"/>
              <w:right w:val="nil"/>
            </w:tcBorders>
            <w:shd w:val="clear" w:color="auto" w:fill="auto"/>
            <w:noWrap/>
            <w:hideMark/>
          </w:tcPr>
          <w:p w14:paraId="6FBCDC87" w14:textId="6D55A805"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43BDFD4D" w14:textId="77777777" w:rsidTr="00AC4D54">
        <w:trPr>
          <w:trHeight w:val="288"/>
        </w:trPr>
        <w:tc>
          <w:tcPr>
            <w:tcW w:w="1529" w:type="pct"/>
            <w:tcBorders>
              <w:top w:val="nil"/>
              <w:left w:val="nil"/>
              <w:bottom w:val="nil"/>
              <w:right w:val="nil"/>
            </w:tcBorders>
            <w:shd w:val="clear" w:color="auto" w:fill="auto"/>
            <w:noWrap/>
            <w:hideMark/>
          </w:tcPr>
          <w:p w14:paraId="3F2275C4"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Mid-Frequency Energy Duration*</w:t>
            </w:r>
          </w:p>
        </w:tc>
        <w:tc>
          <w:tcPr>
            <w:tcW w:w="2785" w:type="pct"/>
            <w:tcBorders>
              <w:top w:val="nil"/>
              <w:left w:val="nil"/>
              <w:bottom w:val="nil"/>
              <w:right w:val="nil"/>
            </w:tcBorders>
            <w:shd w:val="clear" w:color="auto" w:fill="auto"/>
            <w:noWrap/>
            <w:hideMark/>
          </w:tcPr>
          <w:p w14:paraId="280CC894"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Duration of syllables based on summed energy from 75Hz to 4000Hz</w:t>
            </w:r>
          </w:p>
        </w:tc>
        <w:tc>
          <w:tcPr>
            <w:tcW w:w="686" w:type="pct"/>
            <w:tcBorders>
              <w:top w:val="nil"/>
              <w:left w:val="nil"/>
              <w:bottom w:val="nil"/>
              <w:right w:val="nil"/>
            </w:tcBorders>
            <w:shd w:val="clear" w:color="auto" w:fill="auto"/>
            <w:noWrap/>
            <w:hideMark/>
          </w:tcPr>
          <w:p w14:paraId="0D77B095" w14:textId="672E55A0"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3AC5E064" w14:textId="77777777" w:rsidTr="00AC4D54">
        <w:trPr>
          <w:trHeight w:val="288"/>
        </w:trPr>
        <w:tc>
          <w:tcPr>
            <w:tcW w:w="1529" w:type="pct"/>
            <w:tcBorders>
              <w:top w:val="nil"/>
              <w:left w:val="nil"/>
              <w:bottom w:val="nil"/>
              <w:right w:val="nil"/>
            </w:tcBorders>
            <w:shd w:val="clear" w:color="auto" w:fill="auto"/>
            <w:noWrap/>
            <w:hideMark/>
          </w:tcPr>
          <w:p w14:paraId="4655D443"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Mid-Frequency Energy Pause*</w:t>
            </w:r>
          </w:p>
        </w:tc>
        <w:tc>
          <w:tcPr>
            <w:tcW w:w="2785" w:type="pct"/>
            <w:tcBorders>
              <w:top w:val="nil"/>
              <w:left w:val="nil"/>
              <w:bottom w:val="nil"/>
              <w:right w:val="nil"/>
            </w:tcBorders>
            <w:shd w:val="clear" w:color="auto" w:fill="auto"/>
            <w:noWrap/>
            <w:hideMark/>
          </w:tcPr>
          <w:p w14:paraId="65BCF909"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Pause duration between syllables based on summed energy from 75Hz to 4000Hz</w:t>
            </w:r>
          </w:p>
        </w:tc>
        <w:tc>
          <w:tcPr>
            <w:tcW w:w="686" w:type="pct"/>
            <w:tcBorders>
              <w:top w:val="nil"/>
              <w:left w:val="nil"/>
              <w:bottom w:val="nil"/>
              <w:right w:val="nil"/>
            </w:tcBorders>
            <w:shd w:val="clear" w:color="auto" w:fill="auto"/>
            <w:noWrap/>
            <w:hideMark/>
          </w:tcPr>
          <w:p w14:paraId="1DAAC149" w14:textId="17E595C5"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6BDF46BF" w14:textId="77777777" w:rsidTr="00AC4D54">
        <w:trPr>
          <w:trHeight w:val="288"/>
        </w:trPr>
        <w:tc>
          <w:tcPr>
            <w:tcW w:w="1529" w:type="pct"/>
            <w:tcBorders>
              <w:top w:val="nil"/>
              <w:left w:val="nil"/>
              <w:right w:val="nil"/>
            </w:tcBorders>
            <w:shd w:val="clear" w:color="auto" w:fill="auto"/>
            <w:noWrap/>
            <w:hideMark/>
          </w:tcPr>
          <w:p w14:paraId="7115A846"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Summed Mid-Frequency Energy Rate*</w:t>
            </w:r>
          </w:p>
        </w:tc>
        <w:tc>
          <w:tcPr>
            <w:tcW w:w="2785" w:type="pct"/>
            <w:tcBorders>
              <w:top w:val="nil"/>
              <w:left w:val="nil"/>
              <w:right w:val="nil"/>
            </w:tcBorders>
            <w:shd w:val="clear" w:color="auto" w:fill="auto"/>
            <w:noWrap/>
            <w:hideMark/>
          </w:tcPr>
          <w:p w14:paraId="66E57D8A" w14:textId="77777777" w:rsidR="006810CF" w:rsidRPr="002C4F8E" w:rsidRDefault="006810CF" w:rsidP="00E07C0A">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syllable onsets based on summed energy from 75Hz to 4000Hz</w:t>
            </w:r>
          </w:p>
        </w:tc>
        <w:tc>
          <w:tcPr>
            <w:tcW w:w="686" w:type="pct"/>
            <w:tcBorders>
              <w:top w:val="nil"/>
              <w:left w:val="nil"/>
              <w:right w:val="nil"/>
            </w:tcBorders>
            <w:shd w:val="clear" w:color="auto" w:fill="auto"/>
            <w:noWrap/>
            <w:hideMark/>
          </w:tcPr>
          <w:p w14:paraId="0D0DF792" w14:textId="2A047658" w:rsidR="006810CF" w:rsidRPr="002C4F8E" w:rsidRDefault="00CD084E" w:rsidP="00E07C0A">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Pr>
                <w:rFonts w:ascii="Times New Roman" w:eastAsia="Times New Roman" w:hAnsi="Times New Roman" w:cs="Times New Roman"/>
                <w:color w:val="000000"/>
                <w:lang w:eastAsia="en-AU"/>
              </w:rPr>
              <w:instrText>ADDIN CSL_CITATION {"citationItems":[{"id":"ITEM-1","itemData":{"ISSN":"0929-8215","author":[{"dropping-particle":"","family":"Ellis","given":"Daniel P W","non-dropping-particle":"","parse-names":false,"suffix":""}],"container-title":"Journal of New Music Research","id":"ITEM-1","issue":"1","issued":{"date-parts":[["2007"]]},"page":"51-60","publisher":"Taylor &amp; Francis","title":"Beat tracking by dynamic programming","type":"article-journal","volume":"36"},"uris":["http://www.mendeley.com/documents/?uuid=68f99c0e-bcfa-49db-882c-9893aece6b06"]},{"id":"ITEM-2","itemData":{"ISSN":"0142-7164","author":[{"dropping-particle":"","family":"Schultz","given":"Benjamin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Psycholinguistics","id":"ITEM-2","issue":"5","issued":{"date-parts":[["2016"]]},"page":"1201-1220","publisher":"Cambridge University Press","title":"Speech rates converge in scripted turn-taking conversations","type":"article-journal","volume":"37"},"uris":["http://www.mendeley.com/documents/?uuid=37c5d301-d548-4f73-b76e-7a1bb671d542"]},{"id":"ITEM-3","itemData":{"author":[{"dropping-particle":"","family":"Schultz","given":"Benjamin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content","type":"article-journal"},"uris":["http://www.mendeley.com/documents/?uuid=2f10f30e-e9ac-43fd-b5a2-d729e2e4e6ab"]},{"id":"ITEM-4","itemData":{"ISSN":"1554-3528","author":[{"dropping-particle":"","family":"Schultz","given":"Benjamin G","non-dropping-particle":"","parse-names":false,"suffix":""}],"container-title":"Behavior Research Methods","id":"ITEM-4","issue":"1","issued":{"date-parts":[["2019"]]},"page":"204-234","publisher":"Springer","title":"The Schultz MIDI Benchmarking Toolbox for MIDI interfaces, percussion pads, and sound cards","type":"article-journal","volume":"51"},"uris":["http://www.mendeley.com/documents/?uuid=84d5d5ff-6bf7-46a4-922d-d3df85192d27"]}],"mendeley":{"formattedCitation":"(6–8,15)","plainTextFormattedCitation":"(6–8,15)","previouslyFormattedCitation":"(6–8,15)"},"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A008E7">
              <w:rPr>
                <w:rFonts w:ascii="Times New Roman" w:eastAsia="Times New Roman" w:hAnsi="Times New Roman" w:cs="Times New Roman"/>
                <w:noProof/>
                <w:color w:val="000000"/>
                <w:lang w:eastAsia="en-AU"/>
              </w:rPr>
              <w:t>(6–8,15)</w:t>
            </w:r>
            <w:r>
              <w:rPr>
                <w:rFonts w:ascii="Times New Roman" w:eastAsia="Times New Roman" w:hAnsi="Times New Roman" w:cs="Times New Roman"/>
                <w:color w:val="000000"/>
                <w:lang w:eastAsia="en-AU"/>
              </w:rPr>
              <w:fldChar w:fldCharType="end"/>
            </w:r>
          </w:p>
        </w:tc>
      </w:tr>
      <w:tr w:rsidR="006810CF" w:rsidRPr="002C4F8E" w14:paraId="240BA840" w14:textId="77777777" w:rsidTr="00AC4D54">
        <w:trPr>
          <w:trHeight w:val="288"/>
        </w:trPr>
        <w:tc>
          <w:tcPr>
            <w:tcW w:w="1529" w:type="pct"/>
            <w:tcBorders>
              <w:top w:val="nil"/>
              <w:left w:val="nil"/>
              <w:bottom w:val="single" w:sz="4" w:space="0" w:color="auto"/>
              <w:right w:val="nil"/>
            </w:tcBorders>
            <w:shd w:val="clear" w:color="auto" w:fill="auto"/>
            <w:noWrap/>
            <w:hideMark/>
          </w:tcPr>
          <w:p w14:paraId="672C0A61"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Beat Interval</w:t>
            </w:r>
          </w:p>
        </w:tc>
        <w:tc>
          <w:tcPr>
            <w:tcW w:w="2785" w:type="pct"/>
            <w:tcBorders>
              <w:top w:val="nil"/>
              <w:left w:val="nil"/>
              <w:bottom w:val="single" w:sz="4" w:space="0" w:color="auto"/>
              <w:right w:val="nil"/>
            </w:tcBorders>
            <w:shd w:val="clear" w:color="auto" w:fill="auto"/>
            <w:noWrap/>
            <w:hideMark/>
          </w:tcPr>
          <w:p w14:paraId="1F972167" w14:textId="77777777" w:rsidR="006810CF" w:rsidRPr="002C4F8E" w:rsidRDefault="006810CF" w:rsidP="00D823B8">
            <w:pPr>
              <w:spacing w:after="0" w:line="240" w:lineRule="auto"/>
              <w:rPr>
                <w:rFonts w:ascii="Times New Roman" w:eastAsia="Times New Roman" w:hAnsi="Times New Roman" w:cs="Times New Roman"/>
                <w:color w:val="000000"/>
                <w:lang w:eastAsia="en-AU"/>
              </w:rPr>
            </w:pPr>
            <w:r w:rsidRPr="002C4F8E">
              <w:rPr>
                <w:rFonts w:ascii="Times New Roman" w:eastAsia="Times New Roman" w:hAnsi="Times New Roman" w:cs="Times New Roman"/>
                <w:color w:val="000000"/>
                <w:lang w:eastAsia="en-AU"/>
              </w:rPr>
              <w:t>Rate of stressed syllables based on Mel-Frequency Cepstral Coefficients</w:t>
            </w:r>
          </w:p>
        </w:tc>
        <w:tc>
          <w:tcPr>
            <w:tcW w:w="686" w:type="pct"/>
            <w:tcBorders>
              <w:top w:val="nil"/>
              <w:left w:val="nil"/>
              <w:bottom w:val="single" w:sz="4" w:space="0" w:color="auto"/>
              <w:right w:val="nil"/>
            </w:tcBorders>
            <w:shd w:val="clear" w:color="auto" w:fill="auto"/>
            <w:noWrap/>
            <w:hideMark/>
          </w:tcPr>
          <w:p w14:paraId="03E9310E" w14:textId="5268CD18" w:rsidR="006810CF" w:rsidRPr="002C4F8E" w:rsidRDefault="00CD084E" w:rsidP="00D823B8">
            <w:pPr>
              <w:spacing w:after="0" w:line="240" w:lineRule="auto"/>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fldChar w:fldCharType="begin" w:fldLock="1"/>
            </w:r>
            <w:r w:rsidR="003028CC">
              <w:rPr>
                <w:rFonts w:ascii="Times New Roman" w:eastAsia="Times New Roman" w:hAnsi="Times New Roman" w:cs="Times New Roman"/>
                <w:color w:val="000000"/>
                <w:lang w:eastAsia="en-AU"/>
              </w:rPr>
              <w:instrText>ADDIN CSL_CITATION {"citationItems":[{"id":"ITEM-1","itemData":{"ISSN":"0142-7164","author":[{"dropping-particle":"","family":"Schultz","given":"Benjamin G","non-dropping-particle":"","parse-names":false,"suffix":""},{"dropping-particle":"","family":"O’Brien","given":"Irena","non-dropping-particle":"","parse-names":false,"suffix":""},{"dropping-particle":"","family":"Phillips","given":"Natalie","non-dropping-particle":"","parse-names":false,"suffix":""},{"dropping-particle":"","family":"McFarland","given":"David H","non-dropping-particle":"","parse-names":false,"suffix":""},{"dropping-particle":"","family":"Titone","given":"Debra","non-dropping-particle":"","parse-names":false,"suffix":""},{"dropping-particle":"","family":"Palmer","given":"Caroline","non-dropping-particle":"","parse-names":false,"suffix":""}],"container-title":"Applied Psycholinguistics","id":"ITEM-1","issue":"5","issued":{"date-parts":[["2016"]]},"page":"1201-1220","publisher":"Cambridge University Press","title":"Speech rates converge in scripted turn-taking conversations","type":"article-journal","volume":"37"},"uris":["http://www.mendeley.com/documents/?uuid=37c5d301-d548-4f73-b76e-7a1bb671d542"]},{"id":"ITEM-2","itemData":{"ISSN":"0929-8215","author":[{"dropping-particle":"","family":"Ellis","given":"Daniel P W","non-dropping-particle":"","parse-names":false,"suffix":""}],"container-title":"Journal of New Music Research","id":"ITEM-2","issue":"1","issued":{"date-parts":[["2007"]]},"page":"51-60","publisher":"Taylor &amp; Francis","title":"Beat tracking by dynamic programming","type":"article-journal","volume":"36"},"uris":["http://www.mendeley.com/documents/?uuid=68f99c0e-bcfa-49db-882c-9893aece6b06"]},{"id":"ITEM-3","itemData":{"author":[{"dropping-particle":"","family":"Schultz","given":"Benjamin G","non-dropping-particle":"","parse-names":false,"suffix":""},{"dropping-particle":"","family":"Kotz","given":"Sonja A","non-dropping-particle":"","parse-names":false,"suffix":""}],"container-title":"Proceedings - 14th International Conference of Music Perception &amp; Cognition","id":"ITEM-3","issued":{"date-parts":[["2016"]]},"title":"Finding the beat in German poetry: The role of meter, rhyme, and lexical content","type":"article-journal"},"uris":["http://www.mendeley.com/documents/?uuid=2f10f30e-e9ac-43fd-b5a2-d729e2e4e6ab"]}],"mendeley":{"formattedCitation":"(6–8)","plainTextFormattedCitation":"(6–8)","previouslyFormattedCitation":"(6–8)"},"properties":{"noteIndex":0},"schema":"https://github.com/citation-style-language/schema/raw/master/csl-citation.json"}</w:instrText>
            </w:r>
            <w:r>
              <w:rPr>
                <w:rFonts w:ascii="Times New Roman" w:eastAsia="Times New Roman" w:hAnsi="Times New Roman" w:cs="Times New Roman"/>
                <w:color w:val="000000"/>
                <w:lang w:eastAsia="en-AU"/>
              </w:rPr>
              <w:fldChar w:fldCharType="separate"/>
            </w:r>
            <w:r w:rsidRPr="00CD084E">
              <w:rPr>
                <w:rFonts w:ascii="Times New Roman" w:eastAsia="Times New Roman" w:hAnsi="Times New Roman" w:cs="Times New Roman"/>
                <w:noProof/>
                <w:color w:val="000000"/>
                <w:lang w:eastAsia="en-AU"/>
              </w:rPr>
              <w:t>(6–8)</w:t>
            </w:r>
            <w:r>
              <w:rPr>
                <w:rFonts w:ascii="Times New Roman" w:eastAsia="Times New Roman" w:hAnsi="Times New Roman" w:cs="Times New Roman"/>
                <w:color w:val="000000"/>
                <w:lang w:eastAsia="en-AU"/>
              </w:rPr>
              <w:fldChar w:fldCharType="end"/>
            </w:r>
          </w:p>
        </w:tc>
      </w:tr>
    </w:tbl>
    <w:p w14:paraId="23CBEE3D" w14:textId="4206EA0E" w:rsidR="00CB3900" w:rsidRDefault="00CB3900"/>
    <w:p w14:paraId="6FBA8AE1" w14:textId="77777777" w:rsidR="00CB3900" w:rsidRDefault="00CB3900" w:rsidP="000A27E8">
      <w:pPr>
        <w:sectPr w:rsidR="00CB3900" w:rsidSect="000A27E8">
          <w:pgSz w:w="16838" w:h="11906" w:orient="landscape"/>
          <w:pgMar w:top="1440" w:right="1440" w:bottom="1440" w:left="1440" w:header="709" w:footer="709" w:gutter="0"/>
          <w:cols w:space="708"/>
          <w:docGrid w:linePitch="360"/>
        </w:sectPr>
      </w:pPr>
    </w:p>
    <w:p w14:paraId="1B2830FE" w14:textId="0106B0BE" w:rsidR="00CB3900" w:rsidRDefault="00CB3900" w:rsidP="002A05E1">
      <w:pPr>
        <w:jc w:val="center"/>
        <w:rPr>
          <w:rFonts w:ascii="Times New Roman" w:hAnsi="Times New Roman" w:cs="Times New Roman"/>
          <w:sz w:val="24"/>
          <w:szCs w:val="24"/>
        </w:rPr>
      </w:pPr>
      <w:r w:rsidRPr="00CB3900">
        <w:rPr>
          <w:rFonts w:ascii="Times New Roman" w:hAnsi="Times New Roman" w:cs="Times New Roman"/>
          <w:b/>
          <w:bCs/>
          <w:sz w:val="24"/>
          <w:szCs w:val="24"/>
          <w:u w:val="single"/>
        </w:rPr>
        <w:lastRenderedPageBreak/>
        <w:t>Additional references</w:t>
      </w:r>
    </w:p>
    <w:p w14:paraId="52EAEF99" w14:textId="77C19002"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fldChar w:fldCharType="begin" w:fldLock="1"/>
      </w:r>
      <w:r>
        <w:instrText xml:space="preserve">ADDIN Mendeley Bibliography CSL_BIBLIOGRAPHY </w:instrText>
      </w:r>
      <w:r>
        <w:fldChar w:fldCharType="separate"/>
      </w:r>
      <w:r w:rsidRPr="003028CC">
        <w:rPr>
          <w:rFonts w:ascii="Calibri" w:hAnsi="Calibri" w:cs="Calibri"/>
          <w:noProof/>
          <w:szCs w:val="24"/>
        </w:rPr>
        <w:t xml:space="preserve">1. </w:t>
      </w:r>
      <w:r w:rsidRPr="003028CC">
        <w:rPr>
          <w:rFonts w:ascii="Calibri" w:hAnsi="Calibri" w:cs="Calibri"/>
          <w:noProof/>
          <w:szCs w:val="24"/>
        </w:rPr>
        <w:tab/>
        <w:t xml:space="preserve">Boersma P. Accurate short-term analysis of the fundamental frequency and the harmonics-to-noise ratio of a sampled sound. In: Proceedings of the institute of phonetic sciences. Citeseer; 1993. p. 97–110. </w:t>
      </w:r>
    </w:p>
    <w:p w14:paraId="19F69182"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2. </w:t>
      </w:r>
      <w:r w:rsidRPr="003028CC">
        <w:rPr>
          <w:rFonts w:ascii="Calibri" w:hAnsi="Calibri" w:cs="Calibri"/>
          <w:noProof/>
          <w:szCs w:val="24"/>
        </w:rPr>
        <w:tab/>
        <w:t xml:space="preserve">Tsanas A, Zañartu M, Little MA, Fox C, Ramig LO, Clifford GD. Robust fundamental frequency estimation in sustained vowels: Detailed algorithmic comparisons and information fusion with adaptive Kalman filtering. J Acoust Soc Am. 2014;135(5):2885–901. </w:t>
      </w:r>
    </w:p>
    <w:p w14:paraId="2338E24C"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3. </w:t>
      </w:r>
      <w:r w:rsidRPr="003028CC">
        <w:rPr>
          <w:rFonts w:ascii="Calibri" w:hAnsi="Calibri" w:cs="Calibri"/>
          <w:noProof/>
          <w:szCs w:val="24"/>
        </w:rPr>
        <w:tab/>
        <w:t xml:space="preserve">Shue Y-L, Keating P, Vicenik C, Yu K. Voicesauce. p Progr available online http//www seas ucla edu/spapl/voicesauce/ UCLA. 2009; </w:t>
      </w:r>
    </w:p>
    <w:p w14:paraId="584E4EAE"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4. </w:t>
      </w:r>
      <w:r w:rsidRPr="003028CC">
        <w:rPr>
          <w:rFonts w:ascii="Calibri" w:hAnsi="Calibri" w:cs="Calibri"/>
          <w:noProof/>
          <w:szCs w:val="24"/>
        </w:rPr>
        <w:tab/>
        <w:t xml:space="preserve">Childers DG, Lee CK. Vocal quality factors: Analysis, synthesis, and perception. J Acoust Soc Am. 1991;90(5):2394–410. </w:t>
      </w:r>
    </w:p>
    <w:p w14:paraId="4F2D5794"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5. </w:t>
      </w:r>
      <w:r w:rsidRPr="003028CC">
        <w:rPr>
          <w:rFonts w:ascii="Calibri" w:hAnsi="Calibri" w:cs="Calibri"/>
          <w:noProof/>
          <w:szCs w:val="24"/>
        </w:rPr>
        <w:tab/>
        <w:t xml:space="preserve">Tsanas A. Acoustic analysis toolkit for biomedical speech signal processing: concepts and algorithms. Model Anal vocal Emiss Biomed Appl. 2013;2:37–40. </w:t>
      </w:r>
    </w:p>
    <w:p w14:paraId="1985B7F6"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6. </w:t>
      </w:r>
      <w:r w:rsidRPr="003028CC">
        <w:rPr>
          <w:rFonts w:ascii="Calibri" w:hAnsi="Calibri" w:cs="Calibri"/>
          <w:noProof/>
          <w:szCs w:val="24"/>
        </w:rPr>
        <w:tab/>
        <w:t xml:space="preserve">Schultz BG, O’Brien I, Phillips N, McFarland DH, Titone D, Palmer C. Speech rates converge in scripted turn-taking conversations. Appl Psycholinguist. 2016;37(5):1201–20. </w:t>
      </w:r>
    </w:p>
    <w:p w14:paraId="39EF2120"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7. </w:t>
      </w:r>
      <w:r w:rsidRPr="003028CC">
        <w:rPr>
          <w:rFonts w:ascii="Calibri" w:hAnsi="Calibri" w:cs="Calibri"/>
          <w:noProof/>
          <w:szCs w:val="24"/>
        </w:rPr>
        <w:tab/>
        <w:t xml:space="preserve">Schultz BG, Kotz SA. Finding the beat in German poetry: The role of meter, rhyme, and lexical content. Proc - 14th Int Conf Music Percept Cogn. 2016; </w:t>
      </w:r>
    </w:p>
    <w:p w14:paraId="25D68A6A"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8. </w:t>
      </w:r>
      <w:r w:rsidRPr="003028CC">
        <w:rPr>
          <w:rFonts w:ascii="Calibri" w:hAnsi="Calibri" w:cs="Calibri"/>
          <w:noProof/>
          <w:szCs w:val="24"/>
        </w:rPr>
        <w:tab/>
        <w:t xml:space="preserve">Ellis DPW. Beat tracking by dynamic programming. J New Music Res. 2007;36(1):51–60. </w:t>
      </w:r>
    </w:p>
    <w:p w14:paraId="3288CA6B"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9. </w:t>
      </w:r>
      <w:r w:rsidRPr="003028CC">
        <w:rPr>
          <w:rFonts w:ascii="Calibri" w:hAnsi="Calibri" w:cs="Calibri"/>
          <w:noProof/>
          <w:szCs w:val="24"/>
        </w:rPr>
        <w:tab/>
        <w:t xml:space="preserve">Prendergast G, Johnson SR, Green GGR. Extracting amplitude modulations from speech in the time domain. Speech Commun. 2011;53(6):903–13. </w:t>
      </w:r>
    </w:p>
    <w:p w14:paraId="44CA3068"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10. </w:t>
      </w:r>
      <w:r w:rsidRPr="003028CC">
        <w:rPr>
          <w:rFonts w:ascii="Calibri" w:hAnsi="Calibri" w:cs="Calibri"/>
          <w:noProof/>
          <w:szCs w:val="24"/>
        </w:rPr>
        <w:tab/>
        <w:t xml:space="preserve">Lefebvre JP. Physical basis of acoustics. Acoust Basic Physics, Theory, Methods. 1998;1. </w:t>
      </w:r>
    </w:p>
    <w:p w14:paraId="1BAFCED7"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11. </w:t>
      </w:r>
      <w:r w:rsidRPr="003028CC">
        <w:rPr>
          <w:rFonts w:ascii="Calibri" w:hAnsi="Calibri" w:cs="Calibri"/>
          <w:noProof/>
          <w:szCs w:val="24"/>
        </w:rPr>
        <w:tab/>
        <w:t xml:space="preserve">Vogel AP, Fletcher J, Maruff P. Acoustic analysis of the effects of sustained wakefulness on speech. J Acoust Soc Am. 2010;128(6):3747–56. </w:t>
      </w:r>
    </w:p>
    <w:p w14:paraId="429EC567"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12. </w:t>
      </w:r>
      <w:r w:rsidRPr="003028CC">
        <w:rPr>
          <w:rFonts w:ascii="Calibri" w:hAnsi="Calibri" w:cs="Calibri"/>
          <w:noProof/>
          <w:szCs w:val="24"/>
        </w:rPr>
        <w:tab/>
        <w:t xml:space="preserve">Lartillot O, Toiviainen P, Eerola T. A matlab toolbox for music information retrieval. In: Data analysis, machine learning and applications. Springer; 2008. p. 261–8. </w:t>
      </w:r>
    </w:p>
    <w:p w14:paraId="6007DC34"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13. </w:t>
      </w:r>
      <w:r w:rsidRPr="003028CC">
        <w:rPr>
          <w:rFonts w:ascii="Calibri" w:hAnsi="Calibri" w:cs="Calibri"/>
          <w:noProof/>
          <w:szCs w:val="24"/>
        </w:rPr>
        <w:tab/>
        <w:t xml:space="preserve">Peeters G, Giordano BL, Susini P, Misdariis N, McAdams S. The timbre toolbox: Extracting audio descriptors from musical signals. J Acoust Soc Am. 2011;130(5):2902–16. </w:t>
      </w:r>
    </w:p>
    <w:p w14:paraId="2897A44A"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14. </w:t>
      </w:r>
      <w:r w:rsidRPr="003028CC">
        <w:rPr>
          <w:rFonts w:ascii="Calibri" w:hAnsi="Calibri" w:cs="Calibri"/>
          <w:noProof/>
          <w:szCs w:val="24"/>
        </w:rPr>
        <w:tab/>
        <w:t xml:space="preserve">Schultz BG, Brown RM, Kotz SA. Dynamic acoustic salience evokes motor responses. Cortex. 2021;134:320–32. </w:t>
      </w:r>
    </w:p>
    <w:p w14:paraId="5C8665DA"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15. </w:t>
      </w:r>
      <w:r w:rsidRPr="003028CC">
        <w:rPr>
          <w:rFonts w:ascii="Calibri" w:hAnsi="Calibri" w:cs="Calibri"/>
          <w:noProof/>
          <w:szCs w:val="24"/>
        </w:rPr>
        <w:tab/>
        <w:t xml:space="preserve">Schultz BG. The Schultz MIDI Benchmarking Toolbox for MIDI interfaces, percussion pads, and sound cards. Behav Res Methods. 2019;51(1):204–34. </w:t>
      </w:r>
    </w:p>
    <w:p w14:paraId="2AFE342A"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szCs w:val="24"/>
        </w:rPr>
      </w:pPr>
      <w:r w:rsidRPr="003028CC">
        <w:rPr>
          <w:rFonts w:ascii="Calibri" w:hAnsi="Calibri" w:cs="Calibri"/>
          <w:noProof/>
          <w:szCs w:val="24"/>
        </w:rPr>
        <w:t xml:space="preserve">16. </w:t>
      </w:r>
      <w:r w:rsidRPr="003028CC">
        <w:rPr>
          <w:rFonts w:ascii="Calibri" w:hAnsi="Calibri" w:cs="Calibri"/>
          <w:noProof/>
          <w:szCs w:val="24"/>
        </w:rPr>
        <w:tab/>
        <w:t xml:space="preserve">Kopeček I. Speech recognition and syllable segments. In: International Workshop on Text, Speech and Dialogue. Springer; 1999. p. 203–8. </w:t>
      </w:r>
    </w:p>
    <w:p w14:paraId="7523EC2C" w14:textId="77777777" w:rsidR="003028CC" w:rsidRPr="003028CC" w:rsidRDefault="003028CC" w:rsidP="003028CC">
      <w:pPr>
        <w:widowControl w:val="0"/>
        <w:autoSpaceDE w:val="0"/>
        <w:autoSpaceDN w:val="0"/>
        <w:adjustRightInd w:val="0"/>
        <w:spacing w:line="240" w:lineRule="auto"/>
        <w:ind w:left="640" w:hanging="640"/>
        <w:rPr>
          <w:rFonts w:ascii="Calibri" w:hAnsi="Calibri" w:cs="Calibri"/>
          <w:noProof/>
        </w:rPr>
      </w:pPr>
      <w:r w:rsidRPr="003028CC">
        <w:rPr>
          <w:rFonts w:ascii="Calibri" w:hAnsi="Calibri" w:cs="Calibri"/>
          <w:noProof/>
          <w:szCs w:val="24"/>
        </w:rPr>
        <w:t xml:space="preserve">17. </w:t>
      </w:r>
      <w:r w:rsidRPr="003028CC">
        <w:rPr>
          <w:rFonts w:ascii="Calibri" w:hAnsi="Calibri" w:cs="Calibri"/>
          <w:noProof/>
          <w:szCs w:val="24"/>
        </w:rPr>
        <w:tab/>
        <w:t xml:space="preserve">Dixon S. Onset detection revisited. In: Proceedings of the 9th International Conference on Digital Audio Effects. Citeseer; 2006. p. 133–7. </w:t>
      </w:r>
    </w:p>
    <w:p w14:paraId="7E9C11DD" w14:textId="798702E4" w:rsidR="00B42ADD" w:rsidRDefault="003028CC" w:rsidP="003D3228">
      <w:r>
        <w:fldChar w:fldCharType="end"/>
      </w:r>
    </w:p>
    <w:sectPr w:rsidR="00B42ADD" w:rsidSect="003D3228">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3F7934"/>
    <w:multiLevelType w:val="hybridMultilevel"/>
    <w:tmpl w:val="1A76778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771"/>
    <w:rsid w:val="000107D0"/>
    <w:rsid w:val="00031117"/>
    <w:rsid w:val="000337E7"/>
    <w:rsid w:val="00042B1C"/>
    <w:rsid w:val="000651C8"/>
    <w:rsid w:val="00085673"/>
    <w:rsid w:val="000A1493"/>
    <w:rsid w:val="000A27E8"/>
    <w:rsid w:val="000D7AFE"/>
    <w:rsid w:val="000F46BE"/>
    <w:rsid w:val="000F4BFE"/>
    <w:rsid w:val="00140E3F"/>
    <w:rsid w:val="00173855"/>
    <w:rsid w:val="00184BD4"/>
    <w:rsid w:val="001B5485"/>
    <w:rsid w:val="001F45BD"/>
    <w:rsid w:val="0021393E"/>
    <w:rsid w:val="00220606"/>
    <w:rsid w:val="002773B2"/>
    <w:rsid w:val="002A05E1"/>
    <w:rsid w:val="002A2B7A"/>
    <w:rsid w:val="002A7B1D"/>
    <w:rsid w:val="002B2F2E"/>
    <w:rsid w:val="002C1374"/>
    <w:rsid w:val="002C1EDC"/>
    <w:rsid w:val="002C4F8E"/>
    <w:rsid w:val="002E314C"/>
    <w:rsid w:val="003028CC"/>
    <w:rsid w:val="00324B5E"/>
    <w:rsid w:val="00344FCF"/>
    <w:rsid w:val="0037440C"/>
    <w:rsid w:val="0038740A"/>
    <w:rsid w:val="003D3228"/>
    <w:rsid w:val="00400360"/>
    <w:rsid w:val="00424A58"/>
    <w:rsid w:val="00430A16"/>
    <w:rsid w:val="00460F5D"/>
    <w:rsid w:val="00491F71"/>
    <w:rsid w:val="00495A60"/>
    <w:rsid w:val="00497206"/>
    <w:rsid w:val="004A01C2"/>
    <w:rsid w:val="004D68A6"/>
    <w:rsid w:val="0050107B"/>
    <w:rsid w:val="00557A75"/>
    <w:rsid w:val="0057442C"/>
    <w:rsid w:val="005A0DBE"/>
    <w:rsid w:val="005E5BE8"/>
    <w:rsid w:val="006028AB"/>
    <w:rsid w:val="006041ED"/>
    <w:rsid w:val="00604FE6"/>
    <w:rsid w:val="0061788A"/>
    <w:rsid w:val="006810CF"/>
    <w:rsid w:val="0069120A"/>
    <w:rsid w:val="006A69E4"/>
    <w:rsid w:val="006B3BA6"/>
    <w:rsid w:val="006C4FC2"/>
    <w:rsid w:val="006D0EB5"/>
    <w:rsid w:val="006F77CF"/>
    <w:rsid w:val="0073050F"/>
    <w:rsid w:val="0075418B"/>
    <w:rsid w:val="00760C23"/>
    <w:rsid w:val="007705E9"/>
    <w:rsid w:val="007C45BC"/>
    <w:rsid w:val="007D1155"/>
    <w:rsid w:val="008040C0"/>
    <w:rsid w:val="0080575D"/>
    <w:rsid w:val="00826545"/>
    <w:rsid w:val="00831466"/>
    <w:rsid w:val="00882C2F"/>
    <w:rsid w:val="008A1061"/>
    <w:rsid w:val="008A227E"/>
    <w:rsid w:val="008D384E"/>
    <w:rsid w:val="008F004A"/>
    <w:rsid w:val="00917908"/>
    <w:rsid w:val="00925B9F"/>
    <w:rsid w:val="0095604D"/>
    <w:rsid w:val="00957048"/>
    <w:rsid w:val="009C3004"/>
    <w:rsid w:val="00A008E7"/>
    <w:rsid w:val="00A7201E"/>
    <w:rsid w:val="00A72B5F"/>
    <w:rsid w:val="00A77C6E"/>
    <w:rsid w:val="00AC4D54"/>
    <w:rsid w:val="00B2399A"/>
    <w:rsid w:val="00B31B3F"/>
    <w:rsid w:val="00B42ADD"/>
    <w:rsid w:val="00B66245"/>
    <w:rsid w:val="00BB121F"/>
    <w:rsid w:val="00BB17D1"/>
    <w:rsid w:val="00BD372F"/>
    <w:rsid w:val="00BF1DD0"/>
    <w:rsid w:val="00C21241"/>
    <w:rsid w:val="00C3392C"/>
    <w:rsid w:val="00C44125"/>
    <w:rsid w:val="00C56C1F"/>
    <w:rsid w:val="00CB3900"/>
    <w:rsid w:val="00CD084E"/>
    <w:rsid w:val="00D22295"/>
    <w:rsid w:val="00D823B8"/>
    <w:rsid w:val="00DA6198"/>
    <w:rsid w:val="00DB652C"/>
    <w:rsid w:val="00E0100E"/>
    <w:rsid w:val="00E07C0A"/>
    <w:rsid w:val="00E10D92"/>
    <w:rsid w:val="00E17C3E"/>
    <w:rsid w:val="00E36039"/>
    <w:rsid w:val="00E46771"/>
    <w:rsid w:val="00E6038D"/>
    <w:rsid w:val="00E77E56"/>
    <w:rsid w:val="00EA6153"/>
    <w:rsid w:val="00ED409D"/>
    <w:rsid w:val="00EF062E"/>
    <w:rsid w:val="00F2157A"/>
    <w:rsid w:val="00F6553F"/>
    <w:rsid w:val="00F6628A"/>
    <w:rsid w:val="00F66648"/>
    <w:rsid w:val="00F80254"/>
    <w:rsid w:val="00F97E79"/>
    <w:rsid w:val="00FA36A8"/>
    <w:rsid w:val="00FB00BF"/>
    <w:rsid w:val="00FE1DFD"/>
    <w:rsid w:val="00FF743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960C1"/>
  <w15:chartTrackingRefBased/>
  <w15:docId w15:val="{0F912813-EAC9-45F6-94AD-85D3C15E9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7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B3900"/>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8314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213</TotalTime>
  <Pages>7</Pages>
  <Words>32634</Words>
  <Characters>186019</Characters>
  <Application>Microsoft Office Word</Application>
  <DocSecurity>0</DocSecurity>
  <Lines>1550</Lines>
  <Paragraphs>436</Paragraphs>
  <ScaleCrop>false</ScaleCrop>
  <Company/>
  <LinksUpToDate>false</LinksUpToDate>
  <CharactersWithSpaces>218217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Schultz</dc:creator>
  <cp:keywords/>
  <dc:description/>
  <cp:lastModifiedBy>Ben Schultz</cp:lastModifiedBy>
  <cp:revision>122</cp:revision>
  <dcterms:created xsi:type="dcterms:W3CDTF">2021-10-19T23:18:00Z</dcterms:created>
  <dcterms:modified xsi:type="dcterms:W3CDTF">2021-10-29T05:17:00Z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1fa0b07b-ec47-330f-9c8f-8b15cdb5b7b2</vt:lpwstr>
  </property>
  <property fmtid="{D5CDD505-2E9C-101B-9397-08002B2CF9AE}" pid="24" name="Mendeley Citation Style_1">
    <vt:lpwstr>http://www.zotero.org/styles/vancouver</vt:lpwstr>
  </property>
</Properties>
</file>