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7756D"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Review Title</w:t>
      </w:r>
    </w:p>
    <w:p w14:paraId="701AD1E5" w14:textId="0E6E401D" w:rsidR="000A3FB9" w:rsidRPr="009051D1" w:rsidRDefault="000A3FB9">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Galectin-9 in Pancreatic Ductal Adenocarcinoma: Mechanistic Drivers of Immune Suppression and Emerging Clinical Implications.</w:t>
      </w:r>
    </w:p>
    <w:p w14:paraId="3E26E30C" w14:textId="00F8F9AD" w:rsidR="000A3FB9" w:rsidRPr="009051D1" w:rsidRDefault="000A3FB9">
      <w:pPr>
        <w:rPr>
          <w:rFonts w:ascii="Times New Roman" w:hAnsi="Times New Roman" w:cs="Times New Roman"/>
          <w:color w:val="000000" w:themeColor="text1"/>
          <w:sz w:val="24"/>
          <w:szCs w:val="24"/>
        </w:rPr>
      </w:pPr>
      <w:r w:rsidRPr="009051D1">
        <w:rPr>
          <w:rFonts w:ascii="Times New Roman" w:hAnsi="Times New Roman" w:cs="Times New Roman"/>
          <w:b/>
          <w:bCs/>
          <w:color w:val="000000" w:themeColor="text1"/>
          <w:sz w:val="24"/>
          <w:szCs w:val="24"/>
        </w:rPr>
        <w:t xml:space="preserve">Authors: </w:t>
      </w:r>
      <w:r w:rsidRPr="009051D1">
        <w:rPr>
          <w:rFonts w:ascii="Times New Roman" w:hAnsi="Times New Roman" w:cs="Times New Roman"/>
          <w:color w:val="000000" w:themeColor="text1"/>
          <w:sz w:val="24"/>
          <w:szCs w:val="24"/>
        </w:rPr>
        <w:t>Danial A. Malik, Emily A S. Schmieder, Gina Genova, Jeremy Gaskins, Robert C G. Martin II</w:t>
      </w:r>
    </w:p>
    <w:p w14:paraId="5367AFA9"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Condition or Domain Being Studied</w:t>
      </w:r>
    </w:p>
    <w:p w14:paraId="4BCACF5E"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Pancreatic ductal adenocarcinoma (PDAC), with emphasis on tumor immunobiology, immune evasion, macrophage polarization, and translational oncology applications.</w:t>
      </w:r>
    </w:p>
    <w:p w14:paraId="3E823558"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Rationale for the Review</w:t>
      </w:r>
    </w:p>
    <w:p w14:paraId="12FD25BC" w14:textId="42BC1072"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Pancreatic ductal adenocarcinoma (PDAC) is one of the most lethal solid malignancies, with a five-year survival rate below 13%. Despite advances in surgery and chemotherapy, outcomes remain poor due to late diagnosis and profound resistance to therapy.</w:t>
      </w:r>
    </w:p>
    <w:p w14:paraId="72B4C7A6" w14:textId="53035AB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A hallmark of PDAC is its highly immunosuppressive tumor microenvironment, dominated by tumor-associated macrophages, regulatory T cells, and exhausted cytotoxic T lymphocytes. Galectin-9 (LGALS9) has emerged as a critical immune checkpoint mediator that regulates tumor–immune interactions through TIM-3, Dectin-1, and CD44 signaling pathways.</w:t>
      </w:r>
    </w:p>
    <w:p w14:paraId="1C5C2D4F"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Currently, no systematic review integrates mechanistic and clinical evidence of GAL9 in PDAC. This review aims to synthesize molecular mechanisms with clinical outcomes to guide translational and precision oncology strategies.</w:t>
      </w:r>
    </w:p>
    <w:p w14:paraId="1742E8DF"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Review Objectives</w:t>
      </w:r>
    </w:p>
    <w:p w14:paraId="7CEC7D30"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Primary Objective:</w:t>
      </w:r>
    </w:p>
    <w:p w14:paraId="60B5A2F6" w14:textId="43CFC9D1"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To evaluate mechanistic and clinical roles of Galectin-9 in PDAC.</w:t>
      </w:r>
    </w:p>
    <w:p w14:paraId="3339B15A"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Secondary Objectives:</w:t>
      </w:r>
    </w:p>
    <w:p w14:paraId="47559872"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1. Characterize signaling pathways (TIM-3, Dectin-1, CD44)</w:t>
      </w:r>
    </w:p>
    <w:p w14:paraId="39C62395"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2. Assess immune suppression mechanisms</w:t>
      </w:r>
    </w:p>
    <w:p w14:paraId="014FE0A0"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3. Evaluate association with clinical outcomes</w:t>
      </w:r>
    </w:p>
    <w:p w14:paraId="70691744"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4. Identify therapeutic targeting strategies</w:t>
      </w:r>
    </w:p>
    <w:p w14:paraId="0AAE6DF0"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lastRenderedPageBreak/>
        <w:t>Keywords</w:t>
      </w:r>
    </w:p>
    <w:p w14:paraId="60BC5425"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Galectin-9, LGALS9, pancreatic cancer, PDAC, tumor microenvironment, macrophage, TIM-3, Dectin-1, immunotherapy</w:t>
      </w:r>
    </w:p>
    <w:p w14:paraId="33F505FB"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Country</w:t>
      </w:r>
    </w:p>
    <w:p w14:paraId="59F32F4C"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United States</w:t>
      </w:r>
    </w:p>
    <w:p w14:paraId="616A4A87"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Population</w:t>
      </w:r>
    </w:p>
    <w:p w14:paraId="287E97A8" w14:textId="42336C3E" w:rsidR="00694AEA"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Inclusion:</w:t>
      </w:r>
      <w:r w:rsidR="00694AEA" w:rsidRPr="009051D1">
        <w:rPr>
          <w:rFonts w:ascii="Times New Roman" w:hAnsi="Times New Roman" w:cs="Times New Roman"/>
          <w:color w:val="000000" w:themeColor="text1"/>
          <w:sz w:val="24"/>
          <w:szCs w:val="24"/>
        </w:rPr>
        <w:t xml:space="preserve"> Studies on pancreatic ductal adenocarcinoma (PDAC), including both patients at any disease stage and preclinical models (cell lines, animals, organoids).</w:t>
      </w:r>
    </w:p>
    <w:p w14:paraId="72BBCB6E" w14:textId="77777777" w:rsidR="00EE7F86" w:rsidRPr="009051D1" w:rsidRDefault="00EE7F86">
      <w:pPr>
        <w:rPr>
          <w:rFonts w:ascii="Times New Roman" w:hAnsi="Times New Roman" w:cs="Times New Roman"/>
          <w:color w:val="000000" w:themeColor="text1"/>
          <w:sz w:val="24"/>
          <w:szCs w:val="24"/>
        </w:rPr>
      </w:pPr>
    </w:p>
    <w:p w14:paraId="29783DDD" w14:textId="13F5104E"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Exclusion:</w:t>
      </w:r>
      <w:r w:rsidR="00694AEA" w:rsidRPr="009051D1">
        <w:rPr>
          <w:rFonts w:ascii="Times New Roman" w:hAnsi="Times New Roman" w:cs="Times New Roman"/>
          <w:color w:val="000000" w:themeColor="text1"/>
          <w:sz w:val="24"/>
          <w:szCs w:val="24"/>
        </w:rPr>
        <w:t xml:space="preserve"> Non-PDAC cancers or non-malignant pancreatic diseases.</w:t>
      </w:r>
    </w:p>
    <w:p w14:paraId="345EE49D"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Intervention(s) or Exposure(s)</w:t>
      </w:r>
    </w:p>
    <w:p w14:paraId="37751B79" w14:textId="07C3D900"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Inclusion:</w:t>
      </w:r>
      <w:r w:rsidR="00694AEA" w:rsidRPr="009051D1">
        <w:rPr>
          <w:rFonts w:ascii="Times New Roman" w:hAnsi="Times New Roman" w:cs="Times New Roman"/>
          <w:color w:val="000000" w:themeColor="text1"/>
          <w:sz w:val="24"/>
          <w:szCs w:val="24"/>
        </w:rPr>
        <w:t xml:space="preserve"> Studies reporting on GAL9 expression or signaling, or GAL9-targeted therapies (e.g., siRNA, antibodies, exosomes).</w:t>
      </w:r>
    </w:p>
    <w:p w14:paraId="33580F3D" w14:textId="77777777" w:rsidR="00EE7F86" w:rsidRPr="009051D1" w:rsidRDefault="00EE7F86">
      <w:pPr>
        <w:rPr>
          <w:rFonts w:ascii="Times New Roman" w:hAnsi="Times New Roman" w:cs="Times New Roman"/>
          <w:color w:val="000000" w:themeColor="text1"/>
          <w:sz w:val="24"/>
          <w:szCs w:val="24"/>
        </w:rPr>
      </w:pPr>
    </w:p>
    <w:p w14:paraId="544D677B" w14:textId="20EF5CD2"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Exclusion:</w:t>
      </w:r>
      <w:r w:rsidR="00694AEA" w:rsidRPr="009051D1">
        <w:rPr>
          <w:rFonts w:ascii="Times New Roman" w:hAnsi="Times New Roman" w:cs="Times New Roman"/>
          <w:color w:val="000000" w:themeColor="text1"/>
          <w:sz w:val="24"/>
          <w:szCs w:val="24"/>
        </w:rPr>
        <w:t xml:space="preserve"> Non-specific lectin studies.</w:t>
      </w:r>
    </w:p>
    <w:p w14:paraId="4D20BDC2"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Comparator(s) or Control(s)</w:t>
      </w:r>
    </w:p>
    <w:p w14:paraId="24F47D26" w14:textId="0D3E93BB" w:rsidR="00694AEA" w:rsidRPr="009051D1" w:rsidRDefault="00694AEA">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No specific comparator. Areas of interest include high vs low GAL9 expression and treated vs untreated models.</w:t>
      </w:r>
    </w:p>
    <w:p w14:paraId="7239B7D5"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Study Design</w:t>
      </w:r>
    </w:p>
    <w:p w14:paraId="2B4E60E3" w14:textId="755E8A18" w:rsidR="00EE7F86" w:rsidRPr="009051D1" w:rsidRDefault="00694AEA">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 xml:space="preserve">Broadly open to original study designs, including mechanistic studies, clinical observational studies, translational multi-omics analyses. Studies without original data (e.g., review articles) or not available as full-text articles are not eligible. </w:t>
      </w:r>
    </w:p>
    <w:p w14:paraId="78E7BDB4"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Context</w:t>
      </w:r>
    </w:p>
    <w:p w14:paraId="6D65890A" w14:textId="35643B74"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No geographic restriction; English language only; all clinical and laboratory settings</w:t>
      </w:r>
      <w:r w:rsidR="00694AEA" w:rsidRPr="009051D1">
        <w:rPr>
          <w:rFonts w:ascii="Times New Roman" w:hAnsi="Times New Roman" w:cs="Times New Roman"/>
          <w:color w:val="000000" w:themeColor="text1"/>
          <w:sz w:val="24"/>
          <w:szCs w:val="24"/>
        </w:rPr>
        <w:t>.</w:t>
      </w:r>
    </w:p>
    <w:p w14:paraId="6B473EFD"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Search Strategy</w:t>
      </w:r>
    </w:p>
    <w:p w14:paraId="27486194"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Databases:</w:t>
      </w:r>
    </w:p>
    <w:p w14:paraId="27992F60" w14:textId="46E4B5AD"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lastRenderedPageBreak/>
        <w:t>PubMed, Embase, Web of Science</w:t>
      </w:r>
      <w:r w:rsidR="00694AEA" w:rsidRPr="009051D1">
        <w:rPr>
          <w:rFonts w:ascii="Times New Roman" w:hAnsi="Times New Roman" w:cs="Times New Roman"/>
          <w:color w:val="000000" w:themeColor="text1"/>
          <w:sz w:val="24"/>
          <w:szCs w:val="24"/>
        </w:rPr>
        <w:t xml:space="preserve"> Core Collection</w:t>
      </w:r>
      <w:r w:rsidRPr="009051D1">
        <w:rPr>
          <w:rFonts w:ascii="Times New Roman" w:hAnsi="Times New Roman" w:cs="Times New Roman"/>
          <w:color w:val="000000" w:themeColor="text1"/>
          <w:sz w:val="24"/>
          <w:szCs w:val="24"/>
        </w:rPr>
        <w:t>, Cochrane</w:t>
      </w:r>
      <w:r w:rsidR="00694AEA" w:rsidRPr="009051D1">
        <w:rPr>
          <w:rFonts w:ascii="Times New Roman" w:hAnsi="Times New Roman" w:cs="Times New Roman"/>
          <w:color w:val="000000" w:themeColor="text1"/>
          <w:sz w:val="24"/>
          <w:szCs w:val="24"/>
        </w:rPr>
        <w:t xml:space="preserve"> CENTRAL, BIOSIS Citation Index</w:t>
      </w:r>
    </w:p>
    <w:p w14:paraId="0681B7C1" w14:textId="77777777" w:rsidR="00694AEA" w:rsidRPr="009051D1" w:rsidRDefault="00694AEA">
      <w:pPr>
        <w:rPr>
          <w:rFonts w:ascii="Times New Roman" w:hAnsi="Times New Roman" w:cs="Times New Roman"/>
          <w:color w:val="000000" w:themeColor="text1"/>
          <w:sz w:val="24"/>
          <w:szCs w:val="24"/>
        </w:rPr>
      </w:pPr>
    </w:p>
    <w:p w14:paraId="3ABB3005"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Other:</w:t>
      </w:r>
    </w:p>
    <w:p w14:paraId="3A2E07DC"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Reference lists, citation tracking</w:t>
      </w:r>
    </w:p>
    <w:p w14:paraId="5258B86A" w14:textId="3CCAE7AF" w:rsidR="00D770AB" w:rsidRPr="009051D1" w:rsidRDefault="00D770AB">
      <w:pPr>
        <w:rPr>
          <w:rFonts w:ascii="Times New Roman" w:hAnsi="Times New Roman" w:cs="Times New Roman"/>
          <w:color w:val="000000" w:themeColor="text1"/>
          <w:sz w:val="24"/>
          <w:szCs w:val="24"/>
        </w:rPr>
      </w:pPr>
    </w:p>
    <w:p w14:paraId="7E6BDB55" w14:textId="2B535245" w:rsidR="00A637B8" w:rsidRPr="009051D1" w:rsidRDefault="00A637B8">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Search strategies incorporate a mix of subject headings (where applicable) and title/abstract keywords. Filters will be used to limit result to English-language publications and (when applicable) to exclude conference materials.</w:t>
      </w:r>
    </w:p>
    <w:p w14:paraId="2BABBC50" w14:textId="3687FCA1" w:rsidR="00A637B8" w:rsidRPr="009051D1" w:rsidRDefault="00D770AB">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The PubMed strategy appears below. Search terms related to the tumor microenvironment are not incorporated due to the limited overall literature on GAL9 in PDAC</w:t>
      </w:r>
      <w:r w:rsidR="00A637B8" w:rsidRPr="009051D1">
        <w:rPr>
          <w:rFonts w:ascii="Times New Roman" w:hAnsi="Times New Roman" w:cs="Times New Roman"/>
          <w:color w:val="000000" w:themeColor="text1"/>
          <w:sz w:val="24"/>
          <w:szCs w:val="24"/>
        </w:rPr>
        <w:t>, varied terminology used to describe aspects of tumor microenvironments, and our interest in GAL9’s role across multiple pathways and disease stages:</w:t>
      </w:r>
    </w:p>
    <w:p w14:paraId="3AC7EAF3" w14:textId="0A1F9E62" w:rsidR="00A637B8" w:rsidRPr="009051D1" w:rsidRDefault="00A637B8" w:rsidP="009051D1">
      <w:pPr>
        <w:spacing w:after="0"/>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("Pancreatic Neoplasms"[Mesh] OR "pancreatic cancer*"[</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 OR "pancreatic carcinoma*"[</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 OR "pancreatic tumor*"[</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 xml:space="preserve">] OR "pancreatic </w:t>
      </w:r>
      <w:proofErr w:type="spellStart"/>
      <w:r w:rsidRPr="009051D1">
        <w:rPr>
          <w:rFonts w:ascii="Times New Roman" w:hAnsi="Times New Roman" w:cs="Times New Roman"/>
          <w:color w:val="000000" w:themeColor="text1"/>
          <w:sz w:val="24"/>
          <w:szCs w:val="24"/>
        </w:rPr>
        <w:t>tumour</w:t>
      </w:r>
      <w:proofErr w:type="spellEnd"/>
      <w:r w:rsidRPr="009051D1">
        <w:rPr>
          <w:rFonts w:ascii="Times New Roman" w:hAnsi="Times New Roman" w:cs="Times New Roman"/>
          <w:color w:val="000000" w:themeColor="text1"/>
          <w:sz w:val="24"/>
          <w:szCs w:val="24"/>
        </w:rPr>
        <w:t>*"[</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 OR "pancreatic adenocarcinoma*"[</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 OR "pancreatic ductal adenocarcinoma"[</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"pancreatic ductal carcinoma"[</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"pancreatic ductal cancer"[</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"pancreatic duct cancer"[</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"pancreatic duct carcinoma"[</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"pancreatic duct adenocarcinoma"[</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"pancreas cancer"[</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"pancreas tumor"[</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“pancreas tumors”[</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 xml:space="preserve">:~2] OR “pancreas </w:t>
      </w:r>
      <w:proofErr w:type="spellStart"/>
      <w:r w:rsidRPr="009051D1">
        <w:rPr>
          <w:rFonts w:ascii="Times New Roman" w:hAnsi="Times New Roman" w:cs="Times New Roman"/>
          <w:color w:val="000000" w:themeColor="text1"/>
          <w:sz w:val="24"/>
          <w:szCs w:val="24"/>
        </w:rPr>
        <w:t>tumour</w:t>
      </w:r>
      <w:proofErr w:type="spellEnd"/>
      <w:r w:rsidRPr="009051D1">
        <w:rPr>
          <w:rFonts w:ascii="Times New Roman" w:hAnsi="Times New Roman" w:cs="Times New Roman"/>
          <w:color w:val="000000" w:themeColor="text1"/>
          <w:sz w:val="24"/>
          <w:szCs w:val="24"/>
        </w:rPr>
        <w:t>”[</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 xml:space="preserve">:~2] OR "pancreas </w:t>
      </w:r>
      <w:proofErr w:type="spellStart"/>
      <w:r w:rsidRPr="009051D1">
        <w:rPr>
          <w:rFonts w:ascii="Times New Roman" w:hAnsi="Times New Roman" w:cs="Times New Roman"/>
          <w:color w:val="000000" w:themeColor="text1"/>
          <w:sz w:val="24"/>
          <w:szCs w:val="24"/>
        </w:rPr>
        <w:t>tumours</w:t>
      </w:r>
      <w:proofErr w:type="spellEnd"/>
      <w:r w:rsidRPr="009051D1">
        <w:rPr>
          <w:rFonts w:ascii="Times New Roman" w:hAnsi="Times New Roman" w:cs="Times New Roman"/>
          <w:color w:val="000000" w:themeColor="text1"/>
          <w:sz w:val="24"/>
          <w:szCs w:val="24"/>
        </w:rPr>
        <w:t>"[</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"pancreas carcinoma"[</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"pancreas adenocarcinoma"[</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"pancreas neoplasm"[</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:~2] OR "pancreas neoplasms"[</w:t>
      </w:r>
      <w:proofErr w:type="spellStart"/>
      <w:r w:rsidRPr="009051D1">
        <w:rPr>
          <w:rFonts w:ascii="Times New Roman" w:hAnsi="Times New Roman" w:cs="Times New Roman"/>
          <w:color w:val="000000" w:themeColor="text1"/>
          <w:sz w:val="24"/>
          <w:szCs w:val="24"/>
        </w:rPr>
        <w:t>tiab</w:t>
      </w:r>
      <w:proofErr w:type="spellEnd"/>
      <w:r w:rsidRPr="009051D1">
        <w:rPr>
          <w:rFonts w:ascii="Times New Roman" w:hAnsi="Times New Roman" w:cs="Times New Roman"/>
          <w:color w:val="000000" w:themeColor="text1"/>
          <w:sz w:val="24"/>
          <w:szCs w:val="24"/>
        </w:rPr>
        <w:t xml:space="preserve">:~2])  AND </w:t>
      </w:r>
      <w:r w:rsidRPr="009051D1">
        <w:rPr>
          <w:rFonts w:ascii="Times New Roman" w:hAnsi="Times New Roman" w:cs="Times New Roman"/>
          <w:color w:val="000000" w:themeColor="text1"/>
          <w:sz w:val="24"/>
          <w:szCs w:val="24"/>
          <w:shd w:val="clear" w:color="auto" w:fill="FFFFFF"/>
        </w:rPr>
        <w:t>(“galectin 9”[</w:t>
      </w:r>
      <w:proofErr w:type="spellStart"/>
      <w:r w:rsidRPr="009051D1">
        <w:rPr>
          <w:rFonts w:ascii="Times New Roman" w:hAnsi="Times New Roman" w:cs="Times New Roman"/>
          <w:color w:val="000000" w:themeColor="text1"/>
          <w:sz w:val="24"/>
          <w:szCs w:val="24"/>
          <w:shd w:val="clear" w:color="auto" w:fill="FFFFFF"/>
        </w:rPr>
        <w:t>tiab</w:t>
      </w:r>
      <w:proofErr w:type="spellEnd"/>
      <w:r w:rsidRPr="009051D1">
        <w:rPr>
          <w:rFonts w:ascii="Times New Roman" w:hAnsi="Times New Roman" w:cs="Times New Roman"/>
          <w:color w:val="000000" w:themeColor="text1"/>
          <w:sz w:val="24"/>
          <w:szCs w:val="24"/>
          <w:shd w:val="clear" w:color="auto" w:fill="FFFFFF"/>
        </w:rPr>
        <w:t>] OR GAL9[</w:t>
      </w:r>
      <w:proofErr w:type="spellStart"/>
      <w:r w:rsidRPr="009051D1">
        <w:rPr>
          <w:rFonts w:ascii="Times New Roman" w:hAnsi="Times New Roman" w:cs="Times New Roman"/>
          <w:color w:val="000000" w:themeColor="text1"/>
          <w:sz w:val="24"/>
          <w:szCs w:val="24"/>
          <w:shd w:val="clear" w:color="auto" w:fill="FFFFFF"/>
        </w:rPr>
        <w:t>tiab</w:t>
      </w:r>
      <w:proofErr w:type="spellEnd"/>
      <w:r w:rsidRPr="009051D1">
        <w:rPr>
          <w:rFonts w:ascii="Times New Roman" w:hAnsi="Times New Roman" w:cs="Times New Roman"/>
          <w:color w:val="000000" w:themeColor="text1"/>
          <w:sz w:val="24"/>
          <w:szCs w:val="24"/>
          <w:shd w:val="clear" w:color="auto" w:fill="FFFFFF"/>
        </w:rPr>
        <w:t>] OR “GAL 9”[</w:t>
      </w:r>
      <w:proofErr w:type="spellStart"/>
      <w:r w:rsidRPr="009051D1">
        <w:rPr>
          <w:rFonts w:ascii="Times New Roman" w:hAnsi="Times New Roman" w:cs="Times New Roman"/>
          <w:color w:val="000000" w:themeColor="text1"/>
          <w:sz w:val="24"/>
          <w:szCs w:val="24"/>
          <w:shd w:val="clear" w:color="auto" w:fill="FFFFFF"/>
        </w:rPr>
        <w:t>tiab</w:t>
      </w:r>
      <w:proofErr w:type="spellEnd"/>
      <w:r w:rsidRPr="009051D1">
        <w:rPr>
          <w:rFonts w:ascii="Times New Roman" w:hAnsi="Times New Roman" w:cs="Times New Roman"/>
          <w:color w:val="000000" w:themeColor="text1"/>
          <w:sz w:val="24"/>
          <w:szCs w:val="24"/>
          <w:shd w:val="clear" w:color="auto" w:fill="FFFFFF"/>
        </w:rPr>
        <w:t>] OR LGALS9[</w:t>
      </w:r>
      <w:proofErr w:type="spellStart"/>
      <w:r w:rsidRPr="009051D1">
        <w:rPr>
          <w:rFonts w:ascii="Times New Roman" w:hAnsi="Times New Roman" w:cs="Times New Roman"/>
          <w:color w:val="000000" w:themeColor="text1"/>
          <w:sz w:val="24"/>
          <w:szCs w:val="24"/>
          <w:shd w:val="clear" w:color="auto" w:fill="FFFFFF"/>
        </w:rPr>
        <w:t>tiab</w:t>
      </w:r>
      <w:proofErr w:type="spellEnd"/>
      <w:r w:rsidRPr="009051D1">
        <w:rPr>
          <w:rFonts w:ascii="Times New Roman" w:hAnsi="Times New Roman" w:cs="Times New Roman"/>
          <w:color w:val="000000" w:themeColor="text1"/>
          <w:sz w:val="24"/>
          <w:szCs w:val="24"/>
          <w:shd w:val="clear" w:color="auto" w:fill="FFFFFF"/>
        </w:rPr>
        <w:t xml:space="preserve">] OR “lectin </w:t>
      </w:r>
      <w:proofErr w:type="spellStart"/>
      <w:r w:rsidRPr="009051D1">
        <w:rPr>
          <w:rFonts w:ascii="Times New Roman" w:hAnsi="Times New Roman" w:cs="Times New Roman"/>
          <w:color w:val="000000" w:themeColor="text1"/>
          <w:sz w:val="24"/>
          <w:szCs w:val="24"/>
          <w:shd w:val="clear" w:color="auto" w:fill="FFFFFF"/>
        </w:rPr>
        <w:t>galactoside</w:t>
      </w:r>
      <w:proofErr w:type="spellEnd"/>
      <w:r w:rsidRPr="009051D1">
        <w:rPr>
          <w:rFonts w:ascii="Times New Roman" w:hAnsi="Times New Roman" w:cs="Times New Roman"/>
          <w:color w:val="000000" w:themeColor="text1"/>
          <w:sz w:val="24"/>
          <w:szCs w:val="24"/>
          <w:shd w:val="clear" w:color="auto" w:fill="FFFFFF"/>
        </w:rPr>
        <w:t xml:space="preserve"> binding soluble 9”[</w:t>
      </w:r>
      <w:proofErr w:type="spellStart"/>
      <w:r w:rsidRPr="009051D1">
        <w:rPr>
          <w:rFonts w:ascii="Times New Roman" w:hAnsi="Times New Roman" w:cs="Times New Roman"/>
          <w:color w:val="000000" w:themeColor="text1"/>
          <w:sz w:val="24"/>
          <w:szCs w:val="24"/>
          <w:shd w:val="clear" w:color="auto" w:fill="FFFFFF"/>
        </w:rPr>
        <w:t>tiab</w:t>
      </w:r>
      <w:proofErr w:type="spellEnd"/>
      <w:r w:rsidRPr="009051D1">
        <w:rPr>
          <w:rFonts w:ascii="Times New Roman" w:hAnsi="Times New Roman" w:cs="Times New Roman"/>
          <w:color w:val="000000" w:themeColor="text1"/>
          <w:sz w:val="24"/>
          <w:szCs w:val="24"/>
          <w:shd w:val="clear" w:color="auto" w:fill="FFFFFF"/>
        </w:rPr>
        <w:t xml:space="preserve">] OR </w:t>
      </w:r>
      <w:proofErr w:type="spellStart"/>
      <w:r w:rsidRPr="009051D1">
        <w:rPr>
          <w:rFonts w:ascii="Times New Roman" w:hAnsi="Times New Roman" w:cs="Times New Roman"/>
          <w:color w:val="000000" w:themeColor="text1"/>
          <w:sz w:val="24"/>
          <w:szCs w:val="24"/>
          <w:shd w:val="clear" w:color="auto" w:fill="FFFFFF"/>
        </w:rPr>
        <w:t>ecalectin</w:t>
      </w:r>
      <w:proofErr w:type="spellEnd"/>
      <w:r w:rsidRPr="009051D1">
        <w:rPr>
          <w:rFonts w:ascii="Times New Roman" w:hAnsi="Times New Roman" w:cs="Times New Roman"/>
          <w:color w:val="000000" w:themeColor="text1"/>
          <w:sz w:val="24"/>
          <w:szCs w:val="24"/>
          <w:shd w:val="clear" w:color="auto" w:fill="FFFFFF"/>
        </w:rPr>
        <w:t>[</w:t>
      </w:r>
      <w:proofErr w:type="spellStart"/>
      <w:r w:rsidRPr="009051D1">
        <w:rPr>
          <w:rFonts w:ascii="Times New Roman" w:hAnsi="Times New Roman" w:cs="Times New Roman"/>
          <w:color w:val="000000" w:themeColor="text1"/>
          <w:sz w:val="24"/>
          <w:szCs w:val="24"/>
          <w:shd w:val="clear" w:color="auto" w:fill="FFFFFF"/>
        </w:rPr>
        <w:t>tiab</w:t>
      </w:r>
      <w:proofErr w:type="spellEnd"/>
      <w:r w:rsidRPr="009051D1">
        <w:rPr>
          <w:rFonts w:ascii="Times New Roman" w:hAnsi="Times New Roman" w:cs="Times New Roman"/>
          <w:color w:val="000000" w:themeColor="text1"/>
          <w:sz w:val="24"/>
          <w:szCs w:val="24"/>
          <w:shd w:val="clear" w:color="auto" w:fill="FFFFFF"/>
        </w:rPr>
        <w:t>])</w:t>
      </w:r>
    </w:p>
    <w:p w14:paraId="30055737" w14:textId="4F1A8A89" w:rsidR="00694AEA" w:rsidRPr="009051D1" w:rsidRDefault="00000000" w:rsidP="00694AEA">
      <w:pPr>
        <w:pStyle w:val="Heading1"/>
        <w:rPr>
          <w:rFonts w:ascii="Times New Roman" w:hAnsi="Times New Roman" w:cs="Times New Roman"/>
          <w:b w:val="0"/>
          <w:bCs w:val="0"/>
          <w:color w:val="000000" w:themeColor="text1"/>
          <w:sz w:val="24"/>
          <w:szCs w:val="24"/>
        </w:rPr>
      </w:pPr>
      <w:r w:rsidRPr="009051D1">
        <w:rPr>
          <w:rFonts w:ascii="Times New Roman" w:hAnsi="Times New Roman" w:cs="Times New Roman"/>
          <w:color w:val="000000" w:themeColor="text1"/>
          <w:sz w:val="24"/>
          <w:szCs w:val="24"/>
        </w:rPr>
        <w:t>Selection Process</w:t>
      </w:r>
    </w:p>
    <w:p w14:paraId="76EF2703" w14:textId="3FF3E2BC"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 xml:space="preserve">Screening </w:t>
      </w:r>
      <w:r w:rsidR="00694AEA" w:rsidRPr="009051D1">
        <w:rPr>
          <w:rFonts w:ascii="Times New Roman" w:hAnsi="Times New Roman" w:cs="Times New Roman"/>
          <w:color w:val="000000" w:themeColor="text1"/>
          <w:sz w:val="24"/>
          <w:szCs w:val="24"/>
        </w:rPr>
        <w:t xml:space="preserve">will be </w:t>
      </w:r>
      <w:r w:rsidRPr="009051D1">
        <w:rPr>
          <w:rFonts w:ascii="Times New Roman" w:hAnsi="Times New Roman" w:cs="Times New Roman"/>
          <w:color w:val="000000" w:themeColor="text1"/>
          <w:sz w:val="24"/>
          <w:szCs w:val="24"/>
        </w:rPr>
        <w:t>performed in Covidence.</w:t>
      </w:r>
      <w:r w:rsidR="00694AEA" w:rsidRPr="009051D1">
        <w:rPr>
          <w:rFonts w:ascii="Times New Roman" w:hAnsi="Times New Roman" w:cs="Times New Roman"/>
          <w:color w:val="000000" w:themeColor="text1"/>
          <w:sz w:val="24"/>
          <w:szCs w:val="24"/>
        </w:rPr>
        <w:t xml:space="preserve"> Title/abstract screening will be completed in duplicate with conflicts resolved by consensus. Full-text review will be completed in duplicate with conflicts resolved by a third reviewer.</w:t>
      </w:r>
    </w:p>
    <w:p w14:paraId="1C8355D1"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Data Extraction</w:t>
      </w:r>
    </w:p>
    <w:p w14:paraId="23988522" w14:textId="0AE1F9E9" w:rsidR="00BF769C" w:rsidRPr="009051D1" w:rsidRDefault="00BF769C" w:rsidP="00BF769C">
      <w:pPr>
        <w:pStyle w:val="p1"/>
        <w:rPr>
          <w:color w:val="000000" w:themeColor="text1"/>
        </w:rPr>
      </w:pPr>
      <w:r w:rsidRPr="009051D1">
        <w:rPr>
          <w:color w:val="000000" w:themeColor="text1"/>
        </w:rPr>
        <w:t>Title/abstract screening will be completed independently by two reviewers in duplicate. Discrepancies will initially be resolved through discussion and consensus. If consensus cannot be reached, disagreements will be resolved by consultation with a third independent reviewer.</w:t>
      </w:r>
    </w:p>
    <w:p w14:paraId="74A758B7" w14:textId="1A3D2328" w:rsidR="000A3FB9" w:rsidRPr="009051D1" w:rsidRDefault="00BF769C" w:rsidP="00BF769C">
      <w:pPr>
        <w:pStyle w:val="p1"/>
        <w:rPr>
          <w:color w:val="000000" w:themeColor="text1"/>
        </w:rPr>
      </w:pPr>
      <w:r w:rsidRPr="009051D1">
        <w:rPr>
          <w:color w:val="000000" w:themeColor="text1"/>
        </w:rPr>
        <w:lastRenderedPageBreak/>
        <w:t>Full-text review will also be conducted independently in duplicate. Discrepancies will first be addressed through consensus between the two reviewers, and unresolved conflicts will be adjudicated by a third reviewer.</w:t>
      </w:r>
    </w:p>
    <w:p w14:paraId="6938541B" w14:textId="611AE13C" w:rsidR="00694AEA" w:rsidRPr="009051D1" w:rsidRDefault="009C10FF">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 xml:space="preserve">All studies will have information about their study designs and samples extracted. Variables extracted will differ for preclinical/mechanistic studies and clinical studies. </w:t>
      </w:r>
    </w:p>
    <w:p w14:paraId="351AF3DA" w14:textId="5B70B57A" w:rsidR="009051D1" w:rsidRPr="009051D1" w:rsidRDefault="009051D1" w:rsidP="009051D1">
      <w:pPr>
        <w:pStyle w:val="p1"/>
        <w:rPr>
          <w:color w:val="000000" w:themeColor="text1"/>
        </w:rPr>
      </w:pPr>
      <w:r w:rsidRPr="009051D1">
        <w:rPr>
          <w:color w:val="000000" w:themeColor="text1"/>
        </w:rPr>
        <w:t>Study identification variables will include first author, senior author, year of publication, full citation, journal, DOI, country or region of study, institutional affiliation, funding source, and reported conflicts of interest. Each study will be assigned a unique study identifier. Studies will be classified by type (mechanistic, clinical, or mixed translational), primary domain (tumor biology, immune microenvironment, biomarker, therapeutic targeting, or multi-omics), and inclusion status for qualitative and quantitative synthesis.</w:t>
      </w:r>
    </w:p>
    <w:p w14:paraId="0D08B316" w14:textId="77777777" w:rsidR="009051D1" w:rsidRPr="009051D1" w:rsidRDefault="009051D1" w:rsidP="009051D1">
      <w:pPr>
        <w:pStyle w:val="p1"/>
        <w:rPr>
          <w:color w:val="000000" w:themeColor="text1"/>
        </w:rPr>
      </w:pPr>
      <w:r w:rsidRPr="009051D1">
        <w:rPr>
          <w:color w:val="000000" w:themeColor="text1"/>
        </w:rPr>
        <w:t>Variables will include study design (in vitro, in vivo, ex vivo, retrospective clinical, prospective clinical, or multi-omics), experimental or observational classification, publication type, presence of human, animal, or in vitro data, sample size, number of experimental groups, duration of follow-up (for clinical studies), statistical methods used, adjustment for confounders, and whether validation or independent external cohorts were included.</w:t>
      </w:r>
    </w:p>
    <w:p w14:paraId="4E17B790" w14:textId="77777777" w:rsidR="009051D1" w:rsidRPr="009051D1" w:rsidRDefault="009051D1" w:rsidP="009051D1">
      <w:pPr>
        <w:pStyle w:val="p1"/>
        <w:rPr>
          <w:color w:val="000000" w:themeColor="text1"/>
        </w:rPr>
      </w:pPr>
      <w:r w:rsidRPr="009051D1">
        <w:rPr>
          <w:color w:val="000000" w:themeColor="text1"/>
        </w:rPr>
        <w:t>For mechanistic and preclinical studies, variables will include model type (human PDAC cell lines, murine models, patient-derived organoids, co-culture systems, xenograft or orthotopic models, genetically engineered mouse models, or transcriptomic datasets), specific cell lines used, mouse strain and genotype, immune competence of the model, tumor implantation site, number of animals, and timepoints assessed.</w:t>
      </w:r>
    </w:p>
    <w:p w14:paraId="45F6F529" w14:textId="1DE06B97" w:rsidR="00EE7F86" w:rsidRPr="009051D1" w:rsidRDefault="009051D1" w:rsidP="009051D1">
      <w:pPr>
        <w:pStyle w:val="p1"/>
        <w:rPr>
          <w:color w:val="000000" w:themeColor="text1"/>
        </w:rPr>
      </w:pPr>
      <w:r w:rsidRPr="009051D1">
        <w:rPr>
          <w:color w:val="000000" w:themeColor="text1"/>
        </w:rPr>
        <w:t xml:space="preserve">For clinical studies, variables will include total cohort size, number of PDAC cases, control groups (healthy or benign disease), presence of precursor lesions (e.g., IPMN or </w:t>
      </w:r>
      <w:proofErr w:type="spellStart"/>
      <w:r w:rsidRPr="009051D1">
        <w:rPr>
          <w:color w:val="000000" w:themeColor="text1"/>
        </w:rPr>
        <w:t>PanIN</w:t>
      </w:r>
      <w:proofErr w:type="spellEnd"/>
      <w:r w:rsidRPr="009051D1">
        <w:rPr>
          <w:color w:val="000000" w:themeColor="text1"/>
        </w:rPr>
        <w:t xml:space="preserve">), patient demographics (age, sex), disease stage, tumor grade, </w:t>
      </w:r>
      <w:proofErr w:type="spellStart"/>
      <w:r w:rsidRPr="009051D1">
        <w:rPr>
          <w:color w:val="000000" w:themeColor="text1"/>
        </w:rPr>
        <w:t>resectability</w:t>
      </w:r>
      <w:proofErr w:type="spellEnd"/>
      <w:r w:rsidRPr="009051D1">
        <w:rPr>
          <w:color w:val="000000" w:themeColor="text1"/>
        </w:rPr>
        <w:t>, metastatic status, treatment history, and duration of follow-up.</w:t>
      </w:r>
    </w:p>
    <w:p w14:paraId="2E28008F"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Risk of Bias</w:t>
      </w:r>
    </w:p>
    <w:p w14:paraId="4DA7306D" w14:textId="2F1749BE" w:rsidR="009051D1" w:rsidRPr="009051D1" w:rsidRDefault="009051D1" w:rsidP="009051D1">
      <w:pPr>
        <w:pStyle w:val="p1"/>
        <w:rPr>
          <w:color w:val="000000" w:themeColor="text1"/>
        </w:rPr>
      </w:pPr>
      <w:r w:rsidRPr="009051D1">
        <w:rPr>
          <w:color w:val="000000" w:themeColor="text1"/>
        </w:rPr>
        <w:t xml:space="preserve"> Risk of bias assessment will be performed independently by two reviewers in duplicate using appropriate tools based on study type. Preclinical studies will be assessed using the SYRCLE Risk of Bias tool, and clinical studies will be evaluated using the Newcastle–Ottawa Scale (NOS).</w:t>
      </w:r>
    </w:p>
    <w:p w14:paraId="0396B8A3" w14:textId="58F5E0C4" w:rsidR="009051D1" w:rsidRPr="009051D1" w:rsidRDefault="009051D1" w:rsidP="009051D1">
      <w:pPr>
        <w:pStyle w:val="p1"/>
        <w:rPr>
          <w:color w:val="000000" w:themeColor="text1"/>
        </w:rPr>
      </w:pPr>
      <w:r w:rsidRPr="009051D1">
        <w:rPr>
          <w:color w:val="000000" w:themeColor="text1"/>
        </w:rPr>
        <w:t>Discrepancies between reviewers will initially be resolved through discussion and consensus. If consensus cannot be reached, disagreements will be adjudicated by a third independent reviewer.</w:t>
      </w:r>
    </w:p>
    <w:p w14:paraId="2ECCE430" w14:textId="6BBCA421" w:rsidR="009C10FF" w:rsidRPr="009051D1" w:rsidRDefault="009051D1" w:rsidP="009051D1">
      <w:pPr>
        <w:pStyle w:val="p1"/>
        <w:rPr>
          <w:color w:val="000000" w:themeColor="text1"/>
        </w:rPr>
      </w:pPr>
      <w:r w:rsidRPr="009051D1">
        <w:rPr>
          <w:color w:val="000000" w:themeColor="text1"/>
        </w:rPr>
        <w:lastRenderedPageBreak/>
        <w:t>Inter-rater agreement will be documented, and any systematic discrepancies will be reviewed to ensure consistency in scoring across studies.</w:t>
      </w:r>
    </w:p>
    <w:p w14:paraId="5154B048"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Reporting Bias</w:t>
      </w:r>
    </w:p>
    <w:p w14:paraId="38FB8C81" w14:textId="77777777" w:rsidR="00EE7F86" w:rsidRPr="009051D1" w:rsidRDefault="00000000">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Funnel plots and Egger's test if applicable</w:t>
      </w:r>
    </w:p>
    <w:p w14:paraId="2549FC3E"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Outcomes</w:t>
      </w:r>
    </w:p>
    <w:p w14:paraId="711C24D4" w14:textId="0FB46B7D" w:rsidR="009C10FF" w:rsidRPr="009051D1" w:rsidRDefault="009C10FF">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 xml:space="preserve">Main outcomes will focus on the mechanistic role and immune modulation of GAL9 in PDAC, as well as </w:t>
      </w:r>
      <w:r w:rsidR="009051D1">
        <w:rPr>
          <w:rFonts w:ascii="Times New Roman" w:hAnsi="Times New Roman" w:cs="Times New Roman"/>
          <w:color w:val="000000" w:themeColor="text1"/>
          <w:sz w:val="24"/>
          <w:szCs w:val="24"/>
        </w:rPr>
        <w:t>the relationship between</w:t>
      </w:r>
      <w:r w:rsidRPr="009051D1">
        <w:rPr>
          <w:rFonts w:ascii="Times New Roman" w:hAnsi="Times New Roman" w:cs="Times New Roman"/>
          <w:color w:val="000000" w:themeColor="text1"/>
          <w:sz w:val="24"/>
          <w:szCs w:val="24"/>
        </w:rPr>
        <w:t xml:space="preserve"> GAL9 expression and GAL9-targeted therapies a</w:t>
      </w:r>
      <w:r w:rsidR="009051D1">
        <w:rPr>
          <w:rFonts w:ascii="Times New Roman" w:hAnsi="Times New Roman" w:cs="Times New Roman"/>
          <w:color w:val="000000" w:themeColor="text1"/>
          <w:sz w:val="24"/>
          <w:szCs w:val="24"/>
        </w:rPr>
        <w:t>nd</w:t>
      </w:r>
      <w:r w:rsidRPr="009051D1">
        <w:rPr>
          <w:rFonts w:ascii="Times New Roman" w:hAnsi="Times New Roman" w:cs="Times New Roman"/>
          <w:color w:val="000000" w:themeColor="text1"/>
          <w:sz w:val="24"/>
          <w:szCs w:val="24"/>
        </w:rPr>
        <w:t xml:space="preserve"> overall survival in PDAC patients.</w:t>
      </w:r>
    </w:p>
    <w:p w14:paraId="670B93DE" w14:textId="50297E51" w:rsidR="009C10FF" w:rsidRPr="009051D1" w:rsidRDefault="009C10FF">
      <w:pPr>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Secondary outcomes include the utility of GAL9 as a biomarker in PDAC and the (clinical or preclinical) response of PDAC to GAL9-directed therapies.</w:t>
      </w:r>
    </w:p>
    <w:p w14:paraId="64F39703" w14:textId="77777777" w:rsidR="00EE7F86" w:rsidRPr="009051D1" w:rsidRDefault="00000000">
      <w:pPr>
        <w:pStyle w:val="Heading1"/>
        <w:rPr>
          <w:rFonts w:ascii="Times New Roman" w:hAnsi="Times New Roman" w:cs="Times New Roman"/>
          <w:color w:val="000000" w:themeColor="text1"/>
          <w:sz w:val="24"/>
          <w:szCs w:val="24"/>
        </w:rPr>
      </w:pPr>
      <w:r w:rsidRPr="009051D1">
        <w:rPr>
          <w:rFonts w:ascii="Times New Roman" w:hAnsi="Times New Roman" w:cs="Times New Roman"/>
          <w:color w:val="000000" w:themeColor="text1"/>
          <w:sz w:val="24"/>
          <w:szCs w:val="24"/>
        </w:rPr>
        <w:t>Data Synthesis</w:t>
      </w:r>
    </w:p>
    <w:p w14:paraId="2EC4E82C" w14:textId="135A7C33" w:rsidR="009051D1" w:rsidRPr="009051D1" w:rsidRDefault="009051D1" w:rsidP="009051D1">
      <w:pPr>
        <w:pStyle w:val="p1"/>
        <w:rPr>
          <w:color w:val="000000" w:themeColor="text1"/>
        </w:rPr>
      </w:pPr>
      <w:r w:rsidRPr="009051D1">
        <w:rPr>
          <w:color w:val="000000" w:themeColor="text1"/>
        </w:rPr>
        <w:t>A structured, multi-level synthesis approach will be employed to integrate mechanistic, clinical, and translational evidence on Galectin-9 (LGALS9) in pancreatic ductal adenocarcinoma (PDAC). Given the anticipated heterogeneity in study designs, model systems, and outcome measures across the included studies, a hybrid synthesis strategy will be used, combining narrative synthesis, structured tabulation, and quantitative meta-analysis where appropriate. Studies will be stratified a priori into three domains: mechanistic (preclinical and experimental studies investigating tumor–immune biology), clinical (patient-based biomarker and outcome studies), and translational or multi-omics (integrative computational and high-throughput analyses). Synthesis will be conducted both within and across these domains to identify convergent patterns linking molecular mechanisms to clinical outcomes.</w:t>
      </w:r>
    </w:p>
    <w:p w14:paraId="7FE2737D" w14:textId="00673B4C" w:rsidR="009051D1" w:rsidRPr="009051D1" w:rsidRDefault="009051D1" w:rsidP="009051D1">
      <w:pPr>
        <w:pStyle w:val="p1"/>
        <w:rPr>
          <w:color w:val="000000" w:themeColor="text1"/>
        </w:rPr>
      </w:pPr>
      <w:r w:rsidRPr="009051D1">
        <w:rPr>
          <w:color w:val="000000" w:themeColor="text1"/>
        </w:rPr>
        <w:t>Narrative synthesis will serve as the primary method of analysis. Mechanistic studies will be grouped according to key GAL9-associated signaling pathways, including the GAL9–TIM-3 (HAVCR2) axis, the GAL9–Dectin-1 (CLEC7A) axis, and the GAL9–CD44 axis. Within each pathway, findings will be synthesized across different experimental systems, including cell lines, murine models, patient-derived organoids, and co-culture systems, with particular attention to immune cell interactions involving macrophages, cytotoxic T lymphocytes, and regulatory T cells. Functional outcomes such as immune suppression, macrophage polarization, tumor growth, invasion, and immune evasion will be systematically compared to identify consistent mechanistic trends.</w:t>
      </w:r>
    </w:p>
    <w:p w14:paraId="1211DC56" w14:textId="3EF1CD3C" w:rsidR="009051D1" w:rsidRPr="009051D1" w:rsidRDefault="009051D1" w:rsidP="009051D1">
      <w:pPr>
        <w:pStyle w:val="p1"/>
        <w:rPr>
          <w:color w:val="000000" w:themeColor="text1"/>
        </w:rPr>
      </w:pPr>
      <w:r w:rsidRPr="009051D1">
        <w:rPr>
          <w:color w:val="000000" w:themeColor="text1"/>
        </w:rPr>
        <w:t xml:space="preserve">Clinical studies will be synthesized based on GAL9 expression levels, detection methods (e.g., immunohistochemistry, RNA sequencing, proteomics), specimen types (tumor tissue, serum, plasma, or cyst fluid), and reported clinical outcomes. Associations between GAL9 expression and survival </w:t>
      </w:r>
      <w:r>
        <w:rPr>
          <w:color w:val="000000" w:themeColor="text1"/>
        </w:rPr>
        <w:t xml:space="preserve">endpoints (overall survival and progression-free survival), as well as clinicopathologic features (tumor stage, grade, metastasis, and </w:t>
      </w:r>
      <w:r>
        <w:rPr>
          <w:color w:val="000000" w:themeColor="text1"/>
        </w:rPr>
        <w:lastRenderedPageBreak/>
        <w:t>immune infiltration),</w:t>
      </w:r>
      <w:r w:rsidRPr="009051D1">
        <w:rPr>
          <w:color w:val="000000" w:themeColor="text1"/>
        </w:rPr>
        <w:t xml:space="preserve"> will be summarized. Differences in study design and patient populations will be </w:t>
      </w:r>
      <w:r w:rsidRPr="009051D1">
        <w:rPr>
          <w:color w:val="000000" w:themeColor="text1"/>
        </w:rPr>
        <w:t>considered</w:t>
      </w:r>
      <w:r w:rsidRPr="009051D1">
        <w:rPr>
          <w:color w:val="000000" w:themeColor="text1"/>
        </w:rPr>
        <w:t xml:space="preserve"> when interpreting findings.</w:t>
      </w:r>
    </w:p>
    <w:p w14:paraId="457CA3BF" w14:textId="2E415884" w:rsidR="009051D1" w:rsidRPr="009051D1" w:rsidRDefault="009051D1" w:rsidP="009051D1">
      <w:pPr>
        <w:pStyle w:val="p1"/>
        <w:rPr>
          <w:color w:val="000000" w:themeColor="text1"/>
        </w:rPr>
      </w:pPr>
      <w:r w:rsidRPr="009051D1">
        <w:rPr>
          <w:color w:val="000000" w:themeColor="text1"/>
        </w:rPr>
        <w:t xml:space="preserve">Translational and multi-omics studies will be analyzed to evaluate ligand–receptor interactions involving GAL9, cell–cell communication networks, and immune subtype classifications within the tumor microenvironment. </w:t>
      </w:r>
      <w:r w:rsidRPr="009051D1">
        <w:rPr>
          <w:color w:val="000000" w:themeColor="text1"/>
        </w:rPr>
        <w:t>Emphasis</w:t>
      </w:r>
      <w:r w:rsidRPr="009051D1">
        <w:rPr>
          <w:color w:val="000000" w:themeColor="text1"/>
        </w:rPr>
        <w:t xml:space="preserve"> will be placed on identifying GAL9-associated pathways implicated in disease progression, including transitions from precursor lesions such as intraductal papillary mucinous neoplasms (IPMN) to invasive PDAC. Concordance between computational findings and experimental validation will be assessed to strengthen translational relevance.</w:t>
      </w:r>
    </w:p>
    <w:p w14:paraId="59A2A6B5" w14:textId="0DB67280" w:rsidR="009051D1" w:rsidRPr="009051D1" w:rsidRDefault="009051D1" w:rsidP="009051D1">
      <w:pPr>
        <w:pStyle w:val="p1"/>
        <w:rPr>
          <w:color w:val="000000" w:themeColor="text1"/>
        </w:rPr>
      </w:pPr>
      <w:r w:rsidRPr="009051D1">
        <w:rPr>
          <w:color w:val="000000" w:themeColor="text1"/>
        </w:rPr>
        <w:t>A structured evidence</w:t>
      </w:r>
      <w:r>
        <w:rPr>
          <w:color w:val="000000" w:themeColor="text1"/>
        </w:rPr>
        <w:t>-</w:t>
      </w:r>
      <w:r w:rsidRPr="009051D1">
        <w:rPr>
          <w:color w:val="000000" w:themeColor="text1"/>
        </w:rPr>
        <w:t>mapping approach will be used to organize findings across studies, linking GAL9-associated signaling pathways to immune</w:t>
      </w:r>
      <w:r>
        <w:rPr>
          <w:color w:val="000000" w:themeColor="text1"/>
        </w:rPr>
        <w:t>-</w:t>
      </w:r>
      <w:r w:rsidRPr="009051D1">
        <w:rPr>
          <w:color w:val="000000" w:themeColor="text1"/>
        </w:rPr>
        <w:t>cell interactions, tumor functional outcomes, and clinical endpoints. This will facilitate identification of areas of agreement, inconsistency, and knowledge gaps within the literature.</w:t>
      </w:r>
    </w:p>
    <w:p w14:paraId="7C47E705" w14:textId="77777777" w:rsidR="009051D1" w:rsidRDefault="009051D1" w:rsidP="009051D1">
      <w:pPr>
        <w:pStyle w:val="p1"/>
      </w:pPr>
      <w:r w:rsidRPr="009051D1">
        <w:rPr>
          <w:color w:val="000000" w:themeColor="text1"/>
        </w:rPr>
        <w:t>The overall strength and consistency of evidence will be assessed qualitatively by examining replication of findings across independent studies, agreement between mechanistic and clinical data, and the presence of validation cohorts. Results will be presented using structured summary tables, pathway-specific synthesis tables, and, where applicable, forest plots for quantitative analyses. Visual evidence maps may also be generated to illustrate the relationships between GAL9 signaling pathways, immune regulation, and clinical outcomes.</w:t>
      </w:r>
    </w:p>
    <w:p w14:paraId="653D6481" w14:textId="77777777" w:rsidR="009051D1" w:rsidRDefault="009051D1" w:rsidP="009051D1">
      <w:pPr>
        <w:pStyle w:val="p1"/>
      </w:pPr>
    </w:p>
    <w:p w14:paraId="2D89D22A" w14:textId="38EF97A0" w:rsidR="00EE7F86" w:rsidRDefault="00EE7F86"/>
    <w:sectPr w:rsidR="00EE7F8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0961170">
    <w:abstractNumId w:val="8"/>
  </w:num>
  <w:num w:numId="2" w16cid:durableId="122506673">
    <w:abstractNumId w:val="6"/>
  </w:num>
  <w:num w:numId="3" w16cid:durableId="1598097201">
    <w:abstractNumId w:val="5"/>
  </w:num>
  <w:num w:numId="4" w16cid:durableId="1836719435">
    <w:abstractNumId w:val="4"/>
  </w:num>
  <w:num w:numId="5" w16cid:durableId="1275482740">
    <w:abstractNumId w:val="7"/>
  </w:num>
  <w:num w:numId="6" w16cid:durableId="1584485416">
    <w:abstractNumId w:val="3"/>
  </w:num>
  <w:num w:numId="7" w16cid:durableId="1115902057">
    <w:abstractNumId w:val="2"/>
  </w:num>
  <w:num w:numId="8" w16cid:durableId="1650750729">
    <w:abstractNumId w:val="1"/>
  </w:num>
  <w:num w:numId="9" w16cid:durableId="1031492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3FB9"/>
    <w:rsid w:val="0015074B"/>
    <w:rsid w:val="0029639D"/>
    <w:rsid w:val="00326F90"/>
    <w:rsid w:val="00694AEA"/>
    <w:rsid w:val="009051D1"/>
    <w:rsid w:val="009C10FF"/>
    <w:rsid w:val="00A637B8"/>
    <w:rsid w:val="00AA1D8D"/>
    <w:rsid w:val="00B47730"/>
    <w:rsid w:val="00BF769C"/>
    <w:rsid w:val="00CB0664"/>
    <w:rsid w:val="00D63E20"/>
    <w:rsid w:val="00D73B17"/>
    <w:rsid w:val="00D770AB"/>
    <w:rsid w:val="00EE7F86"/>
    <w:rsid w:val="00FC693F"/>
    <w:rsid w:val="00FE1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104A"/>
  <w14:defaultImageDpi w14:val="300"/>
  <w15:docId w15:val="{998BF61C-72D7-7947-8F69-EC16B5FB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694AEA"/>
    <w:pPr>
      <w:spacing w:after="0" w:line="240" w:lineRule="auto"/>
    </w:pPr>
  </w:style>
  <w:style w:type="character" w:styleId="CommentReference">
    <w:name w:val="annotation reference"/>
    <w:basedOn w:val="DefaultParagraphFont"/>
    <w:uiPriority w:val="99"/>
    <w:semiHidden/>
    <w:unhideWhenUsed/>
    <w:rsid w:val="00694AEA"/>
    <w:rPr>
      <w:sz w:val="16"/>
      <w:szCs w:val="16"/>
    </w:rPr>
  </w:style>
  <w:style w:type="paragraph" w:styleId="CommentText">
    <w:name w:val="annotation text"/>
    <w:basedOn w:val="Normal"/>
    <w:link w:val="CommentTextChar"/>
    <w:uiPriority w:val="99"/>
    <w:semiHidden/>
    <w:unhideWhenUsed/>
    <w:rsid w:val="00694AEA"/>
    <w:pPr>
      <w:spacing w:line="240" w:lineRule="auto"/>
    </w:pPr>
    <w:rPr>
      <w:sz w:val="20"/>
      <w:szCs w:val="20"/>
    </w:rPr>
  </w:style>
  <w:style w:type="character" w:customStyle="1" w:styleId="CommentTextChar">
    <w:name w:val="Comment Text Char"/>
    <w:basedOn w:val="DefaultParagraphFont"/>
    <w:link w:val="CommentText"/>
    <w:uiPriority w:val="99"/>
    <w:semiHidden/>
    <w:rsid w:val="00694AEA"/>
    <w:rPr>
      <w:sz w:val="20"/>
      <w:szCs w:val="20"/>
    </w:rPr>
  </w:style>
  <w:style w:type="paragraph" w:styleId="CommentSubject">
    <w:name w:val="annotation subject"/>
    <w:basedOn w:val="CommentText"/>
    <w:next w:val="CommentText"/>
    <w:link w:val="CommentSubjectChar"/>
    <w:uiPriority w:val="99"/>
    <w:semiHidden/>
    <w:unhideWhenUsed/>
    <w:rsid w:val="00694AEA"/>
    <w:rPr>
      <w:b/>
      <w:bCs/>
    </w:rPr>
  </w:style>
  <w:style w:type="character" w:customStyle="1" w:styleId="CommentSubjectChar">
    <w:name w:val="Comment Subject Char"/>
    <w:basedOn w:val="CommentTextChar"/>
    <w:link w:val="CommentSubject"/>
    <w:uiPriority w:val="99"/>
    <w:semiHidden/>
    <w:rsid w:val="00694AEA"/>
    <w:rPr>
      <w:b/>
      <w:bCs/>
      <w:sz w:val="20"/>
      <w:szCs w:val="20"/>
    </w:rPr>
  </w:style>
  <w:style w:type="paragraph" w:customStyle="1" w:styleId="p1">
    <w:name w:val="p1"/>
    <w:basedOn w:val="Normal"/>
    <w:rsid w:val="00BF76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BF76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1894</Words>
  <Characters>9721</Characters>
  <Application>Microsoft Office Word</Application>
  <DocSecurity>0</DocSecurity>
  <Lines>277</Lines>
  <Paragraphs>211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Malik, D A.</cp:lastModifiedBy>
  <cp:revision>6</cp:revision>
  <dcterms:created xsi:type="dcterms:W3CDTF">2013-12-23T23:15:00Z</dcterms:created>
  <dcterms:modified xsi:type="dcterms:W3CDTF">2026-03-18T18:31:00Z</dcterms:modified>
  <cp:category/>
</cp:coreProperties>
</file>