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B466F" w14:textId="35382F32" w:rsidR="005C4B76" w:rsidRPr="004751B3" w:rsidRDefault="00665A68" w:rsidP="004751B3">
      <w:pPr>
        <w:spacing w:after="40"/>
        <w:jc w:val="center"/>
        <w:rPr>
          <w:sz w:val="24"/>
          <w:szCs w:val="24"/>
        </w:rPr>
      </w:pPr>
      <w:r w:rsidRPr="004751B3">
        <w:rPr>
          <w:b/>
          <w:sz w:val="24"/>
          <w:szCs w:val="24"/>
        </w:rPr>
        <w:t xml:space="preserve">Supplemental Table </w:t>
      </w:r>
      <w:r w:rsidR="006F1E82">
        <w:rPr>
          <w:b/>
          <w:sz w:val="24"/>
          <w:szCs w:val="24"/>
        </w:rPr>
        <w:t>3</w:t>
      </w:r>
      <w:r w:rsidRPr="004751B3">
        <w:rPr>
          <w:b/>
          <w:sz w:val="24"/>
          <w:szCs w:val="24"/>
        </w:rPr>
        <w:t>. GAL9 in PDAC: Biologic Rationale, Clinical Development Landscape, and Core Translational Gaps</w:t>
      </w:r>
    </w:p>
    <w:p w14:paraId="49AA1566" w14:textId="77777777" w:rsidR="005C4B76" w:rsidRDefault="00000000">
      <w:pPr>
        <w:spacing w:after="80" w:line="240" w:lineRule="auto"/>
      </w:pPr>
      <w:r>
        <w:rPr>
          <w:b/>
        </w:rPr>
        <w:t xml:space="preserve">Scope: </w:t>
      </w:r>
      <w:r>
        <w:t>This expanded table integrates all figure-suggested studies and strategies: direct GAL9 targeting, checkpoint combinations, TIM-3/GAL9 interception, TIM-3 x PD-1 bispecifics, CEACAM1, macrophage/Dectin-1 reprogramming, IRE + β-glucan trained immunity, engineered-cell resistance, NK-cell vulnerability, precursor-lesion biology, and multimodal biomarkers. Citation numbers correspond to the manuscript reference list; [36] should be used only for IRE/β-glucan/trained immunity concepts.</w:t>
      </w:r>
    </w:p>
    <w:tbl>
      <w:tblPr>
        <w:tblStyle w:val="GridTable4"/>
        <w:tblW w:w="0" w:type="auto"/>
        <w:jc w:val="center"/>
        <w:tblLook w:val="04A0" w:firstRow="1" w:lastRow="0" w:firstColumn="1" w:lastColumn="0" w:noHBand="0" w:noVBand="1"/>
      </w:tblPr>
      <w:tblGrid>
        <w:gridCol w:w="1677"/>
        <w:gridCol w:w="3234"/>
        <w:gridCol w:w="3026"/>
        <w:gridCol w:w="2640"/>
        <w:gridCol w:w="2658"/>
        <w:gridCol w:w="1957"/>
      </w:tblGrid>
      <w:tr w:rsidR="005C4B76" w:rsidRPr="004751B3" w14:paraId="5178197B" w14:textId="77777777" w:rsidTr="0012497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7" w:type="dxa"/>
            <w:vAlign w:val="center"/>
          </w:tcPr>
          <w:p w14:paraId="1D03B450" w14:textId="0B5A3CEE" w:rsidR="005C4B76" w:rsidRPr="004751B3" w:rsidRDefault="00000000" w:rsidP="00124973">
            <w:pPr>
              <w:jc w:val="center"/>
              <w:rPr>
                <w:rFonts w:ascii="Times New Roman" w:hAnsi="Times New Roman" w:cs="Times New Roman"/>
                <w:sz w:val="13"/>
                <w:szCs w:val="13"/>
              </w:rPr>
            </w:pPr>
            <w:r w:rsidRPr="004751B3">
              <w:rPr>
                <w:rFonts w:ascii="Times New Roman" w:hAnsi="Times New Roman" w:cs="Times New Roman"/>
                <w:sz w:val="13"/>
                <w:szCs w:val="13"/>
              </w:rPr>
              <w:t xml:space="preserve">Biologic / </w:t>
            </w:r>
            <w:r w:rsidR="00124973">
              <w:rPr>
                <w:rFonts w:ascii="Times New Roman" w:hAnsi="Times New Roman" w:cs="Times New Roman"/>
                <w:sz w:val="13"/>
                <w:szCs w:val="13"/>
              </w:rPr>
              <w:t>T</w:t>
            </w:r>
            <w:r w:rsidRPr="004751B3">
              <w:rPr>
                <w:rFonts w:ascii="Times New Roman" w:hAnsi="Times New Roman" w:cs="Times New Roman"/>
                <w:sz w:val="13"/>
                <w:szCs w:val="13"/>
              </w:rPr>
              <w:t>ranslational domain</w:t>
            </w:r>
          </w:p>
        </w:tc>
        <w:tc>
          <w:tcPr>
            <w:tcW w:w="3234" w:type="dxa"/>
            <w:vAlign w:val="center"/>
          </w:tcPr>
          <w:p w14:paraId="322914C4" w14:textId="73FB01C6" w:rsidR="005C4B76" w:rsidRPr="004751B3" w:rsidRDefault="00000000" w:rsidP="001249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4751B3">
              <w:rPr>
                <w:rFonts w:ascii="Times New Roman" w:hAnsi="Times New Roman" w:cs="Times New Roman"/>
                <w:sz w:val="13"/>
                <w:szCs w:val="13"/>
              </w:rPr>
              <w:t xml:space="preserve">Scientific rationale </w:t>
            </w:r>
            <w:r w:rsidR="00124973">
              <w:rPr>
                <w:rFonts w:ascii="Times New Roman" w:hAnsi="Times New Roman" w:cs="Times New Roman"/>
                <w:sz w:val="13"/>
                <w:szCs w:val="13"/>
              </w:rPr>
              <w:t>&amp;</w:t>
            </w:r>
            <w:r w:rsidRPr="004751B3">
              <w:rPr>
                <w:rFonts w:ascii="Times New Roman" w:hAnsi="Times New Roman" w:cs="Times New Roman"/>
                <w:sz w:val="13"/>
                <w:szCs w:val="13"/>
              </w:rPr>
              <w:t xml:space="preserve"> figure-linked studies</w:t>
            </w:r>
          </w:p>
        </w:tc>
        <w:tc>
          <w:tcPr>
            <w:tcW w:w="3026" w:type="dxa"/>
            <w:vAlign w:val="center"/>
          </w:tcPr>
          <w:p w14:paraId="6D0E636A" w14:textId="77777777" w:rsidR="005C4B76" w:rsidRPr="004751B3" w:rsidRDefault="00000000" w:rsidP="001249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4751B3">
              <w:rPr>
                <w:rFonts w:ascii="Times New Roman" w:hAnsi="Times New Roman" w:cs="Times New Roman"/>
                <w:sz w:val="13"/>
                <w:szCs w:val="13"/>
              </w:rPr>
              <w:t>Representative clinical development or model strategy</w:t>
            </w:r>
          </w:p>
        </w:tc>
        <w:tc>
          <w:tcPr>
            <w:tcW w:w="2640" w:type="dxa"/>
            <w:vAlign w:val="center"/>
          </w:tcPr>
          <w:p w14:paraId="5C08CCE5" w14:textId="77777777" w:rsidR="005C4B76" w:rsidRPr="004751B3" w:rsidRDefault="00000000" w:rsidP="001249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4751B3">
              <w:rPr>
                <w:rFonts w:ascii="Times New Roman" w:hAnsi="Times New Roman" w:cs="Times New Roman"/>
                <w:sz w:val="13"/>
                <w:szCs w:val="13"/>
              </w:rPr>
              <w:t>Translational significance for PDAC</w:t>
            </w:r>
          </w:p>
        </w:tc>
        <w:tc>
          <w:tcPr>
            <w:tcW w:w="2658" w:type="dxa"/>
            <w:vAlign w:val="center"/>
          </w:tcPr>
          <w:p w14:paraId="58A962E7" w14:textId="77777777" w:rsidR="005C4B76" w:rsidRPr="004751B3" w:rsidRDefault="00000000" w:rsidP="001249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4751B3">
              <w:rPr>
                <w:rFonts w:ascii="Times New Roman" w:hAnsi="Times New Roman" w:cs="Times New Roman"/>
                <w:sz w:val="13"/>
                <w:szCs w:val="13"/>
              </w:rPr>
              <w:t>Critical unmet need / gap</w:t>
            </w:r>
          </w:p>
        </w:tc>
        <w:tc>
          <w:tcPr>
            <w:tcW w:w="1957" w:type="dxa"/>
            <w:vAlign w:val="center"/>
          </w:tcPr>
          <w:p w14:paraId="75441F77" w14:textId="1F31BF9C" w:rsidR="005C4B76" w:rsidRPr="004751B3" w:rsidRDefault="00124973" w:rsidP="001249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Citations</w:t>
            </w:r>
          </w:p>
        </w:tc>
      </w:tr>
      <w:tr w:rsidR="005C4B76" w:rsidRPr="004751B3" w14:paraId="2CC4BB98" w14:textId="77777777" w:rsidTr="001249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7" w:type="dxa"/>
            <w:vAlign w:val="center"/>
          </w:tcPr>
          <w:p w14:paraId="07766A44" w14:textId="77777777" w:rsidR="005C4B76" w:rsidRPr="004751B3" w:rsidRDefault="00000000" w:rsidP="00124973">
            <w:pPr>
              <w:jc w:val="center"/>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Direct GAL9 ligand targeting</w:t>
            </w:r>
          </w:p>
        </w:tc>
        <w:tc>
          <w:tcPr>
            <w:tcW w:w="3234" w:type="dxa"/>
            <w:vAlign w:val="center"/>
          </w:tcPr>
          <w:p w14:paraId="64D7595D"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PDAC studies link GAL9 to macrophage polarization, adaptive immune resistance, precursor-lesion progression, serum/EV detectability, stromal immune exclusion, and failure of engineered immunotherapy.</w:t>
            </w:r>
          </w:p>
        </w:tc>
        <w:tc>
          <w:tcPr>
            <w:tcW w:w="3026" w:type="dxa"/>
            <w:vAlign w:val="center"/>
          </w:tcPr>
          <w:p w14:paraId="348C3A80"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LYT-200 (anti-GAL9; phase I/II); solid-tumor testing with tislelizumab and gemcitabine/nab-paclitaxel; hematologic combinations with venetoclax/HMA.</w:t>
            </w:r>
          </w:p>
        </w:tc>
        <w:tc>
          <w:tcPr>
            <w:tcW w:w="2640" w:type="dxa"/>
            <w:vAlign w:val="center"/>
          </w:tcPr>
          <w:p w14:paraId="02AD01B1"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Most direct translation of GAL9 biology; feasible route to test whether GAL9 neutralization reverses immune suppression in GAL9-high PDAC.</w:t>
            </w:r>
          </w:p>
        </w:tc>
        <w:tc>
          <w:tcPr>
            <w:tcW w:w="2658" w:type="dxa"/>
            <w:vAlign w:val="center"/>
          </w:tcPr>
          <w:p w14:paraId="422697D3"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Anti-GAL9 pipeline remains thin; no PDAC-specific peer-reviewed efficacy dataset yet matches biologic rationale.</w:t>
            </w:r>
          </w:p>
        </w:tc>
        <w:tc>
          <w:tcPr>
            <w:tcW w:w="1957" w:type="dxa"/>
            <w:vAlign w:val="center"/>
          </w:tcPr>
          <w:p w14:paraId="5D9B6028"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[9,10,12-20,22,25,27,34]</w:t>
            </w:r>
          </w:p>
        </w:tc>
      </w:tr>
      <w:tr w:rsidR="005C4B76" w:rsidRPr="004751B3" w14:paraId="3D1AA9E5" w14:textId="77777777" w:rsidTr="00124973">
        <w:trPr>
          <w:jc w:val="center"/>
        </w:trPr>
        <w:tc>
          <w:tcPr>
            <w:cnfStyle w:val="001000000000" w:firstRow="0" w:lastRow="0" w:firstColumn="1" w:lastColumn="0" w:oddVBand="0" w:evenVBand="0" w:oddHBand="0" w:evenHBand="0" w:firstRowFirstColumn="0" w:firstRowLastColumn="0" w:lastRowFirstColumn="0" w:lastRowLastColumn="0"/>
            <w:tcW w:w="1677" w:type="dxa"/>
            <w:vAlign w:val="center"/>
          </w:tcPr>
          <w:p w14:paraId="125D80A0" w14:textId="77777777" w:rsidR="005C4B76" w:rsidRPr="004751B3" w:rsidRDefault="00000000" w:rsidP="00124973">
            <w:pPr>
              <w:jc w:val="center"/>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Checkpoint-combinatorial resistance: GAL9 + PD-1/PD-L1</w:t>
            </w:r>
          </w:p>
        </w:tc>
        <w:tc>
          <w:tcPr>
            <w:tcW w:w="3234" w:type="dxa"/>
            <w:vAlign w:val="center"/>
          </w:tcPr>
          <w:p w14:paraId="281C3BC4"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GAL9 plus PD-L1 blockade can outperform monotherapy, supporting GAL9 as a co-resistance pathway rather than a stand-alone checkpoint.</w:t>
            </w:r>
          </w:p>
        </w:tc>
        <w:tc>
          <w:tcPr>
            <w:tcW w:w="3026" w:type="dxa"/>
            <w:vAlign w:val="center"/>
          </w:tcPr>
          <w:p w14:paraId="5E2D862C"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Anti-PD-1/PD-L1 agents such as nivolumab, pembrolizumab, tislelizumab, and related checkpoint programs.</w:t>
            </w:r>
          </w:p>
        </w:tc>
        <w:tc>
          <w:tcPr>
            <w:tcW w:w="2640" w:type="dxa"/>
            <w:vAlign w:val="center"/>
          </w:tcPr>
          <w:p w14:paraId="13813A20"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Immediate translational bridge between GAL9 biology and clinically available immunotherapy.</w:t>
            </w:r>
          </w:p>
        </w:tc>
        <w:tc>
          <w:tcPr>
            <w:tcW w:w="2658" w:type="dxa"/>
            <w:vAlign w:val="center"/>
          </w:tcPr>
          <w:p w14:paraId="5F9FA5EE"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PDAC checkpoint trials often lack GAL9 enrichment, macrophage-state stratification, or biospecimen-based selection.</w:t>
            </w:r>
          </w:p>
        </w:tc>
        <w:tc>
          <w:tcPr>
            <w:tcW w:w="1957" w:type="dxa"/>
            <w:vAlign w:val="center"/>
          </w:tcPr>
          <w:p w14:paraId="0AAD802B"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[4-7,9,21-23,25,26,28,32,33]</w:t>
            </w:r>
          </w:p>
        </w:tc>
      </w:tr>
      <w:tr w:rsidR="005C4B76" w:rsidRPr="004751B3" w14:paraId="55C6F44C" w14:textId="77777777" w:rsidTr="001249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7" w:type="dxa"/>
            <w:vAlign w:val="center"/>
          </w:tcPr>
          <w:p w14:paraId="42F4797A" w14:textId="77777777" w:rsidR="005C4B76" w:rsidRPr="004751B3" w:rsidRDefault="00000000" w:rsidP="00124973">
            <w:pPr>
              <w:jc w:val="center"/>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Combination: direct GAL9 blockade + checkpoint inhibition</w:t>
            </w:r>
          </w:p>
        </w:tc>
        <w:tc>
          <w:tcPr>
            <w:tcW w:w="3234" w:type="dxa"/>
            <w:vAlign w:val="center"/>
          </w:tcPr>
          <w:p w14:paraId="37E51B82"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Dual blockade addresses GAL9-mediated immune suppression that may persist despite PD-1/PD-L1 inhibition.</w:t>
            </w:r>
          </w:p>
        </w:tc>
        <w:tc>
          <w:tcPr>
            <w:tcW w:w="3026" w:type="dxa"/>
            <w:vAlign w:val="center"/>
          </w:tcPr>
          <w:p w14:paraId="6B5D0A10"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LYT-200 + anti-PD-1/PD-L1; LYT-200 solid tumor development with tislelizumab and chemotherapy.</w:t>
            </w:r>
          </w:p>
        </w:tc>
        <w:tc>
          <w:tcPr>
            <w:tcW w:w="2640" w:type="dxa"/>
            <w:vAlign w:val="center"/>
          </w:tcPr>
          <w:p w14:paraId="6B57FEB9"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Best antibody-based combination to test GAL9 as an actionable co-resistance node in PDAC.</w:t>
            </w:r>
          </w:p>
        </w:tc>
        <w:tc>
          <w:tcPr>
            <w:tcW w:w="2658" w:type="dxa"/>
            <w:vAlign w:val="center"/>
          </w:tcPr>
          <w:p w14:paraId="29D3E33D"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Need PDAC-specific trial design with GAL9-high, myeloid-rich, or immune-excluded enrichment.</w:t>
            </w:r>
          </w:p>
        </w:tc>
        <w:tc>
          <w:tcPr>
            <w:tcW w:w="1957" w:type="dxa"/>
            <w:vAlign w:val="center"/>
          </w:tcPr>
          <w:p w14:paraId="40C16185"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[9,12,22,25,34]</w:t>
            </w:r>
          </w:p>
        </w:tc>
      </w:tr>
      <w:tr w:rsidR="005C4B76" w:rsidRPr="004751B3" w14:paraId="5113F5FD" w14:textId="77777777" w:rsidTr="00124973">
        <w:trPr>
          <w:jc w:val="center"/>
        </w:trPr>
        <w:tc>
          <w:tcPr>
            <w:cnfStyle w:val="001000000000" w:firstRow="0" w:lastRow="0" w:firstColumn="1" w:lastColumn="0" w:oddVBand="0" w:evenVBand="0" w:oddHBand="0" w:evenHBand="0" w:firstRowFirstColumn="0" w:firstRowLastColumn="0" w:lastRowFirstColumn="0" w:lastRowLastColumn="0"/>
            <w:tcW w:w="1677" w:type="dxa"/>
            <w:vAlign w:val="center"/>
          </w:tcPr>
          <w:p w14:paraId="4C96DE4D" w14:textId="77777777" w:rsidR="005C4B76" w:rsidRPr="004751B3" w:rsidRDefault="00000000" w:rsidP="00124973">
            <w:pPr>
              <w:jc w:val="center"/>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TIM-3-directed GAL9-axis interception</w:t>
            </w:r>
          </w:p>
        </w:tc>
        <w:tc>
          <w:tcPr>
            <w:tcW w:w="3234" w:type="dxa"/>
            <w:vAlign w:val="center"/>
          </w:tcPr>
          <w:p w14:paraId="52DB0FE1" w14:textId="6E408428"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 xml:space="preserve">TIM-3 is a developed GAL9-binding </w:t>
            </w:r>
            <w:r w:rsidR="004751B3" w:rsidRPr="004751B3">
              <w:rPr>
                <w:rFonts w:ascii="Times New Roman" w:hAnsi="Times New Roman" w:cs="Times New Roman"/>
                <w:color w:val="000000" w:themeColor="text1"/>
                <w:sz w:val="13"/>
                <w:szCs w:val="13"/>
              </w:rPr>
              <w:t>receptor but</w:t>
            </w:r>
            <w:r w:rsidRPr="004751B3">
              <w:rPr>
                <w:rFonts w:ascii="Times New Roman" w:hAnsi="Times New Roman" w:cs="Times New Roman"/>
                <w:color w:val="000000" w:themeColor="text1"/>
                <w:sz w:val="13"/>
                <w:szCs w:val="13"/>
              </w:rPr>
              <w:t xml:space="preserve"> captures only one branch of broader GAL9 biology.</w:t>
            </w:r>
          </w:p>
        </w:tc>
        <w:tc>
          <w:tcPr>
            <w:tcW w:w="3026" w:type="dxa"/>
            <w:vAlign w:val="center"/>
          </w:tcPr>
          <w:p w14:paraId="38FD17C2"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Cobolimab/TSR-022; sabatolimab/MBG453; INCAGN02390/verzistobart; Sym023; LY3321367.</w:t>
            </w:r>
          </w:p>
        </w:tc>
        <w:tc>
          <w:tcPr>
            <w:tcW w:w="2640" w:type="dxa"/>
            <w:vAlign w:val="center"/>
          </w:tcPr>
          <w:p w14:paraId="60855254"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Shows GAL9-axis clinical tractability through receptor-adjacent blockade.</w:t>
            </w:r>
          </w:p>
        </w:tc>
        <w:tc>
          <w:tcPr>
            <w:tcW w:w="2658" w:type="dxa"/>
            <w:vAlign w:val="center"/>
          </w:tcPr>
          <w:p w14:paraId="75B44D15"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Trials remain receptor-focused and not PDAC-prioritized; limited macrophage/Dectin-1 stratification.</w:t>
            </w:r>
          </w:p>
        </w:tc>
        <w:tc>
          <w:tcPr>
            <w:tcW w:w="1957" w:type="dxa"/>
            <w:vAlign w:val="center"/>
          </w:tcPr>
          <w:p w14:paraId="20FE2667"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[16,21,25,26,28,29]</w:t>
            </w:r>
          </w:p>
        </w:tc>
      </w:tr>
      <w:tr w:rsidR="005C4B76" w:rsidRPr="004751B3" w14:paraId="379389F6" w14:textId="77777777" w:rsidTr="001249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7" w:type="dxa"/>
            <w:vAlign w:val="center"/>
          </w:tcPr>
          <w:p w14:paraId="05D0CA13" w14:textId="77777777" w:rsidR="005C4B76" w:rsidRPr="004751B3" w:rsidRDefault="00000000" w:rsidP="00124973">
            <w:pPr>
              <w:jc w:val="center"/>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TIM-3 x PD-1 bispecific architecture</w:t>
            </w:r>
          </w:p>
        </w:tc>
        <w:tc>
          <w:tcPr>
            <w:tcW w:w="3234" w:type="dxa"/>
            <w:vAlign w:val="center"/>
          </w:tcPr>
          <w:p w14:paraId="35E4E23E"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GAL9 biology supports dual-axis intervention because checkpoint resistance is network-level rather than isolated TIM-3 dependence.</w:t>
            </w:r>
          </w:p>
        </w:tc>
        <w:tc>
          <w:tcPr>
            <w:tcW w:w="3026" w:type="dxa"/>
            <w:vAlign w:val="center"/>
          </w:tcPr>
          <w:p w14:paraId="28C825DD"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AZD7789/sabestomig; RO7121661/tobemstomig; LY3415244; LB1410.</w:t>
            </w:r>
          </w:p>
        </w:tc>
        <w:tc>
          <w:tcPr>
            <w:tcW w:w="2640" w:type="dxa"/>
            <w:vAlign w:val="center"/>
          </w:tcPr>
          <w:p w14:paraId="216151C0"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Approximates the network-level design logic PDAC GAL9 biology appears to require.</w:t>
            </w:r>
          </w:p>
        </w:tc>
        <w:tc>
          <w:tcPr>
            <w:tcW w:w="2658" w:type="dxa"/>
            <w:vAlign w:val="center"/>
          </w:tcPr>
          <w:p w14:paraId="2D89EAA6"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Mostly pan-solid platform trials rather than PDAC-enriched, GAL9-biomarker-guided trials.</w:t>
            </w:r>
          </w:p>
        </w:tc>
        <w:tc>
          <w:tcPr>
            <w:tcW w:w="1957" w:type="dxa"/>
            <w:vAlign w:val="center"/>
          </w:tcPr>
          <w:p w14:paraId="1EFBA91D"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[9,12,16,21,25,30,31]</w:t>
            </w:r>
          </w:p>
        </w:tc>
      </w:tr>
      <w:tr w:rsidR="005C4B76" w:rsidRPr="004751B3" w14:paraId="08CC4F0D" w14:textId="77777777" w:rsidTr="00124973">
        <w:trPr>
          <w:jc w:val="center"/>
        </w:trPr>
        <w:tc>
          <w:tcPr>
            <w:cnfStyle w:val="001000000000" w:firstRow="0" w:lastRow="0" w:firstColumn="1" w:lastColumn="0" w:oddVBand="0" w:evenVBand="0" w:oddHBand="0" w:evenHBand="0" w:firstRowFirstColumn="0" w:firstRowLastColumn="0" w:lastRowFirstColumn="0" w:lastRowLastColumn="0"/>
            <w:tcW w:w="1677" w:type="dxa"/>
            <w:vAlign w:val="center"/>
          </w:tcPr>
          <w:p w14:paraId="322086B3" w14:textId="77777777" w:rsidR="005C4B76" w:rsidRPr="004751B3" w:rsidRDefault="00000000" w:rsidP="00124973">
            <w:pPr>
              <w:jc w:val="center"/>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CEACAM1 / GAL9 receptor interception</w:t>
            </w:r>
          </w:p>
        </w:tc>
        <w:tc>
          <w:tcPr>
            <w:tcW w:w="3234" w:type="dxa"/>
            <w:vAlign w:val="center"/>
          </w:tcPr>
          <w:p w14:paraId="24DC3CD2"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CEACAM1 is a relevant GAL9-binding receptor and alternative route to intercept GAL9 signaling.</w:t>
            </w:r>
          </w:p>
        </w:tc>
        <w:tc>
          <w:tcPr>
            <w:tcW w:w="3026" w:type="dxa"/>
            <w:vAlign w:val="center"/>
          </w:tcPr>
          <w:p w14:paraId="30161C2E"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CM-24 (MK-6018) ± pembrolizumab.</w:t>
            </w:r>
          </w:p>
        </w:tc>
        <w:tc>
          <w:tcPr>
            <w:tcW w:w="2640" w:type="dxa"/>
            <w:vAlign w:val="center"/>
          </w:tcPr>
          <w:p w14:paraId="5B43ED05"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Shows receptor-level modulation of GAL9-associated biology is feasible.</w:t>
            </w:r>
          </w:p>
        </w:tc>
        <w:tc>
          <w:tcPr>
            <w:tcW w:w="2658" w:type="dxa"/>
            <w:vAlign w:val="center"/>
          </w:tcPr>
          <w:p w14:paraId="57E8D0A0"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PDAC is not yet prominent in CEACAM1-directed clinical development.</w:t>
            </w:r>
          </w:p>
        </w:tc>
        <w:tc>
          <w:tcPr>
            <w:tcW w:w="1957" w:type="dxa"/>
            <w:vAlign w:val="center"/>
          </w:tcPr>
          <w:p w14:paraId="199874FA"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[25,35]</w:t>
            </w:r>
          </w:p>
        </w:tc>
      </w:tr>
      <w:tr w:rsidR="005C4B76" w:rsidRPr="004751B3" w14:paraId="5F78CEDF" w14:textId="77777777" w:rsidTr="001249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7" w:type="dxa"/>
            <w:vAlign w:val="center"/>
          </w:tcPr>
          <w:p w14:paraId="210149FD" w14:textId="77777777" w:rsidR="005C4B76" w:rsidRPr="004751B3" w:rsidRDefault="00000000" w:rsidP="00124973">
            <w:pPr>
              <w:jc w:val="center"/>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Macrophage-dominant immune exclusion and GAL9-Dectin-1 biology</w:t>
            </w:r>
          </w:p>
        </w:tc>
        <w:tc>
          <w:tcPr>
            <w:tcW w:w="3234" w:type="dxa"/>
            <w:vAlign w:val="center"/>
          </w:tcPr>
          <w:p w14:paraId="49804574"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GAL9-Dectin-1 and myeloid programs support macrophage-centered tolerance and immune exclusion despite infiltration.</w:t>
            </w:r>
          </w:p>
        </w:tc>
        <w:tc>
          <w:tcPr>
            <w:tcW w:w="3026" w:type="dxa"/>
            <w:vAlign w:val="center"/>
          </w:tcPr>
          <w:p w14:paraId="58F5451C"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Indirectly relevant: TIM-3 blockade, JAK/myeloid modulation, β-glucan/Dectin-1 strategies.</w:t>
            </w:r>
          </w:p>
        </w:tc>
        <w:tc>
          <w:tcPr>
            <w:tcW w:w="2640" w:type="dxa"/>
            <w:vAlign w:val="center"/>
          </w:tcPr>
          <w:p w14:paraId="5469386F"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Targets the dominant suppressive compartment in PDAC, not only downstream T-cell dysfunction.</w:t>
            </w:r>
          </w:p>
        </w:tc>
        <w:tc>
          <w:tcPr>
            <w:tcW w:w="2658" w:type="dxa"/>
            <w:vAlign w:val="center"/>
          </w:tcPr>
          <w:p w14:paraId="63A6DE6D"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Field remains too T-cell-centric; GAL9 biology supports myeloid-directed deployment.</w:t>
            </w:r>
          </w:p>
        </w:tc>
        <w:tc>
          <w:tcPr>
            <w:tcW w:w="1957" w:type="dxa"/>
            <w:vAlign w:val="center"/>
          </w:tcPr>
          <w:p w14:paraId="13AFEF37"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[10,13,16,22]</w:t>
            </w:r>
          </w:p>
        </w:tc>
      </w:tr>
      <w:tr w:rsidR="005C4B76" w:rsidRPr="004751B3" w14:paraId="2C7B4A51" w14:textId="77777777" w:rsidTr="00124973">
        <w:trPr>
          <w:jc w:val="center"/>
        </w:trPr>
        <w:tc>
          <w:tcPr>
            <w:cnfStyle w:val="001000000000" w:firstRow="0" w:lastRow="0" w:firstColumn="1" w:lastColumn="0" w:oddVBand="0" w:evenVBand="0" w:oddHBand="0" w:evenHBand="0" w:firstRowFirstColumn="0" w:firstRowLastColumn="0" w:lastRowFirstColumn="0" w:lastRowLastColumn="0"/>
            <w:tcW w:w="1677" w:type="dxa"/>
            <w:vAlign w:val="center"/>
          </w:tcPr>
          <w:p w14:paraId="38A51C33" w14:textId="77777777" w:rsidR="005C4B76" w:rsidRPr="004751B3" w:rsidRDefault="00000000" w:rsidP="00124973">
            <w:pPr>
              <w:jc w:val="center"/>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β-glucan / Dectin-1 innate immune reprogramming</w:t>
            </w:r>
          </w:p>
        </w:tc>
        <w:tc>
          <w:tcPr>
            <w:tcW w:w="3234" w:type="dxa"/>
            <w:vAlign w:val="center"/>
          </w:tcPr>
          <w:p w14:paraId="3137AC8A"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β-glucan engages Dectin-1 and may promote trained innate immunity, antigen presentation, and M2-to-M1 macrophage reprogramming.</w:t>
            </w:r>
          </w:p>
        </w:tc>
        <w:tc>
          <w:tcPr>
            <w:tcW w:w="3026" w:type="dxa"/>
            <w:vAlign w:val="center"/>
          </w:tcPr>
          <w:p w14:paraId="3FE30612"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Yeast-derived β-glucan; Dectin-1 agonist strategy; pairing with checkpoint blockade, GAL9 blockade, chemotherapy, or local tumor modulation.</w:t>
            </w:r>
          </w:p>
        </w:tc>
        <w:tc>
          <w:tcPr>
            <w:tcW w:w="2640" w:type="dxa"/>
            <w:vAlign w:val="center"/>
          </w:tcPr>
          <w:p w14:paraId="036CB583"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Rational immune-adjuvant strategy to convert macrophage-dominant suppression into an inflamed antigen-presenting state.</w:t>
            </w:r>
          </w:p>
        </w:tc>
        <w:tc>
          <w:tcPr>
            <w:tcW w:w="2658" w:type="dxa"/>
            <w:vAlign w:val="center"/>
          </w:tcPr>
          <w:p w14:paraId="7C7C1550"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Need human PDO/PBMC validation and biomarker definitions for β-glucan responders.</w:t>
            </w:r>
          </w:p>
        </w:tc>
        <w:tc>
          <w:tcPr>
            <w:tcW w:w="1957" w:type="dxa"/>
            <w:vAlign w:val="center"/>
          </w:tcPr>
          <w:p w14:paraId="3F4A9D24"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[10,13,16,36]</w:t>
            </w:r>
          </w:p>
        </w:tc>
      </w:tr>
      <w:tr w:rsidR="005C4B76" w:rsidRPr="004751B3" w14:paraId="05B4363A" w14:textId="77777777" w:rsidTr="001249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7" w:type="dxa"/>
            <w:vAlign w:val="center"/>
          </w:tcPr>
          <w:p w14:paraId="10DECFE8" w14:textId="77777777" w:rsidR="005C4B76" w:rsidRPr="004751B3" w:rsidRDefault="00000000" w:rsidP="00124973">
            <w:pPr>
              <w:jc w:val="center"/>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IRE + β-glucan + checkpoint ± GAL9 blockade</w:t>
            </w:r>
          </w:p>
        </w:tc>
        <w:tc>
          <w:tcPr>
            <w:tcW w:w="3234" w:type="dxa"/>
            <w:vAlign w:val="center"/>
          </w:tcPr>
          <w:p w14:paraId="4EDABFE3"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IRE disrupts stroma and releases antigens; β-glucan promotes trained innate immunity; checkpoint/GAL9 blockade may sustain adaptive cytotoxicity.</w:t>
            </w:r>
          </w:p>
        </w:tc>
        <w:tc>
          <w:tcPr>
            <w:tcW w:w="3026" w:type="dxa"/>
            <w:vAlign w:val="center"/>
          </w:tcPr>
          <w:p w14:paraId="390041AE"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IRE + β-glucan trained immunity; proposed extension with anti-PD-1/PD-L1 ± LYT-200 or related GAL9-axis targeting.</w:t>
            </w:r>
          </w:p>
        </w:tc>
        <w:tc>
          <w:tcPr>
            <w:tcW w:w="2640" w:type="dxa"/>
            <w:vAlign w:val="center"/>
          </w:tcPr>
          <w:p w14:paraId="59E47E5C"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Highest-novelty combination: local tumor modulation + innate training + adaptive immune reinvigoration.</w:t>
            </w:r>
          </w:p>
        </w:tc>
        <w:tc>
          <w:tcPr>
            <w:tcW w:w="2658" w:type="dxa"/>
            <w:vAlign w:val="center"/>
          </w:tcPr>
          <w:p w14:paraId="2DD07A92"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Requires careful sequencing, immune monitoring, and PDO/co-culture testing before broad deployment.</w:t>
            </w:r>
          </w:p>
        </w:tc>
        <w:tc>
          <w:tcPr>
            <w:tcW w:w="1957" w:type="dxa"/>
            <w:vAlign w:val="center"/>
          </w:tcPr>
          <w:p w14:paraId="31FB0323"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[9,10,13,16,22,34,36]</w:t>
            </w:r>
          </w:p>
        </w:tc>
      </w:tr>
      <w:tr w:rsidR="005C4B76" w:rsidRPr="004751B3" w14:paraId="0D24546B" w14:textId="77777777" w:rsidTr="00124973">
        <w:trPr>
          <w:jc w:val="center"/>
        </w:trPr>
        <w:tc>
          <w:tcPr>
            <w:cnfStyle w:val="001000000000" w:firstRow="0" w:lastRow="0" w:firstColumn="1" w:lastColumn="0" w:oddVBand="0" w:evenVBand="0" w:oddHBand="0" w:evenHBand="0" w:firstRowFirstColumn="0" w:firstRowLastColumn="0" w:lastRowFirstColumn="0" w:lastRowLastColumn="0"/>
            <w:tcW w:w="1677" w:type="dxa"/>
            <w:vAlign w:val="center"/>
          </w:tcPr>
          <w:p w14:paraId="6D9100BF" w14:textId="77777777" w:rsidR="005C4B76" w:rsidRPr="004751B3" w:rsidRDefault="00000000" w:rsidP="00124973">
            <w:pPr>
              <w:jc w:val="center"/>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IRE-mediated antigen release and immune access</w:t>
            </w:r>
          </w:p>
        </w:tc>
        <w:tc>
          <w:tcPr>
            <w:tcW w:w="3234" w:type="dxa"/>
            <w:vAlign w:val="center"/>
          </w:tcPr>
          <w:p w14:paraId="6ED689A2"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IRE may increase antigen release, stromal permeability, and immune access in desmoplastic PDAC.</w:t>
            </w:r>
          </w:p>
        </w:tc>
        <w:tc>
          <w:tcPr>
            <w:tcW w:w="3026" w:type="dxa"/>
            <w:vAlign w:val="center"/>
          </w:tcPr>
          <w:p w14:paraId="376AFB6C"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IRE as local tumor modulation; belongs under antigen release/access, not general GAL9 biology.</w:t>
            </w:r>
          </w:p>
        </w:tc>
        <w:tc>
          <w:tcPr>
            <w:tcW w:w="2640" w:type="dxa"/>
            <w:vAlign w:val="center"/>
          </w:tcPr>
          <w:p w14:paraId="1E3C238C"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Provides an immune-priming window for β-glucan and checkpoint/GAL9-axis therapy.</w:t>
            </w:r>
          </w:p>
        </w:tc>
        <w:tc>
          <w:tcPr>
            <w:tcW w:w="2658" w:type="dxa"/>
            <w:vAlign w:val="center"/>
          </w:tcPr>
          <w:p w14:paraId="042C6603"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Need standardized timing of post-IRE immunotherapy and biomarker-guided monitoring.</w:t>
            </w:r>
          </w:p>
        </w:tc>
        <w:tc>
          <w:tcPr>
            <w:tcW w:w="1957" w:type="dxa"/>
            <w:vAlign w:val="center"/>
          </w:tcPr>
          <w:p w14:paraId="365244C0"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[4,5,23,36]</w:t>
            </w:r>
          </w:p>
        </w:tc>
      </w:tr>
      <w:tr w:rsidR="005C4B76" w:rsidRPr="004751B3" w14:paraId="57E30FF2" w14:textId="77777777" w:rsidTr="001249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7" w:type="dxa"/>
            <w:vAlign w:val="center"/>
          </w:tcPr>
          <w:p w14:paraId="45C7381B" w14:textId="77777777" w:rsidR="005C4B76" w:rsidRPr="004751B3" w:rsidRDefault="00000000" w:rsidP="00124973">
            <w:pPr>
              <w:jc w:val="center"/>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JAK / myeloid decongestion combinations</w:t>
            </w:r>
          </w:p>
        </w:tc>
        <w:tc>
          <w:tcPr>
            <w:tcW w:w="3234" w:type="dxa"/>
            <w:vAlign w:val="center"/>
          </w:tcPr>
          <w:p w14:paraId="06C0363C"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GAL9 overlaps with inflammatory, MDSC-rich, and Treg-rich suppressive states; JAK inhibition may reduce myeloid suppression.</w:t>
            </w:r>
          </w:p>
        </w:tc>
        <w:tc>
          <w:tcPr>
            <w:tcW w:w="3026" w:type="dxa"/>
            <w:vAlign w:val="center"/>
          </w:tcPr>
          <w:p w14:paraId="16ED47C8"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Ruxolitinib + nivolumab; itacitinib + pembrolizumab.</w:t>
            </w:r>
          </w:p>
        </w:tc>
        <w:tc>
          <w:tcPr>
            <w:tcW w:w="2640" w:type="dxa"/>
            <w:vAlign w:val="center"/>
          </w:tcPr>
          <w:p w14:paraId="27E78F09"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Mechanistically aligned with GAL9-high, myeloid-rich ecosystems though not direct GAL9 trials.</w:t>
            </w:r>
          </w:p>
        </w:tc>
        <w:tc>
          <w:tcPr>
            <w:tcW w:w="2658" w:type="dxa"/>
            <w:vAlign w:val="center"/>
          </w:tcPr>
          <w:p w14:paraId="79671BC4"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Not yet incorporated into GAL9-guided PDAC trial frameworks.</w:t>
            </w:r>
          </w:p>
        </w:tc>
        <w:tc>
          <w:tcPr>
            <w:tcW w:w="1957" w:type="dxa"/>
            <w:vAlign w:val="center"/>
          </w:tcPr>
          <w:p w14:paraId="03A123B2"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[25]</w:t>
            </w:r>
          </w:p>
        </w:tc>
      </w:tr>
      <w:tr w:rsidR="005C4B76" w:rsidRPr="004751B3" w14:paraId="421AC0A2" w14:textId="77777777" w:rsidTr="00124973">
        <w:trPr>
          <w:jc w:val="center"/>
        </w:trPr>
        <w:tc>
          <w:tcPr>
            <w:cnfStyle w:val="001000000000" w:firstRow="0" w:lastRow="0" w:firstColumn="1" w:lastColumn="0" w:oddVBand="0" w:evenVBand="0" w:oddHBand="0" w:evenHBand="0" w:firstRowFirstColumn="0" w:firstRowLastColumn="0" w:lastRowFirstColumn="0" w:lastRowLastColumn="0"/>
            <w:tcW w:w="1677" w:type="dxa"/>
            <w:vAlign w:val="center"/>
          </w:tcPr>
          <w:p w14:paraId="3CE79E2A" w14:textId="77777777" w:rsidR="005C4B76" w:rsidRPr="004751B3" w:rsidRDefault="00000000" w:rsidP="00124973">
            <w:pPr>
              <w:jc w:val="center"/>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Adaptive resistance to engineered cell therapy</w:t>
            </w:r>
          </w:p>
        </w:tc>
        <w:tc>
          <w:tcPr>
            <w:tcW w:w="3234" w:type="dxa"/>
            <w:vAlign w:val="center"/>
          </w:tcPr>
          <w:p w14:paraId="1CAB96A3"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CAR-T-resistant PDAC models induce GAL9 with immune-evasion mediators; GAL9 inhibition can restore cytotoxic function.</w:t>
            </w:r>
          </w:p>
        </w:tc>
        <w:tc>
          <w:tcPr>
            <w:tcW w:w="3026" w:type="dxa"/>
            <w:vAlign w:val="center"/>
          </w:tcPr>
          <w:p w14:paraId="7DBEBBD6"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No clinical PDAC program currently combines engineered cell therapy with GAL9-axis blockade.</w:t>
            </w:r>
          </w:p>
        </w:tc>
        <w:tc>
          <w:tcPr>
            <w:tcW w:w="2640" w:type="dxa"/>
            <w:vAlign w:val="center"/>
          </w:tcPr>
          <w:p w14:paraId="1938EBAB"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Strong example of GAL9 as a sensitization target rather than a static biomarker.</w:t>
            </w:r>
          </w:p>
        </w:tc>
        <w:tc>
          <w:tcPr>
            <w:tcW w:w="2658" w:type="dxa"/>
            <w:vAlign w:val="center"/>
          </w:tcPr>
          <w:p w14:paraId="37B5BA64"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Major untested opportunity: GAL9-directed sensitization in cellular immunotherapy-resistant PDAC.</w:t>
            </w:r>
          </w:p>
        </w:tc>
        <w:tc>
          <w:tcPr>
            <w:tcW w:w="1957" w:type="dxa"/>
            <w:vAlign w:val="center"/>
          </w:tcPr>
          <w:p w14:paraId="51BC5BCE"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[14]</w:t>
            </w:r>
          </w:p>
        </w:tc>
      </w:tr>
      <w:tr w:rsidR="005C4B76" w:rsidRPr="004751B3" w14:paraId="057F72D4" w14:textId="77777777" w:rsidTr="001249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7" w:type="dxa"/>
            <w:vAlign w:val="center"/>
          </w:tcPr>
          <w:p w14:paraId="175CD5AE" w14:textId="77777777" w:rsidR="005C4B76" w:rsidRPr="004751B3" w:rsidRDefault="00000000" w:rsidP="00124973">
            <w:pPr>
              <w:jc w:val="center"/>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NK-cell / cytokine-induced vulnerability</w:t>
            </w:r>
          </w:p>
        </w:tc>
        <w:tc>
          <w:tcPr>
            <w:tcW w:w="3234" w:type="dxa"/>
            <w:vAlign w:val="center"/>
          </w:tcPr>
          <w:p w14:paraId="5F7E2AFB"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IL-15 enhances NK killing but may increase TIM-3-linked susceptibility to GAL9-mediated suppression.</w:t>
            </w:r>
          </w:p>
        </w:tc>
        <w:tc>
          <w:tcPr>
            <w:tcW w:w="3026" w:type="dxa"/>
            <w:vAlign w:val="center"/>
          </w:tcPr>
          <w:p w14:paraId="0643D6EC"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Indirectly relevant to TIM-3 targeting and cytokine-activation strategies.</w:t>
            </w:r>
          </w:p>
        </w:tc>
        <w:tc>
          <w:tcPr>
            <w:tcW w:w="2640" w:type="dxa"/>
            <w:vAlign w:val="center"/>
          </w:tcPr>
          <w:p w14:paraId="7398D93F"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Relevant to stromal-rich and immune-excluded PDAC where innate-cell activation may be necessary.</w:t>
            </w:r>
          </w:p>
        </w:tc>
        <w:tc>
          <w:tcPr>
            <w:tcW w:w="2658" w:type="dxa"/>
            <w:vAlign w:val="center"/>
          </w:tcPr>
          <w:p w14:paraId="49D34AF6"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Need GAL9-aware NK-cell or cytokine combination strategies.</w:t>
            </w:r>
          </w:p>
        </w:tc>
        <w:tc>
          <w:tcPr>
            <w:tcW w:w="1957" w:type="dxa"/>
            <w:vAlign w:val="center"/>
          </w:tcPr>
          <w:p w14:paraId="49EF899F"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[18,25]</w:t>
            </w:r>
          </w:p>
        </w:tc>
      </w:tr>
      <w:tr w:rsidR="005C4B76" w:rsidRPr="004751B3" w14:paraId="79F120CE" w14:textId="77777777" w:rsidTr="00124973">
        <w:trPr>
          <w:jc w:val="center"/>
        </w:trPr>
        <w:tc>
          <w:tcPr>
            <w:cnfStyle w:val="001000000000" w:firstRow="0" w:lastRow="0" w:firstColumn="1" w:lastColumn="0" w:oddVBand="0" w:evenVBand="0" w:oddHBand="0" w:evenHBand="0" w:firstRowFirstColumn="0" w:firstRowLastColumn="0" w:lastRowFirstColumn="0" w:lastRowLastColumn="0"/>
            <w:tcW w:w="1677" w:type="dxa"/>
            <w:vAlign w:val="center"/>
          </w:tcPr>
          <w:p w14:paraId="0564EF3C" w14:textId="77777777" w:rsidR="005C4B76" w:rsidRPr="004751B3" w:rsidRDefault="00000000" w:rsidP="00124973">
            <w:pPr>
              <w:jc w:val="center"/>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Precursor-lesion and immune interception biology</w:t>
            </w:r>
          </w:p>
        </w:tc>
        <w:tc>
          <w:tcPr>
            <w:tcW w:w="3234" w:type="dxa"/>
            <w:vAlign w:val="center"/>
          </w:tcPr>
          <w:p w14:paraId="0C3A7777"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GAL9 is implicated in high-grade IPMN, cyst-fluid progression signatures, and anti-GAL9-responsive PanIN models.</w:t>
            </w:r>
          </w:p>
        </w:tc>
        <w:tc>
          <w:tcPr>
            <w:tcW w:w="3026" w:type="dxa"/>
            <w:vAlign w:val="center"/>
          </w:tcPr>
          <w:p w14:paraId="3A05B938"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No precursor-lesion or interception trial currently deploys GAL9 for risk stratification.</w:t>
            </w:r>
          </w:p>
        </w:tc>
        <w:tc>
          <w:tcPr>
            <w:tcW w:w="2640" w:type="dxa"/>
            <w:vAlign w:val="center"/>
          </w:tcPr>
          <w:p w14:paraId="089F5A89"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Novel opportunity: early detection, high-risk lesion biology, and immune interception.</w:t>
            </w:r>
          </w:p>
        </w:tc>
        <w:tc>
          <w:tcPr>
            <w:tcW w:w="2658" w:type="dxa"/>
            <w:vAlign w:val="center"/>
          </w:tcPr>
          <w:p w14:paraId="6460EE4B" w14:textId="3A04151B"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 xml:space="preserve">Clinical development remains </w:t>
            </w:r>
            <w:r w:rsidR="00DC2CE4" w:rsidRPr="004751B3">
              <w:rPr>
                <w:rFonts w:ascii="Times New Roman" w:hAnsi="Times New Roman" w:cs="Times New Roman"/>
                <w:color w:val="000000" w:themeColor="text1"/>
                <w:sz w:val="13"/>
                <w:szCs w:val="13"/>
              </w:rPr>
              <w:t>advanced disease</w:t>
            </w:r>
            <w:r w:rsidRPr="004751B3">
              <w:rPr>
                <w:rFonts w:ascii="Times New Roman" w:hAnsi="Times New Roman" w:cs="Times New Roman"/>
                <w:color w:val="000000" w:themeColor="text1"/>
                <w:sz w:val="13"/>
                <w:szCs w:val="13"/>
              </w:rPr>
              <w:t xml:space="preserve"> focused.</w:t>
            </w:r>
          </w:p>
        </w:tc>
        <w:tc>
          <w:tcPr>
            <w:tcW w:w="1957" w:type="dxa"/>
            <w:vAlign w:val="center"/>
          </w:tcPr>
          <w:p w14:paraId="75A299BF"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[19,22]</w:t>
            </w:r>
          </w:p>
        </w:tc>
      </w:tr>
      <w:tr w:rsidR="005C4B76" w:rsidRPr="004751B3" w14:paraId="1FC4C628" w14:textId="77777777" w:rsidTr="001249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7" w:type="dxa"/>
            <w:vAlign w:val="center"/>
          </w:tcPr>
          <w:p w14:paraId="328478BF" w14:textId="77777777" w:rsidR="005C4B76" w:rsidRPr="004751B3" w:rsidRDefault="00000000" w:rsidP="00124973">
            <w:pPr>
              <w:jc w:val="center"/>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PanIN-to-PDAC progression / disease continuum</w:t>
            </w:r>
          </w:p>
        </w:tc>
        <w:tc>
          <w:tcPr>
            <w:tcW w:w="3234" w:type="dxa"/>
            <w:vAlign w:val="center"/>
          </w:tcPr>
          <w:p w14:paraId="1F18FF3F"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Figure should show normal pancreas -&gt; PanIN-1/1B -&gt; PanIN-2 -&gt; PanIN-3 -&gt; high-grade IPMN/precursor signatures -&gt; invasive PDAC.</w:t>
            </w:r>
          </w:p>
        </w:tc>
        <w:tc>
          <w:tcPr>
            <w:tcW w:w="3026" w:type="dxa"/>
            <w:vAlign w:val="center"/>
          </w:tcPr>
          <w:p w14:paraId="1D04CEC8"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Stage-aware GAL9 interpretation across tissue, cyst fluid, serum, and spatial immune compartments.</w:t>
            </w:r>
          </w:p>
        </w:tc>
        <w:tc>
          <w:tcPr>
            <w:tcW w:w="2640" w:type="dxa"/>
            <w:vAlign w:val="center"/>
          </w:tcPr>
          <w:p w14:paraId="5C7D9FA7"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Links early biologic signal to surveillance, risk stratification, and interception trial concepts.</w:t>
            </w:r>
          </w:p>
        </w:tc>
        <w:tc>
          <w:tcPr>
            <w:tcW w:w="2658" w:type="dxa"/>
            <w:vAlign w:val="center"/>
          </w:tcPr>
          <w:p w14:paraId="5A62B111"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Need standardized assays across cyst fluid, tissue, serum, and spatial immune compartments.</w:t>
            </w:r>
          </w:p>
        </w:tc>
        <w:tc>
          <w:tcPr>
            <w:tcW w:w="1957" w:type="dxa"/>
            <w:vAlign w:val="center"/>
          </w:tcPr>
          <w:p w14:paraId="172FCC7E"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[7,10,14,17,19,20,22]</w:t>
            </w:r>
          </w:p>
        </w:tc>
      </w:tr>
      <w:tr w:rsidR="005C4B76" w:rsidRPr="004751B3" w14:paraId="55DAED33" w14:textId="77777777" w:rsidTr="00124973">
        <w:trPr>
          <w:jc w:val="center"/>
        </w:trPr>
        <w:tc>
          <w:tcPr>
            <w:cnfStyle w:val="001000000000" w:firstRow="0" w:lastRow="0" w:firstColumn="1" w:lastColumn="0" w:oddVBand="0" w:evenVBand="0" w:oddHBand="0" w:evenHBand="0" w:firstRowFirstColumn="0" w:firstRowLastColumn="0" w:lastRowFirstColumn="0" w:lastRowLastColumn="0"/>
            <w:tcW w:w="1677" w:type="dxa"/>
            <w:vAlign w:val="center"/>
          </w:tcPr>
          <w:p w14:paraId="5AF2B1D7" w14:textId="77777777" w:rsidR="005C4B76" w:rsidRPr="004751B3" w:rsidRDefault="00000000" w:rsidP="00124973">
            <w:pPr>
              <w:jc w:val="center"/>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Serum / extracellular vesicle GAL9 deployment</w:t>
            </w:r>
          </w:p>
        </w:tc>
        <w:tc>
          <w:tcPr>
            <w:tcW w:w="3234" w:type="dxa"/>
            <w:vAlign w:val="center"/>
          </w:tcPr>
          <w:p w14:paraId="2B9D5F9F"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GAL9 is measurable in serum and EV-linked immune signatures, supporting noninvasive stratification and monitoring.</w:t>
            </w:r>
          </w:p>
        </w:tc>
        <w:tc>
          <w:tcPr>
            <w:tcW w:w="3026" w:type="dxa"/>
            <w:vAlign w:val="center"/>
          </w:tcPr>
          <w:p w14:paraId="4F6A1A6C"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Serum GAL9; EV-associated GAL9/circRNA immune signatures.</w:t>
            </w:r>
          </w:p>
        </w:tc>
        <w:tc>
          <w:tcPr>
            <w:tcW w:w="2640" w:type="dxa"/>
            <w:vAlign w:val="center"/>
          </w:tcPr>
          <w:p w14:paraId="34847BE6"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Links mechanism, patient selection, and on-treatment monitoring in real time.</w:t>
            </w:r>
          </w:p>
        </w:tc>
        <w:tc>
          <w:tcPr>
            <w:tcW w:w="2658" w:type="dxa"/>
            <w:vAlign w:val="center"/>
          </w:tcPr>
          <w:p w14:paraId="5991F826"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Biomarker development has outpaced clinical trial integration.</w:t>
            </w:r>
          </w:p>
        </w:tc>
        <w:tc>
          <w:tcPr>
            <w:tcW w:w="1957" w:type="dxa"/>
            <w:vAlign w:val="center"/>
          </w:tcPr>
          <w:p w14:paraId="4FE9C297"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[17,20]</w:t>
            </w:r>
          </w:p>
        </w:tc>
      </w:tr>
      <w:tr w:rsidR="005C4B76" w:rsidRPr="004751B3" w14:paraId="7F49A1B2" w14:textId="77777777" w:rsidTr="001249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7" w:type="dxa"/>
            <w:vAlign w:val="center"/>
          </w:tcPr>
          <w:p w14:paraId="4ACAAF45" w14:textId="77777777" w:rsidR="005C4B76" w:rsidRPr="004751B3" w:rsidRDefault="00000000" w:rsidP="00124973">
            <w:pPr>
              <w:jc w:val="center"/>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Tissue biomarker deployment: GAL9, PD-L1, CD8, TAMs, Dectin-1</w:t>
            </w:r>
          </w:p>
        </w:tc>
        <w:tc>
          <w:tcPr>
            <w:tcW w:w="3234" w:type="dxa"/>
            <w:vAlign w:val="center"/>
          </w:tcPr>
          <w:p w14:paraId="5CB2B990"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Tissue GAL9, PD-L1, CD8 infiltration, TAM polarization, and Dectin-1 expression contextualize immune states.</w:t>
            </w:r>
          </w:p>
        </w:tc>
        <w:tc>
          <w:tcPr>
            <w:tcW w:w="3026" w:type="dxa"/>
            <w:vAlign w:val="center"/>
          </w:tcPr>
          <w:p w14:paraId="4F85BECD"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IHC, multiplex IF, spatial transcriptomics, immune profiling in tissue, TMA, and PDO co-cultures.</w:t>
            </w:r>
          </w:p>
        </w:tc>
        <w:tc>
          <w:tcPr>
            <w:tcW w:w="2640" w:type="dxa"/>
            <w:vAlign w:val="center"/>
          </w:tcPr>
          <w:p w14:paraId="58F5911E"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Supports biomarker-guided selection for GAL9 blockade, checkpoint combinations, myeloid reprogramming, and local modulation.</w:t>
            </w:r>
          </w:p>
        </w:tc>
        <w:tc>
          <w:tcPr>
            <w:tcW w:w="2658" w:type="dxa"/>
            <w:vAlign w:val="center"/>
          </w:tcPr>
          <w:p w14:paraId="5FCD1326"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Need harmonized cutoffs, compartment annotation, and spatial scoring rather than binary positivity.</w:t>
            </w:r>
          </w:p>
        </w:tc>
        <w:tc>
          <w:tcPr>
            <w:tcW w:w="1957" w:type="dxa"/>
            <w:vAlign w:val="center"/>
          </w:tcPr>
          <w:p w14:paraId="59647E2E"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Serum GAL9 [20]; tissue GAL9 [7,20-23]; Dectin-1 [10,13,16]; TAMs [10,13,16]; CD8 [7,9,22]; PD-L1 [7,9,21]</w:t>
            </w:r>
          </w:p>
        </w:tc>
      </w:tr>
      <w:tr w:rsidR="005C4B76" w:rsidRPr="004751B3" w14:paraId="2D9795F8" w14:textId="77777777" w:rsidTr="00124973">
        <w:trPr>
          <w:jc w:val="center"/>
        </w:trPr>
        <w:tc>
          <w:tcPr>
            <w:cnfStyle w:val="001000000000" w:firstRow="0" w:lastRow="0" w:firstColumn="1" w:lastColumn="0" w:oddVBand="0" w:evenVBand="0" w:oddHBand="0" w:evenHBand="0" w:firstRowFirstColumn="0" w:firstRowLastColumn="0" w:lastRowFirstColumn="0" w:lastRowLastColumn="0"/>
            <w:tcW w:w="1677" w:type="dxa"/>
            <w:vAlign w:val="center"/>
          </w:tcPr>
          <w:p w14:paraId="46CD1496" w14:textId="77777777" w:rsidR="005C4B76" w:rsidRPr="004751B3" w:rsidRDefault="00000000" w:rsidP="00124973">
            <w:pPr>
              <w:jc w:val="center"/>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Cytokine / trained immunity monitoring</w:t>
            </w:r>
          </w:p>
        </w:tc>
        <w:tc>
          <w:tcPr>
            <w:tcW w:w="3234" w:type="dxa"/>
            <w:vAlign w:val="center"/>
          </w:tcPr>
          <w:p w14:paraId="449BA020"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Cytokines including IL-10, TGF-β, IFN-γ, IL-12, IL-15, TNF-α, and IL-1β may track remodeling.</w:t>
            </w:r>
          </w:p>
        </w:tc>
        <w:tc>
          <w:tcPr>
            <w:tcW w:w="3026" w:type="dxa"/>
            <w:vAlign w:val="center"/>
          </w:tcPr>
          <w:p w14:paraId="215AB91A"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Multiplex ELISA, Luminex, flow cytometry, scRNA-seq, and longitudinal immune profiling.</w:t>
            </w:r>
          </w:p>
        </w:tc>
        <w:tc>
          <w:tcPr>
            <w:tcW w:w="2640" w:type="dxa"/>
            <w:vAlign w:val="center"/>
          </w:tcPr>
          <w:p w14:paraId="307BED3E"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Dynamic pharmacodynamic readouts rather than static baseline classification.</w:t>
            </w:r>
          </w:p>
        </w:tc>
        <w:tc>
          <w:tcPr>
            <w:tcW w:w="2658" w:type="dxa"/>
            <w:vAlign w:val="center"/>
          </w:tcPr>
          <w:p w14:paraId="1D49325A"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Need standardized timing, biospecimen handling, and response-linked thresholds.</w:t>
            </w:r>
          </w:p>
        </w:tc>
        <w:tc>
          <w:tcPr>
            <w:tcW w:w="1957" w:type="dxa"/>
            <w:vAlign w:val="center"/>
          </w:tcPr>
          <w:p w14:paraId="1C1D5D78" w14:textId="77777777" w:rsidR="005C4B76" w:rsidRPr="004751B3" w:rsidRDefault="00000000" w:rsidP="001249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[10,16,18,36]</w:t>
            </w:r>
          </w:p>
        </w:tc>
      </w:tr>
      <w:tr w:rsidR="005C4B76" w:rsidRPr="004751B3" w14:paraId="414B917F" w14:textId="77777777" w:rsidTr="001249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7" w:type="dxa"/>
            <w:vAlign w:val="center"/>
          </w:tcPr>
          <w:p w14:paraId="2B61089D" w14:textId="77777777" w:rsidR="005C4B76" w:rsidRPr="004751B3" w:rsidRDefault="00000000" w:rsidP="00124973">
            <w:pPr>
              <w:jc w:val="center"/>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Overall translational architecture</w:t>
            </w:r>
          </w:p>
        </w:tc>
        <w:tc>
          <w:tcPr>
            <w:tcW w:w="3234" w:type="dxa"/>
            <w:vAlign w:val="center"/>
          </w:tcPr>
          <w:p w14:paraId="44942762"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PDAC GAL9 biology is multicompartment, inducible, macrophage-centered, and combination-dependent.</w:t>
            </w:r>
          </w:p>
        </w:tc>
        <w:tc>
          <w:tcPr>
            <w:tcW w:w="3026" w:type="dxa"/>
            <w:vAlign w:val="center"/>
          </w:tcPr>
          <w:p w14:paraId="02B7A4DC"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Current human studies remain mostly receptor-adjacent or pan-cancer checkpoint strategies.</w:t>
            </w:r>
          </w:p>
        </w:tc>
        <w:tc>
          <w:tcPr>
            <w:tcW w:w="2640" w:type="dxa"/>
            <w:vAlign w:val="center"/>
          </w:tcPr>
          <w:p w14:paraId="5A3C3F9F"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The axis is druggable and clinically tractable, but therapeutic architecture must match disease biology.</w:t>
            </w:r>
          </w:p>
        </w:tc>
        <w:tc>
          <w:tcPr>
            <w:tcW w:w="2658" w:type="dxa"/>
            <w:vAlign w:val="center"/>
          </w:tcPr>
          <w:p w14:paraId="54619D57"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Dominant unmet need is alignment of trial design with biology, disease state, and compartment-specific mechanism.</w:t>
            </w:r>
          </w:p>
        </w:tc>
        <w:tc>
          <w:tcPr>
            <w:tcW w:w="1957" w:type="dxa"/>
            <w:vAlign w:val="center"/>
          </w:tcPr>
          <w:p w14:paraId="3FDDF6A3" w14:textId="77777777" w:rsidR="005C4B76" w:rsidRPr="004751B3" w:rsidRDefault="00000000" w:rsidP="001249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3"/>
                <w:szCs w:val="13"/>
              </w:rPr>
            </w:pPr>
            <w:r w:rsidRPr="004751B3">
              <w:rPr>
                <w:rFonts w:ascii="Times New Roman" w:hAnsi="Times New Roman" w:cs="Times New Roman"/>
                <w:color w:val="000000" w:themeColor="text1"/>
                <w:sz w:val="13"/>
                <w:szCs w:val="13"/>
              </w:rPr>
              <w:t>Biology [8-24]; clinical development [25-35]; IRE/β-glucan extension [36]</w:t>
            </w:r>
          </w:p>
        </w:tc>
      </w:tr>
    </w:tbl>
    <w:p w14:paraId="428F8E16" w14:textId="77777777" w:rsidR="006F1E82" w:rsidRPr="006F1E82" w:rsidRDefault="006F1E82" w:rsidP="006F1E82">
      <w:pPr>
        <w:pStyle w:val="p1"/>
        <w:rPr>
          <w:rFonts w:ascii="Arial" w:hAnsi="Arial" w:cs="Arial"/>
          <w:sz w:val="16"/>
          <w:szCs w:val="16"/>
        </w:rPr>
      </w:pPr>
      <w:r w:rsidRPr="006F1E82">
        <w:rPr>
          <w:rFonts w:ascii="Arial" w:hAnsi="Arial" w:cs="Arial"/>
          <w:b/>
          <w:bCs/>
          <w:sz w:val="16"/>
          <w:szCs w:val="16"/>
        </w:rPr>
        <w:t>Supplemental Table 3. GAL9 in PDAC: biologic rationale, clinical development landscape, and core translational gaps.</w:t>
      </w:r>
      <w:r w:rsidRPr="006F1E82">
        <w:rPr>
          <w:rFonts w:ascii="Arial" w:hAnsi="Arial" w:cs="Arial"/>
          <w:sz w:val="16"/>
          <w:szCs w:val="16"/>
        </w:rPr>
        <w:br/>
        <w:t xml:space="preserve">This table summarizes the translational landscape of the GAL9 axis in pancreatic ductal adenocarcinoma (PDAC), integrating mechanistic evidence, biomarker studies, precursor-lesion biology, and emerging therapeutic strategies. Each row defines a biologic or translational domain, the scientific rationale supporting GAL9 involvement, representative clinical agents or model strategies, translational relevance for PDAC, and the major unmet need limiting clinical implementation. The table highlights direct GAL9 ligand targeting, GAL9–PD-1/PD-L1 combinatorial resistance, TIM-3–directed GAL9-axis interception, TIM-3 × PD-1 bispecific approaches, CEACAM1 targeting, macrophage/Dectin-1 biology, β-glucan–mediated innate immune reprogramming, IRE-based multimodal immunotherapy, engineered-cell resistance, NK-cell </w:t>
      </w:r>
      <w:r w:rsidRPr="006F1E82">
        <w:rPr>
          <w:rFonts w:ascii="Arial" w:hAnsi="Arial" w:cs="Arial"/>
          <w:sz w:val="16"/>
          <w:szCs w:val="16"/>
        </w:rPr>
        <w:lastRenderedPageBreak/>
        <w:t>vulnerability, precursor-lesion biology, and multimodal serum, extracellular vesicle, tissue, cytokine, and spatial biomarker strategies. Overall, the table emphasizes that GAL9 biology in PDAC is multicompartmental, macrophage-centered, stromal-integrated, inducible, and combination-dependent, whereas current clinical development remains largely receptor-focused and pan-cancer rather than PDAC-specific or GAL9-biomarker guided. GAL9, galectin-9; PDAC, pancreatic ductal adenocarcinoma; IRE, irreversible electroporation; EV, extracellular vesicle; TAM, tumor-associated macrophage; PDO, patient-derived organoid; PBMC, peripheral blood mononuclear cell.</w:t>
      </w:r>
    </w:p>
    <w:p w14:paraId="44D8E42F" w14:textId="0D9C5C5A" w:rsidR="004751B3" w:rsidRDefault="004751B3" w:rsidP="004751B3">
      <w:pPr>
        <w:pStyle w:val="p1"/>
      </w:pPr>
    </w:p>
    <w:p w14:paraId="4E650CD4" w14:textId="4FB6B637" w:rsidR="005C4B76" w:rsidRDefault="00000000" w:rsidP="004751B3">
      <w:pPr>
        <w:pStyle w:val="p1"/>
      </w:pPr>
      <w:r>
        <w:br w:type="page"/>
      </w:r>
    </w:p>
    <w:sectPr w:rsidR="005C4B76" w:rsidSect="00034616">
      <w:pgSz w:w="15840" w:h="12240" w:orient="landscape"/>
      <w:pgMar w:top="504" w:right="432" w:bottom="504"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13341874">
    <w:abstractNumId w:val="8"/>
  </w:num>
  <w:num w:numId="2" w16cid:durableId="506485821">
    <w:abstractNumId w:val="6"/>
  </w:num>
  <w:num w:numId="3" w16cid:durableId="1198934892">
    <w:abstractNumId w:val="5"/>
  </w:num>
  <w:num w:numId="4" w16cid:durableId="899245824">
    <w:abstractNumId w:val="4"/>
  </w:num>
  <w:num w:numId="5" w16cid:durableId="1410467917">
    <w:abstractNumId w:val="7"/>
  </w:num>
  <w:num w:numId="6" w16cid:durableId="2086221740">
    <w:abstractNumId w:val="3"/>
  </w:num>
  <w:num w:numId="7" w16cid:durableId="369958406">
    <w:abstractNumId w:val="2"/>
  </w:num>
  <w:num w:numId="8" w16cid:durableId="1311208744">
    <w:abstractNumId w:val="1"/>
  </w:num>
  <w:num w:numId="9" w16cid:durableId="624234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24973"/>
    <w:rsid w:val="0015074B"/>
    <w:rsid w:val="0029639D"/>
    <w:rsid w:val="00326F90"/>
    <w:rsid w:val="004751B3"/>
    <w:rsid w:val="005C4B76"/>
    <w:rsid w:val="00665A68"/>
    <w:rsid w:val="006F1E82"/>
    <w:rsid w:val="00AA1D8D"/>
    <w:rsid w:val="00B47730"/>
    <w:rsid w:val="00C37369"/>
    <w:rsid w:val="00CB0664"/>
    <w:rsid w:val="00DB5F3E"/>
    <w:rsid w:val="00DC2CE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3F5D7D"/>
  <w14:defaultImageDpi w14:val="300"/>
  <w15:docId w15:val="{EAD1CA85-83BE-7E4D-8A4C-93A34E17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dTable4">
    <w:name w:val="Grid Table 4"/>
    <w:basedOn w:val="TableNormal"/>
    <w:uiPriority w:val="49"/>
    <w:rsid w:val="00665A6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1">
    <w:name w:val="p1"/>
    <w:basedOn w:val="Normal"/>
    <w:rsid w:val="004751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DefaultParagraphFont"/>
    <w:rsid w:val="004751B3"/>
  </w:style>
  <w:style w:type="character" w:customStyle="1" w:styleId="apple-converted-space">
    <w:name w:val="apple-converted-space"/>
    <w:basedOn w:val="DefaultParagraphFont"/>
    <w:rsid w:val="00475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1661</Words>
  <Characters>9471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Malik, D A.</cp:lastModifiedBy>
  <cp:revision>6</cp:revision>
  <dcterms:created xsi:type="dcterms:W3CDTF">2013-12-23T23:15:00Z</dcterms:created>
  <dcterms:modified xsi:type="dcterms:W3CDTF">2026-06-27T02:12:00Z</dcterms:modified>
  <cp:category/>
</cp:coreProperties>
</file>