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STROBE Checklist for Cohort Studies</w:t>
      </w:r>
    </w:p>
    <w:p>
      <w:pPr>
        <w:jc w:val="center"/>
      </w:pPr>
      <w:r>
        <w:rPr>
          <w:b/>
          <w:sz w:val="20"/>
        </w:rPr>
        <w:t>Manuscript: The GRACE Treatment-Selection Paradox in Real-World Non-ST-Elevation Acute Coronary Syndrome: Comorbidity Burden, Invasive Management, and Medication Persistence</w:t>
      </w:r>
    </w:p>
    <w:p>
      <w:pPr>
        <w:jc w:val="center"/>
      </w:pPr>
      <w:r>
        <w:rPr>
          <w:sz w:val="18"/>
        </w:rPr>
        <w:t>Prepared for BMC Cardiovascular Disorders submission | Completed according to STROBE cohort-study reporting items</w:t>
      </w:r>
    </w:p>
    <w:p>
      <w:r>
        <w:rPr>
          <w:i/>
          <w:sz w:val="16"/>
        </w:rPr>
        <w:t>Note: This checklist documents where each STROBE reporting item is addressed in the current manuscript. Page numbers refer to the rendered DOCX/PDF prepared from the current submission package and should be verified after final journal-system formatting.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72"/>
        <w:gridCol w:w="2472"/>
        <w:gridCol w:w="2472"/>
        <w:gridCol w:w="2472"/>
        <w:gridCol w:w="2472"/>
        <w:gridCol w:w="2472"/>
      </w:tblGrid>
      <w:tr>
        <w:trPr>
          <w:tblHeader w:val="true"/>
          <w:cantSplit/>
        </w:trPr>
        <w:tc>
          <w:tcPr>
            <w:tcW w:type="dxa" w:w="1224"/>
            <w:shd w:fill="D9EAF7"/>
            <w:vAlign w:val="center"/>
          </w:tcPr>
          <w:p>
            <w:pPr>
              <w:jc w:val="left"/>
            </w:pPr>
            <w:r/>
            <w:r>
              <w:rPr>
                <w:b/>
                <w:sz w:val="16"/>
              </w:rPr>
              <w:t>Section</w:t>
            </w:r>
          </w:p>
        </w:tc>
        <w:tc>
          <w:tcPr>
            <w:tcW w:type="dxa" w:w="792"/>
            <w:shd w:fill="D9EAF7"/>
            <w:vAlign w:val="center"/>
          </w:tcPr>
          <w:p>
            <w:pPr>
              <w:jc w:val="left"/>
            </w:pPr>
            <w:r/>
            <w:r>
              <w:rPr>
                <w:b/>
                <w:sz w:val="16"/>
              </w:rPr>
              <w:t>Item</w:t>
            </w:r>
          </w:p>
        </w:tc>
        <w:tc>
          <w:tcPr>
            <w:tcW w:type="dxa" w:w="4464"/>
            <w:shd w:fill="D9EAF7"/>
            <w:vAlign w:val="center"/>
          </w:tcPr>
          <w:p>
            <w:pPr>
              <w:jc w:val="left"/>
            </w:pPr>
            <w:r/>
            <w:r>
              <w:rPr>
                <w:b/>
                <w:sz w:val="16"/>
              </w:rPr>
              <w:t>STROBE reporting item (condensed)</w:t>
            </w:r>
          </w:p>
        </w:tc>
        <w:tc>
          <w:tcPr>
            <w:tcW w:type="dxa" w:w="1296"/>
            <w:shd w:fill="D9EAF7"/>
            <w:vAlign w:val="center"/>
          </w:tcPr>
          <w:p>
            <w:pPr>
              <w:jc w:val="left"/>
            </w:pPr>
            <w:r/>
            <w:r>
              <w:rPr>
                <w:b/>
                <w:sz w:val="16"/>
              </w:rPr>
              <w:t>Reported?</w:t>
            </w:r>
          </w:p>
        </w:tc>
        <w:tc>
          <w:tcPr>
            <w:tcW w:type="dxa" w:w="3096"/>
            <w:shd w:fill="D9EAF7"/>
            <w:vAlign w:val="center"/>
          </w:tcPr>
          <w:p>
            <w:pPr>
              <w:jc w:val="left"/>
            </w:pPr>
            <w:r/>
            <w:r>
              <w:rPr>
                <w:b/>
                <w:sz w:val="16"/>
              </w:rPr>
              <w:t>Location in manuscript</w:t>
            </w:r>
          </w:p>
        </w:tc>
        <w:tc>
          <w:tcPr>
            <w:tcW w:type="dxa" w:w="5760"/>
            <w:shd w:fill="D9EAF7"/>
            <w:vAlign w:val="center"/>
          </w:tcPr>
          <w:p>
            <w:pPr>
              <w:jc w:val="left"/>
            </w:pPr>
            <w:r/>
            <w:r>
              <w:rPr>
                <w:b/>
                <w:sz w:val="16"/>
              </w:rPr>
              <w:t>Author comment / details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Title and abstract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1a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Indicate the study design in the title or abstract using an informative term.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Title page, p. 1; Abstract, p. 2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Title identifies a real-world NSTE-ACS registry analysis and the abstract describes the observational cohort and propensity-matched design.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Title and abstract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1b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Provide an informative and balanced summary of what was done and found.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Abstract, p. 2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Abstract summarizes background, methods, cohort size, derived GRACE findings, matching, Cox modeling, main results, and cautious conclusions.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Introduction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Explain the scientific background and rationale.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Introduction, pp. 2-3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Rationale covers NSTE-ACS heterogeneity, guideline-supported invasive strategies, real-world comorbidity, GRACE risk, treatment selection, and medication persistence.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Introduction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3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State specific objectives, including prespecified hypotheses when appropriate.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End of Introduction, p. 3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Objectives and hypotheses address GRACE risk distribution, treatment selection, propensity-matched attenuation of mortality differences, comorbidity burden, angiography timing, and medication persistence.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4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Present key elements of study design early in the paper.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Methods, pp. 3-4; Table 1, p. 17; Figure 1, p. 11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Retrospective multicenter observational cohort registry with two-stage propensity score matching and an analytical hierarchy.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5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Describe setting, locations, and relevant dates, including recruitment, exposure, follow-up, and data collection periods.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Methods: Study population and data source, p. 3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Taiwan ACS Full-Spectrum Registry; 39 centers; October 2008 to January 2010; 12-month follow-up described.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6a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Describe eligibility criteria, participant sources, and methods of selection.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Methods: Study population and management classification, pp. 3-4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Defines NSTE-ACS population, exclusions, and management strategy groups: DCA+PCI, DCA-only, and conservative management.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6b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For matched studies, describe matching criteria and number of exposed/unexposed participants.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Methods: Propensity score matching, p. 4; Table 1, p. 17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Stage 1 and Stage 2 1:1:1 propensity matching, calipers, sample sizes, and analytical roles are reported.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7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Clearly define outcomes, exposures, predictors, confounders, and effect modifiers; provide diagnostic criteria when applicable.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Methods: Management strategy, endpoints/follow-up, GRACE scoring, and Cox regression, pp. 3-5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Defines management strategy, primary/secondary endpoints, CKD definition, derived GRACE &gt;140, Killip class, medication persistence, and timing categories.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8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For each variable of interest, describe data sources and assessment methods.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Methods: Endpoints/follow-up and GRACE risk scoring, pp. 3-4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Registry variables, follow-up visits/telephone/registry linkage, medication exposure intervals, and derived GRACE components are described.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9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Describe efforts to address potential sources of bias.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Methods, pp. 4-5; Discussion: limitations, pp. 7-8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Bias mitigation includes two-stage propensity matching, standardized mean differences, derived GRACE characterization, cautious treatment of imputation, time-updated medication modeling, and explicit limitations.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10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Explain how the study size was arrived at.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Methods, p. 3; Results, p. 5; Table 1, p. 17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Registry size of 1,461 consecutive patients and matched cohort sizes of N=237 and N=147 are reported.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11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Explain handling of quantitative variables and any groupings.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Methods: GRACE scoring, propensity matching, timing analysis, pp. 4-5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GRACE score summarized continuously and categorized as &gt;140; age modeled per 10-year increase; timing categorized as &lt;=24 h, 24-48 h, and &gt;48 h; CKD dichotomized by creatinine threshold.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12a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Describe all statistical methods, including methods used to control for confounding.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Methods: Propensity score matching and Cox regression, pp. 4-5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Multinomial propensity score matching, standardized mean differences, time-updated Cox regression, and Schoenfeld residual checks are described.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12b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Describe methods used to examine subgroups and interactions.</w:t>
            </w:r>
          </w:p>
        </w:tc>
        <w:tc>
          <w:tcPr>
            <w:tcW w:type="dxa" w:w="1296"/>
            <w:vAlign w:val="top"/>
            <w:shd w:fill="EDEDED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Not applicable / limited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 and Results, pp. 4-6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No formal interaction analysis is claimed. Stage 2 matching and angiography-restricted timing analysis are framed as sensitivity/exploratory analyses rather than subgroup hypothesis testing.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12c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Explain how missing data were addressed.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Methods: Derived GRACE scoring, p. 4; Limitations, p. 8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Killip class missingness was handled by imputation as class I for GRACE computation, and the limitation is explicitly acknowledged. Other missingness is reflected in outcome denominators where applicable.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12d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Describe how loss to follow-up was addressed.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Methods: Study population and follow-up, pp. 3-4; Table 4, p. 20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Loss to follow-up before 30 days was excluded; follow-up ascertainment methods and denominator-specific outcome rates are reported.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12e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Describe any sensitivity analyses.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Methods, pp. 4-5; Results, pp. 5-6; Table 7, p. 23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Stage 2 matched cohort is defined as a stringent sensitivity cohort; angiography timing analysis is restricted to DCA patients and interpreted as exploratory.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13a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 numbers of participants at each stage of the study.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Figure 1, p. 11; Table 1, p. 17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Original cohort, treatment groups, Stage 1 matched groups, and Stage 2 sensitivity groups are shown.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13b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Give reasons for non-participation or exclusion at each stage when applicable.</w:t>
            </w:r>
          </w:p>
        </w:tc>
        <w:tc>
          <w:tcPr>
            <w:tcW w:type="dxa" w:w="1296"/>
            <w:vAlign w:val="top"/>
            <w:shd w:fill="FFF2CC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Partially 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Methods, p. 3; Figure 1, p. 11; Table 1, p. 17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Eligibility exclusions are described. Propensity matching attrition is presented through matched cohort sizes; case-level reasons for non-matching are inherent to propensity matching and not individually reported.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13c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Consider use of a flow diagram.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Figure 1, p. 11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Two-stage propensity matching and analytical hierarchy are shown in a flow diagram.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14a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Give characteristics of study participants and information on exposures and potential confounders.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Results, p. 5; Tables 2-3, pp. 18-19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Baseline characteristics, GRACE risk profile, treatment groups, comorbidities, and discharge medication use are reported.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14b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Indicate number of participants with missing data for variables of interest.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 for key variables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Methods, p. 4; Results, p. 5; Table 2, p. 18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GRACE computable in 1,461/1,461; Killip class imputed as class I in 495/1,461; outcome denominators reported in Table 4.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14c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For cohort studies, summarize follow-up time.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Methods: Endpoints and follow-up, p. 4; Table 4, p. 20; Figure 2, pp. 12-14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Follow-up at discharge and 3, 6, 9, and 12 months; 12-month mortality outcomes and Kaplan-Meier curves are reported.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15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 numbers of outcome events or summary measures over time.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Results, pp. 5-6; Table 4, p. 20; Figure 2, pp. 12-14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All-cause and cardiovascular mortality event rates and denominators are reported; KM curves display survival patterns.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16a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Provide unadjusted and adjusted estimates with precision.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Tables 5-7, pp. 21-23; Figure 3, p. 15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Univariate and adjusted HRs with 95% CIs and P values are reported for mortality predictors and exploratory timing analyses.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16b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 category boundaries when continuous variables are categorized.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Methods and Table 2, pp. 4 and 18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GRACE high-risk threshold &gt;140 and angiography timing categories are stated.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16c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Translate relative risk into absolute risk for meaningful periods when appropriate.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Table 4, p. 20; Figure 2, pp. 12-14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Absolute 12-month mortality percentages and event denominators are reported by management group.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17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 other analyses such as sensitivity analyses and subgroup/exploratory analyses.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Results, p. 6; Table 7, p. 23; Figure 4, p. 16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Stage 2 sensitivity cohort, angiography-restricted timing/Killip analysis, and GRACE treatment-selection paradox figure are reported.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Discussion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18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Summarize key results with reference to study objectives.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Discussion: Principal findings, pp. 6-7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Four principal findings summarize GRACE treatment-selection paradox, matched attenuation of mortality differences, comorbidity burden, and medication persistence.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Discussion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19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Discuss limitations, including direction and magnitude of potential bias.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Strengths and limitations, pp. 7-8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Limitations include GRACE/Killip imputation, small matched cohorts, incomplete LVEF, reverse causation, older registry era, DCA-only heterogeneity, and reconstructed Stage 1 timing estimates.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Discussion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20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Give an overall cautious interpretation considering objectives, limitations, multiplicity, and other evidence.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Discussion and Conclusions, pp. 6-8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Interpretation is explicitly hypothesis-generating and avoids claiming causal procedural or medication effects.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Discussion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21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Discuss generalisability / external validity.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Clinical implications, strengths/limitations, and future research, pp. 7-8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Discusses applicability to high-comorbidity real-world NSTE-ACS and limitations from older-era registry practices.</w:t>
            </w:r>
          </w:p>
        </w:tc>
      </w:tr>
      <w:tr>
        <w:trPr>
          <w:cantSplit/>
        </w:trPr>
        <w:tc>
          <w:tcPr>
            <w:tcW w:type="dxa" w:w="122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Other</w:t>
            </w:r>
          </w:p>
        </w:tc>
        <w:tc>
          <w:tcPr>
            <w:tcW w:type="dxa" w:w="792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22</w:t>
            </w:r>
          </w:p>
        </w:tc>
        <w:tc>
          <w:tcPr>
            <w:tcW w:type="dxa" w:w="4464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State the source of funding and funder role.</w:t>
            </w:r>
          </w:p>
        </w:tc>
        <w:tc>
          <w:tcPr>
            <w:tcW w:type="dxa" w:w="1296"/>
            <w:vAlign w:val="top"/>
            <w:shd w:fill="E2F0D9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Reported</w:t>
            </w:r>
          </w:p>
        </w:tc>
        <w:tc>
          <w:tcPr>
            <w:tcW w:type="dxa" w:w="3096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Declarations: Funding, p. 9</w:t>
            </w:r>
          </w:p>
        </w:tc>
        <w:tc>
          <w:tcPr>
            <w:tcW w:type="dxa" w:w="5760"/>
            <w:vAlign w:val="top"/>
          </w:tcPr>
          <w:p>
            <w:pPr>
              <w:jc w:val="left"/>
            </w:pPr>
            <w:r/>
            <w:r>
              <w:rPr>
                <w:b w:val="0"/>
                <w:sz w:val="15"/>
              </w:rPr>
              <w:t>Taiwan Society of Cardiology administrative support and lack of funder role are stated.</w:t>
            </w:r>
          </w:p>
        </w:tc>
      </w:tr>
    </w:tbl>
    <w:p/>
    <w:p>
      <w:r>
        <w:rPr>
          <w:i/>
          <w:sz w:val="16"/>
        </w:rPr>
        <w:t>Source guideline: STROBE Initiative. Strengthening the Reporting of Observational Studies in Epidemiology (STROBE) Statement: checklist for cohort studies. This completed checklist uses condensed/paraphrased item wording for submission documentation.</w:t>
      </w:r>
    </w:p>
    <w:sectPr w:rsidR="00FC693F" w:rsidRPr="0006063C" w:rsidSect="00034616">
      <w:pgSz w:w="15840" w:h="12240" w:orient="landscape"/>
      <w:pgMar w:top="504" w:right="504" w:bottom="504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