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96B97" w14:textId="54303EEE" w:rsidR="00634ADC" w:rsidRPr="004B481E" w:rsidRDefault="00634ADC" w:rsidP="00634ADC">
      <w:pPr>
        <w:spacing w:line="48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 w:rsidRPr="004B481E">
        <w:rPr>
          <w:rFonts w:ascii="Times New Roman" w:hAnsi="Times New Roman" w:cs="Times New Roman"/>
          <w:sz w:val="40"/>
          <w:szCs w:val="40"/>
          <w:lang w:val="en-US"/>
        </w:rPr>
        <w:t>Supplemental Information</w:t>
      </w:r>
      <w:r w:rsidR="007F2D7D" w:rsidRPr="004B481E"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5B72A165" w14:textId="77777777" w:rsidR="007F2D7D" w:rsidRPr="004B481E" w:rsidRDefault="007F2D7D" w:rsidP="007F2D7D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4B481E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Loss of Fragile X Protein Impacts α-Synuclein Homeostasis via Insulin-Degrading Enzyme </w:t>
      </w:r>
    </w:p>
    <w:p w14:paraId="57A68AFD" w14:textId="77777777" w:rsidR="007F2D7D" w:rsidRPr="004B481E" w:rsidRDefault="007F2D7D" w:rsidP="007F2D7D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4B481E">
        <w:rPr>
          <w:rFonts w:ascii="Times New Roman" w:hAnsi="Times New Roman" w:cs="Times New Roman"/>
          <w:b/>
          <w:bCs/>
          <w:sz w:val="40"/>
          <w:szCs w:val="40"/>
          <w:lang w:val="en-US"/>
        </w:rPr>
        <w:t>in Parkinson’s Disease</w:t>
      </w:r>
    </w:p>
    <w:p w14:paraId="592B386D" w14:textId="522D0C47" w:rsidR="0079791B" w:rsidRPr="003C1195" w:rsidRDefault="00634ADC">
      <w:pPr>
        <w:rPr>
          <w:rFonts w:ascii="Times New Roman" w:hAnsi="Times New Roman" w:cs="Times New Roman"/>
          <w:b/>
          <w:bCs/>
          <w:lang w:val="en-GB"/>
        </w:rPr>
      </w:pPr>
      <w:r w:rsidRPr="006E7CE6">
        <w:rPr>
          <w:lang w:val="en-GB"/>
        </w:rPr>
        <w:br/>
      </w:r>
    </w:p>
    <w:p w14:paraId="2D56D34D" w14:textId="2A730DA8" w:rsidR="0079791B" w:rsidRPr="004B481E" w:rsidRDefault="003C1195" w:rsidP="0079791B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A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AU"/>
        </w:rPr>
        <w:t>1</w:t>
      </w:r>
      <w:r w:rsidR="0079791B" w:rsidRPr="004B481E">
        <w:rPr>
          <w:rFonts w:ascii="Times New Roman" w:hAnsi="Times New Roman" w:cs="Times New Roman"/>
          <w:b/>
          <w:bCs/>
          <w:sz w:val="28"/>
          <w:szCs w:val="28"/>
          <w:lang w:val="en-AU"/>
        </w:rPr>
        <w:t>. Supplemental Figures:</w:t>
      </w:r>
    </w:p>
    <w:p w14:paraId="38CE45F5" w14:textId="4054BB4E" w:rsidR="00F436A2" w:rsidRPr="00F436A2" w:rsidRDefault="00692270" w:rsidP="004B481E">
      <w:pPr>
        <w:pStyle w:val="StandardWeb"/>
        <w:spacing w:line="480" w:lineRule="auto"/>
        <w:jc w:val="both"/>
        <w:rPr>
          <w:rStyle w:val="Fett"/>
          <w:b w:val="0"/>
          <w:bCs w:val="0"/>
          <w:lang w:val="en-GB"/>
        </w:rPr>
      </w:pPr>
      <w:r w:rsidRPr="006E7CE6">
        <w:rPr>
          <w:rStyle w:val="Fett"/>
          <w:rFonts w:eastAsiaTheme="majorEastAsia"/>
          <w:lang w:val="en-GB"/>
        </w:rPr>
        <w:t>Supplementary Figure 1. FMRP regulates IDE expression in a region-specific manner.</w:t>
      </w:r>
      <w:r w:rsidRPr="006E7CE6">
        <w:rPr>
          <w:lang w:val="en-GB"/>
        </w:rPr>
        <w:br/>
      </w:r>
      <w:proofErr w:type="gramStart"/>
      <w:r w:rsidR="00837200" w:rsidRPr="00837200">
        <w:rPr>
          <w:b/>
          <w:bCs/>
          <w:lang w:val="en-GB"/>
        </w:rPr>
        <w:t>A,B</w:t>
      </w:r>
      <w:proofErr w:type="gramEnd"/>
      <w:r w:rsidR="00837200">
        <w:rPr>
          <w:lang w:val="en-GB"/>
        </w:rPr>
        <w:t xml:space="preserve"> </w:t>
      </w:r>
      <w:r w:rsidRPr="006E7CE6">
        <w:rPr>
          <w:lang w:val="en-GB"/>
        </w:rPr>
        <w:t>Representative photomicrographs showing immunolabeling of IDE and tyrosine hydroxylase (TH) in the parietal cortex and hippocampal CA1 region of FMRP W</w:t>
      </w:r>
      <w:r w:rsidR="00DA1BDB">
        <w:rPr>
          <w:lang w:val="en-GB"/>
        </w:rPr>
        <w:t>T</w:t>
      </w:r>
      <w:r w:rsidRPr="006E7CE6">
        <w:rPr>
          <w:lang w:val="en-GB"/>
        </w:rPr>
        <w:t xml:space="preserve"> and KO mice (n = 3 per group).</w:t>
      </w:r>
      <w:r w:rsidR="00837200">
        <w:rPr>
          <w:lang w:val="en-GB"/>
        </w:rPr>
        <w:t xml:space="preserve"> </w:t>
      </w:r>
      <w:r w:rsidR="00837200" w:rsidRPr="00837200">
        <w:rPr>
          <w:b/>
          <w:bCs/>
          <w:lang w:val="en-GB"/>
        </w:rPr>
        <w:t>C</w:t>
      </w:r>
      <w:r w:rsidR="00837200">
        <w:rPr>
          <w:lang w:val="en-GB"/>
        </w:rPr>
        <w:t xml:space="preserve"> </w:t>
      </w:r>
      <w:r w:rsidR="00837200" w:rsidRPr="006E7CE6">
        <w:rPr>
          <w:lang w:val="en-GB"/>
        </w:rPr>
        <w:t>Representative photomicrographs showing immunolabeling of IDE</w:t>
      </w:r>
      <w:r w:rsidR="00837200">
        <w:rPr>
          <w:lang w:val="en-GB"/>
        </w:rPr>
        <w:t>, FMRP, and</w:t>
      </w:r>
      <w:r w:rsidR="00837200" w:rsidRPr="006E7CE6">
        <w:rPr>
          <w:lang w:val="en-GB"/>
        </w:rPr>
        <w:t xml:space="preserve"> TH in the </w:t>
      </w:r>
      <w:proofErr w:type="spellStart"/>
      <w:r w:rsidR="00837200">
        <w:rPr>
          <w:lang w:val="en-GB"/>
        </w:rPr>
        <w:t>SNc</w:t>
      </w:r>
      <w:proofErr w:type="spellEnd"/>
      <w:r w:rsidR="00837200">
        <w:rPr>
          <w:lang w:val="en-GB"/>
        </w:rPr>
        <w:t xml:space="preserve"> from male </w:t>
      </w:r>
      <w:r w:rsidR="00837200" w:rsidRPr="00837200">
        <w:rPr>
          <w:i/>
          <w:iCs/>
          <w:lang w:val="en-GB"/>
        </w:rPr>
        <w:t>Fmr1</w:t>
      </w:r>
      <w:r w:rsidR="00837200" w:rsidRPr="00837200">
        <w:rPr>
          <w:vertAlign w:val="superscript"/>
          <w:lang w:val="en-GB"/>
        </w:rPr>
        <w:t>y/+</w:t>
      </w:r>
      <w:r w:rsidR="00837200">
        <w:rPr>
          <w:lang w:val="en-GB"/>
        </w:rPr>
        <w:t xml:space="preserve"> and </w:t>
      </w:r>
      <w:r w:rsidR="00837200" w:rsidRPr="00837200">
        <w:rPr>
          <w:i/>
          <w:iCs/>
          <w:lang w:val="en-GB"/>
        </w:rPr>
        <w:t>Fmr1</w:t>
      </w:r>
      <w:r w:rsidR="00837200" w:rsidRPr="00837200">
        <w:rPr>
          <w:vertAlign w:val="superscript"/>
          <w:lang w:val="en-GB"/>
        </w:rPr>
        <w:t>y/-</w:t>
      </w:r>
      <w:r w:rsidR="00837200">
        <w:rPr>
          <w:lang w:val="en-GB"/>
        </w:rPr>
        <w:t xml:space="preserve"> mice</w:t>
      </w:r>
      <w:r w:rsidR="006A03E9">
        <w:rPr>
          <w:lang w:val="en-GB"/>
        </w:rPr>
        <w:t xml:space="preserve">. </w:t>
      </w:r>
      <w:r w:rsidR="006A03E9" w:rsidRPr="002B4986">
        <w:rPr>
          <w:lang w:val="en-GB"/>
        </w:rPr>
        <w:t>(</w:t>
      </w:r>
      <w:r w:rsidR="002B4986" w:rsidRPr="002B4986">
        <w:rPr>
          <w:lang w:val="en-GB"/>
        </w:rPr>
        <w:t xml:space="preserve">scale </w:t>
      </w:r>
      <w:r w:rsidR="006A03E9" w:rsidRPr="002B4986">
        <w:rPr>
          <w:lang w:val="en-GB"/>
        </w:rPr>
        <w:t xml:space="preserve">bar = 10 </w:t>
      </w:r>
      <w:proofErr w:type="spellStart"/>
      <w:r w:rsidR="006A03E9" w:rsidRPr="002B4986">
        <w:rPr>
          <w:lang w:val="en-AU"/>
        </w:rPr>
        <w:t>μm</w:t>
      </w:r>
      <w:proofErr w:type="spellEnd"/>
      <w:r w:rsidR="006A03E9" w:rsidRPr="002B4986">
        <w:rPr>
          <w:lang w:val="en-AU"/>
        </w:rPr>
        <w:t>)</w:t>
      </w:r>
    </w:p>
    <w:p w14:paraId="0F5514DE" w14:textId="4C67EBB5" w:rsidR="004B481E" w:rsidRDefault="004B481E" w:rsidP="004B481E">
      <w:pPr>
        <w:pStyle w:val="StandardWeb"/>
        <w:spacing w:line="480" w:lineRule="auto"/>
        <w:jc w:val="both"/>
        <w:rPr>
          <w:lang w:val="en-GB"/>
        </w:rPr>
      </w:pPr>
      <w:r w:rsidRPr="004B481E">
        <w:rPr>
          <w:rStyle w:val="Fett"/>
          <w:rFonts w:eastAsiaTheme="majorEastAsia"/>
          <w:lang w:val="en-AU"/>
        </w:rPr>
        <w:t xml:space="preserve">Supplementary Figure </w:t>
      </w:r>
      <w:r w:rsidR="00692270">
        <w:rPr>
          <w:rStyle w:val="Fett"/>
          <w:rFonts w:eastAsiaTheme="majorEastAsia"/>
          <w:lang w:val="en-AU"/>
        </w:rPr>
        <w:t>2</w:t>
      </w:r>
      <w:r w:rsidRPr="004B481E">
        <w:rPr>
          <w:rStyle w:val="Fett"/>
          <w:rFonts w:eastAsiaTheme="majorEastAsia"/>
          <w:lang w:val="en-AU"/>
        </w:rPr>
        <w:t xml:space="preserve">: Validation of </w:t>
      </w:r>
      <w:proofErr w:type="spellStart"/>
      <w:r w:rsidRPr="004B481E">
        <w:rPr>
          <w:rStyle w:val="Fett"/>
          <w:rFonts w:eastAsiaTheme="majorEastAsia"/>
          <w:lang w:val="en-AU"/>
        </w:rPr>
        <w:t>RNA</w:t>
      </w:r>
      <w:r w:rsidR="00DA1BDB">
        <w:rPr>
          <w:rStyle w:val="Fett"/>
          <w:rFonts w:eastAsiaTheme="majorEastAsia"/>
          <w:lang w:val="en-AU"/>
        </w:rPr>
        <w:t>S</w:t>
      </w:r>
      <w:r w:rsidRPr="004B481E">
        <w:rPr>
          <w:rStyle w:val="Fett"/>
          <w:rFonts w:eastAsiaTheme="majorEastAsia"/>
          <w:lang w:val="en-AU"/>
        </w:rPr>
        <w:t>cope</w:t>
      </w:r>
      <w:proofErr w:type="spellEnd"/>
      <w:r w:rsidRPr="004B481E">
        <w:rPr>
          <w:rStyle w:val="Fett"/>
          <w:rFonts w:eastAsiaTheme="majorEastAsia"/>
          <w:lang w:val="en-AU"/>
        </w:rPr>
        <w:t xml:space="preserve"> In Situ Fluorescence Detection.</w:t>
      </w:r>
      <w:r w:rsidRPr="004B481E">
        <w:rPr>
          <w:lang w:val="en-AU"/>
        </w:rPr>
        <w:br/>
      </w:r>
      <w:r w:rsidR="00837200" w:rsidRPr="00837200">
        <w:rPr>
          <w:b/>
          <w:bCs/>
          <w:lang w:val="en-AU"/>
        </w:rPr>
        <w:t>A-C</w:t>
      </w:r>
      <w:r w:rsidR="00837200">
        <w:rPr>
          <w:lang w:val="en-AU"/>
        </w:rPr>
        <w:t xml:space="preserve"> </w:t>
      </w:r>
      <w:r w:rsidRPr="004B481E">
        <w:rPr>
          <w:lang w:val="en-AU"/>
        </w:rPr>
        <w:t xml:space="preserve">Representative photomicrographs showing tyrosine hydroxylase (TH, green) and insulin-degrading enzyme (IDE) mRNA (red) fluorescence in brain sections. Images are from wild-type (WT) mice hybridized with IDE-specific probes (A) or control probes (B), and from IDE </w:t>
      </w:r>
      <w:r w:rsidRPr="004B481E">
        <w:rPr>
          <w:lang w:val="en-US"/>
        </w:rPr>
        <w:t>KO mice hybridized with IDE-specific probes (C).</w:t>
      </w:r>
      <w:r w:rsidR="00837200">
        <w:rPr>
          <w:lang w:val="en-US"/>
        </w:rPr>
        <w:t xml:space="preserve"> </w:t>
      </w:r>
      <w:r w:rsidR="006509E0" w:rsidRPr="006509E0">
        <w:rPr>
          <w:b/>
          <w:bCs/>
          <w:lang w:val="en-US"/>
        </w:rPr>
        <w:t>D</w:t>
      </w:r>
      <w:r w:rsidR="006509E0">
        <w:rPr>
          <w:lang w:val="en-US"/>
        </w:rPr>
        <w:t xml:space="preserve"> </w:t>
      </w:r>
      <w:r w:rsidR="00837200">
        <w:rPr>
          <w:lang w:val="en-US"/>
        </w:rPr>
        <w:t xml:space="preserve">Western blot and bar graph illustrating an increase in IDE in </w:t>
      </w:r>
      <w:proofErr w:type="spellStart"/>
      <w:r w:rsidR="00837200">
        <w:rPr>
          <w:lang w:val="en-US"/>
        </w:rPr>
        <w:t>SNc</w:t>
      </w:r>
      <w:proofErr w:type="spellEnd"/>
      <w:r w:rsidR="00837200">
        <w:rPr>
          <w:lang w:val="en-US"/>
        </w:rPr>
        <w:t xml:space="preserve"> tissue lysates from FMRP KO mice compared to WT animals </w:t>
      </w:r>
      <w:r w:rsidR="00837200" w:rsidRPr="006E7CE6">
        <w:rPr>
          <w:lang w:val="en-GB"/>
        </w:rPr>
        <w:t>(n = 3 per group).</w:t>
      </w:r>
    </w:p>
    <w:p w14:paraId="085711BA" w14:textId="7A1424F3" w:rsidR="006A03E9" w:rsidRPr="006A03E9" w:rsidRDefault="006A03E9" w:rsidP="004B481E">
      <w:pPr>
        <w:pStyle w:val="StandardWeb"/>
        <w:spacing w:line="480" w:lineRule="auto"/>
        <w:jc w:val="both"/>
        <w:rPr>
          <w:lang w:val="en-AU"/>
        </w:rPr>
      </w:pPr>
      <w:r w:rsidRPr="006A03E9">
        <w:rPr>
          <w:rStyle w:val="Fett"/>
          <w:rFonts w:eastAsiaTheme="majorEastAsia"/>
          <w:lang w:val="en-AU"/>
        </w:rPr>
        <w:t>Supplementary Figure 3.</w:t>
      </w:r>
      <w:r w:rsidRPr="006A03E9">
        <w:rPr>
          <w:lang w:val="en-AU"/>
        </w:rPr>
        <w:t xml:space="preserve"> </w:t>
      </w:r>
      <w:r w:rsidRPr="006A03E9">
        <w:rPr>
          <w:b/>
          <w:bCs/>
          <w:lang w:val="en-AU"/>
        </w:rPr>
        <w:t>IDE is expressed in TH-positive neurons and TH-negative neuronal cells but is absent from astrocytes and microglia.</w:t>
      </w:r>
      <w:r w:rsidRPr="006A03E9">
        <w:rPr>
          <w:b/>
          <w:bCs/>
          <w:lang w:val="en-AU"/>
        </w:rPr>
        <w:br/>
      </w:r>
      <w:r w:rsidRPr="006A03E9">
        <w:rPr>
          <w:rStyle w:val="Fett"/>
          <w:rFonts w:eastAsiaTheme="majorEastAsia"/>
          <w:lang w:val="en-AU"/>
        </w:rPr>
        <w:t>A–C</w:t>
      </w:r>
      <w:r w:rsidRPr="006A03E9">
        <w:rPr>
          <w:lang w:val="en-AU"/>
        </w:rPr>
        <w:t xml:space="preserve"> Representative photomicrographs from immunohistochemical staining showing IDE colocalization with GFAP </w:t>
      </w:r>
      <w:r w:rsidR="002B4986" w:rsidRPr="006A03E9">
        <w:rPr>
          <w:lang w:val="en-AU"/>
        </w:rPr>
        <w:t>(</w:t>
      </w:r>
      <w:r w:rsidR="002B4986" w:rsidRPr="002B4986">
        <w:rPr>
          <w:lang w:val="en-AU"/>
        </w:rPr>
        <w:t xml:space="preserve">scale bar = </w:t>
      </w:r>
      <w:r w:rsidR="002B4986">
        <w:rPr>
          <w:lang w:val="en-AU"/>
        </w:rPr>
        <w:t>1</w:t>
      </w:r>
      <w:r w:rsidR="002B4986" w:rsidRPr="002B4986">
        <w:rPr>
          <w:lang w:val="en-AU"/>
        </w:rPr>
        <w:t xml:space="preserve">0 </w:t>
      </w:r>
      <w:proofErr w:type="spellStart"/>
      <w:r w:rsidR="002B4986" w:rsidRPr="002B4986">
        <w:rPr>
          <w:lang w:val="en-AU"/>
        </w:rPr>
        <w:t>μm</w:t>
      </w:r>
      <w:proofErr w:type="spellEnd"/>
      <w:r w:rsidR="002B4986" w:rsidRPr="002B4986">
        <w:rPr>
          <w:lang w:val="en-AU"/>
        </w:rPr>
        <w:t>)</w:t>
      </w:r>
      <w:r w:rsidR="002B4986">
        <w:rPr>
          <w:lang w:val="en-AU"/>
        </w:rPr>
        <w:t xml:space="preserve"> </w:t>
      </w:r>
      <w:r w:rsidRPr="006A03E9">
        <w:rPr>
          <w:lang w:val="en-AU"/>
        </w:rPr>
        <w:t>(A), IBA1</w:t>
      </w:r>
      <w:r w:rsidR="002B4986" w:rsidRPr="006A03E9">
        <w:rPr>
          <w:lang w:val="en-AU"/>
        </w:rPr>
        <w:t>(</w:t>
      </w:r>
      <w:r w:rsidR="002B4986" w:rsidRPr="002B4986">
        <w:rPr>
          <w:lang w:val="en-AU"/>
        </w:rPr>
        <w:t xml:space="preserve">scale bar = </w:t>
      </w:r>
      <w:r w:rsidR="002B4986">
        <w:rPr>
          <w:lang w:val="en-AU"/>
        </w:rPr>
        <w:t>1</w:t>
      </w:r>
      <w:r w:rsidR="002B4986" w:rsidRPr="002B4986">
        <w:rPr>
          <w:lang w:val="en-AU"/>
        </w:rPr>
        <w:t xml:space="preserve">0 </w:t>
      </w:r>
      <w:proofErr w:type="spellStart"/>
      <w:r w:rsidR="002B4986" w:rsidRPr="002B4986">
        <w:rPr>
          <w:lang w:val="en-AU"/>
        </w:rPr>
        <w:t>μm</w:t>
      </w:r>
      <w:proofErr w:type="spellEnd"/>
      <w:r w:rsidR="002B4986" w:rsidRPr="002B4986">
        <w:rPr>
          <w:lang w:val="en-AU"/>
        </w:rPr>
        <w:t>)</w:t>
      </w:r>
      <w:r w:rsidRPr="006A03E9">
        <w:rPr>
          <w:lang w:val="en-AU"/>
        </w:rPr>
        <w:t xml:space="preserve"> (B), or TH</w:t>
      </w:r>
      <w:r w:rsidR="002B4986">
        <w:rPr>
          <w:lang w:val="en-AU"/>
        </w:rPr>
        <w:t xml:space="preserve"> </w:t>
      </w:r>
      <w:r w:rsidR="002B4986" w:rsidRPr="006A03E9">
        <w:rPr>
          <w:lang w:val="en-AU"/>
        </w:rPr>
        <w:t>(</w:t>
      </w:r>
      <w:r w:rsidR="002B4986" w:rsidRPr="002B4986">
        <w:rPr>
          <w:lang w:val="en-AU"/>
        </w:rPr>
        <w:t xml:space="preserve">scale bar = 20 </w:t>
      </w:r>
      <w:proofErr w:type="spellStart"/>
      <w:r w:rsidR="002B4986" w:rsidRPr="002B4986">
        <w:rPr>
          <w:lang w:val="en-AU"/>
        </w:rPr>
        <w:t>μm</w:t>
      </w:r>
      <w:proofErr w:type="spellEnd"/>
      <w:r w:rsidR="002B4986" w:rsidRPr="002B4986">
        <w:rPr>
          <w:lang w:val="en-AU"/>
        </w:rPr>
        <w:t>)</w:t>
      </w:r>
      <w:r w:rsidRPr="006A03E9">
        <w:rPr>
          <w:lang w:val="en-AU"/>
        </w:rPr>
        <w:t xml:space="preserve"> (C) in postmortem human brain sections from control and FXS cases</w:t>
      </w:r>
      <w:r w:rsidR="002B4986">
        <w:rPr>
          <w:lang w:val="en-AU"/>
        </w:rPr>
        <w:t>.</w:t>
      </w:r>
    </w:p>
    <w:p w14:paraId="30F33C94" w14:textId="77777777" w:rsidR="00D64131" w:rsidRDefault="004B481E" w:rsidP="004B481E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  <w:r w:rsidRPr="004B481E">
        <w:rPr>
          <w:rStyle w:val="Fett"/>
          <w:rFonts w:eastAsiaTheme="majorEastAsia"/>
          <w:lang w:val="en-US"/>
        </w:rPr>
        <w:lastRenderedPageBreak/>
        <w:t xml:space="preserve">Supplementary Figure </w:t>
      </w:r>
      <w:r w:rsidR="006A03E9">
        <w:rPr>
          <w:rStyle w:val="Fett"/>
          <w:rFonts w:eastAsiaTheme="majorEastAsia"/>
          <w:lang w:val="en-US"/>
        </w:rPr>
        <w:t>4</w:t>
      </w:r>
      <w:r w:rsidRPr="004B481E">
        <w:rPr>
          <w:rStyle w:val="Fett"/>
          <w:rFonts w:eastAsiaTheme="majorEastAsia"/>
          <w:lang w:val="en-US"/>
        </w:rPr>
        <w:t>. siRNA-Mediated Knockdown of IDE in Cultured LUHMES Cells.</w:t>
      </w:r>
      <w:r w:rsidR="00D64131">
        <w:rPr>
          <w:lang w:val="en-US"/>
        </w:rPr>
        <w:t xml:space="preserve"> </w:t>
      </w:r>
    </w:p>
    <w:p w14:paraId="0870D8DD" w14:textId="0B46A9F8" w:rsidR="004B481E" w:rsidRPr="004B481E" w:rsidRDefault="004B481E" w:rsidP="004B481E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  <w:r w:rsidRPr="002B4986">
        <w:rPr>
          <w:b/>
          <w:bCs/>
          <w:lang w:val="en-US"/>
        </w:rPr>
        <w:t>A</w:t>
      </w:r>
      <w:r w:rsidRPr="004B481E">
        <w:rPr>
          <w:lang w:val="en-US"/>
        </w:rPr>
        <w:t xml:space="preserve"> Representative Western blot demonstrating reduced IDE protein levels in LUHMES neurons following transfection with IDE-targeting siRNA</w:t>
      </w:r>
      <w:r>
        <w:rPr>
          <w:lang w:val="en-US"/>
        </w:rPr>
        <w:t xml:space="preserve"> (Concentration: 0-200 </w:t>
      </w:r>
      <w:proofErr w:type="spellStart"/>
      <w:r>
        <w:rPr>
          <w:lang w:val="en-US"/>
        </w:rPr>
        <w:t>nM</w:t>
      </w:r>
      <w:proofErr w:type="spellEnd"/>
      <w:r>
        <w:rPr>
          <w:lang w:val="en-US"/>
        </w:rPr>
        <w:t>)</w:t>
      </w:r>
      <w:r w:rsidRPr="004B481E">
        <w:rPr>
          <w:lang w:val="en-US"/>
        </w:rPr>
        <w:t>.</w:t>
      </w:r>
    </w:p>
    <w:p w14:paraId="66E0E759" w14:textId="50E847B7" w:rsidR="004B481E" w:rsidRDefault="004B481E" w:rsidP="004B481E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  <w:r w:rsidRPr="002B4986">
        <w:rPr>
          <w:b/>
          <w:bCs/>
          <w:lang w:val="en-US"/>
        </w:rPr>
        <w:t>B, C</w:t>
      </w:r>
      <w:r w:rsidRPr="004B481E">
        <w:rPr>
          <w:lang w:val="en-US"/>
        </w:rPr>
        <w:t xml:space="preserve"> Bar graphs showing droplet digital PCR (</w:t>
      </w:r>
      <w:proofErr w:type="spellStart"/>
      <w:r w:rsidRPr="004B481E">
        <w:rPr>
          <w:lang w:val="en-US"/>
        </w:rPr>
        <w:t>ddPCR</w:t>
      </w:r>
      <w:proofErr w:type="spellEnd"/>
      <w:r w:rsidRPr="004B481E">
        <w:rPr>
          <w:lang w:val="en-US"/>
        </w:rPr>
        <w:t xml:space="preserve">) quantification of </w:t>
      </w:r>
      <w:r w:rsidRPr="004B481E">
        <w:rPr>
          <w:i/>
          <w:iCs/>
          <w:lang w:val="en-US"/>
        </w:rPr>
        <w:t>IDE</w:t>
      </w:r>
      <w:r w:rsidRPr="004B481E">
        <w:rPr>
          <w:lang w:val="en-US"/>
        </w:rPr>
        <w:t xml:space="preserve"> and </w:t>
      </w:r>
      <w:r w:rsidRPr="004B481E">
        <w:rPr>
          <w:i/>
          <w:iCs/>
          <w:lang w:val="en-US"/>
        </w:rPr>
        <w:t xml:space="preserve">SNCA </w:t>
      </w:r>
      <w:r w:rsidRPr="004B481E">
        <w:rPr>
          <w:lang w:val="en-US"/>
        </w:rPr>
        <w:t xml:space="preserve">mRNA expression after transfection with 50 </w:t>
      </w:r>
      <w:proofErr w:type="spellStart"/>
      <w:r w:rsidRPr="004B481E">
        <w:rPr>
          <w:lang w:val="en-US"/>
        </w:rPr>
        <w:t>nM</w:t>
      </w:r>
      <w:proofErr w:type="spellEnd"/>
      <w:r w:rsidRPr="004B481E">
        <w:rPr>
          <w:lang w:val="en-US"/>
        </w:rPr>
        <w:t xml:space="preserve"> </w:t>
      </w:r>
      <w:r w:rsidRPr="004B481E">
        <w:rPr>
          <w:i/>
          <w:iCs/>
          <w:lang w:val="en-US"/>
        </w:rPr>
        <w:t>IDE</w:t>
      </w:r>
      <w:r w:rsidRPr="004B481E">
        <w:rPr>
          <w:lang w:val="en-US"/>
        </w:rPr>
        <w:t>-specific siRNA</w:t>
      </w:r>
      <w:r>
        <w:rPr>
          <w:lang w:val="en-US"/>
        </w:rPr>
        <w:t xml:space="preserve"> (n = </w:t>
      </w:r>
      <w:r w:rsidRPr="00692270">
        <w:rPr>
          <w:lang w:val="en-US"/>
        </w:rPr>
        <w:t>5</w:t>
      </w:r>
      <w:r>
        <w:rPr>
          <w:lang w:val="en-US"/>
        </w:rPr>
        <w:t>/condition).</w:t>
      </w:r>
      <w:r w:rsidRPr="004B481E">
        <w:rPr>
          <w:lang w:val="en-US"/>
        </w:rPr>
        <w:br/>
      </w:r>
      <w:r w:rsidRPr="002B4986">
        <w:rPr>
          <w:b/>
          <w:bCs/>
          <w:lang w:val="en-US"/>
        </w:rPr>
        <w:t>D</w:t>
      </w:r>
      <w:r w:rsidRPr="004B481E">
        <w:rPr>
          <w:lang w:val="en-US"/>
        </w:rPr>
        <w:t xml:space="preserve"> Bar graph quantifying lactate dehydrogenase (LDH) release following control or </w:t>
      </w:r>
      <w:r w:rsidRPr="004B481E">
        <w:rPr>
          <w:i/>
          <w:iCs/>
          <w:lang w:val="en-US"/>
        </w:rPr>
        <w:t xml:space="preserve">IDE </w:t>
      </w:r>
      <w:r w:rsidRPr="004B481E">
        <w:rPr>
          <w:lang w:val="en-US"/>
        </w:rPr>
        <w:t>siRNA transfection, indicating cytotoxicity</w:t>
      </w:r>
      <w:r>
        <w:rPr>
          <w:lang w:val="en-US"/>
        </w:rPr>
        <w:t xml:space="preserve"> (n = </w:t>
      </w:r>
      <w:r w:rsidRPr="00692270">
        <w:rPr>
          <w:lang w:val="en-US"/>
        </w:rPr>
        <w:t>6/condition</w:t>
      </w:r>
      <w:r>
        <w:rPr>
          <w:lang w:val="en-US"/>
        </w:rPr>
        <w:t xml:space="preserve">). </w:t>
      </w:r>
    </w:p>
    <w:p w14:paraId="2591B731" w14:textId="26C5C19B" w:rsidR="004B481E" w:rsidRDefault="004B481E" w:rsidP="004B481E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  <w:r w:rsidRPr="004B481E">
        <w:rPr>
          <w:lang w:val="en-US"/>
        </w:rPr>
        <w:t xml:space="preserve">Statistical analysis for (D) was performed using two-way ANOVA followed by Dunnett’s multiple comparisons test. Unpaired two-tailed Student’s </w:t>
      </w:r>
      <w:r w:rsidRPr="004B481E">
        <w:rPr>
          <w:rStyle w:val="Hervorhebung"/>
          <w:rFonts w:eastAsiaTheme="majorEastAsia"/>
          <w:lang w:val="en-US"/>
        </w:rPr>
        <w:t>t</w:t>
      </w:r>
      <w:r w:rsidRPr="004B481E">
        <w:rPr>
          <w:lang w:val="en-US"/>
        </w:rPr>
        <w:t>-tests were used for comparisons in (</w:t>
      </w:r>
      <w:r w:rsidR="00692270">
        <w:rPr>
          <w:lang w:val="en-US"/>
        </w:rPr>
        <w:t>B</w:t>
      </w:r>
      <w:r w:rsidRPr="004B481E">
        <w:rPr>
          <w:lang w:val="en-US"/>
        </w:rPr>
        <w:t>) and (</w:t>
      </w:r>
      <w:r w:rsidR="00692270">
        <w:rPr>
          <w:lang w:val="en-US"/>
        </w:rPr>
        <w:t>C</w:t>
      </w:r>
      <w:r w:rsidRPr="004B481E">
        <w:rPr>
          <w:lang w:val="en-US"/>
        </w:rPr>
        <w:t>).</w:t>
      </w:r>
    </w:p>
    <w:p w14:paraId="3E9476C2" w14:textId="77777777" w:rsidR="00692270" w:rsidRPr="004B481E" w:rsidRDefault="00692270" w:rsidP="004B481E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</w:p>
    <w:p w14:paraId="6BE68440" w14:textId="77777777" w:rsidR="00D64131" w:rsidRDefault="004B481E" w:rsidP="004B481E">
      <w:pPr>
        <w:spacing w:line="480" w:lineRule="auto"/>
        <w:jc w:val="both"/>
        <w:rPr>
          <w:rFonts w:ascii="Times New Roman" w:hAnsi="Times New Roman" w:cs="Times New Roman"/>
          <w:lang w:val="en-AU"/>
        </w:rPr>
      </w:pPr>
      <w:r w:rsidRPr="004B481E">
        <w:rPr>
          <w:rStyle w:val="Fett"/>
          <w:rFonts w:ascii="Times New Roman" w:hAnsi="Times New Roman" w:cs="Times New Roman"/>
          <w:lang w:val="en-AU"/>
        </w:rPr>
        <w:t xml:space="preserve">Supplementary Figure </w:t>
      </w:r>
      <w:r w:rsidR="006A03E9">
        <w:rPr>
          <w:rStyle w:val="Fett"/>
          <w:rFonts w:ascii="Times New Roman" w:hAnsi="Times New Roman" w:cs="Times New Roman"/>
          <w:lang w:val="en-AU"/>
        </w:rPr>
        <w:t>5</w:t>
      </w:r>
      <w:r w:rsidRPr="004B481E">
        <w:rPr>
          <w:rStyle w:val="Fett"/>
          <w:rFonts w:ascii="Times New Roman" w:hAnsi="Times New Roman" w:cs="Times New Roman"/>
          <w:lang w:val="en-AU"/>
        </w:rPr>
        <w:t>: Quantification of Cell Death.</w:t>
      </w:r>
      <w:r w:rsidR="00D64131">
        <w:rPr>
          <w:rFonts w:ascii="Times New Roman" w:hAnsi="Times New Roman" w:cs="Times New Roman"/>
          <w:lang w:val="en-AU"/>
        </w:rPr>
        <w:t xml:space="preserve"> </w:t>
      </w:r>
    </w:p>
    <w:p w14:paraId="758F2454" w14:textId="7E67B70E" w:rsidR="004B481E" w:rsidRPr="004B481E" w:rsidRDefault="004B481E" w:rsidP="004B481E">
      <w:pPr>
        <w:spacing w:line="480" w:lineRule="auto"/>
        <w:jc w:val="both"/>
        <w:rPr>
          <w:rFonts w:ascii="Times New Roman" w:hAnsi="Times New Roman" w:cs="Times New Roman"/>
          <w:lang w:val="en-AU"/>
        </w:rPr>
      </w:pPr>
      <w:r w:rsidRPr="002B4986">
        <w:rPr>
          <w:rFonts w:ascii="Times New Roman" w:hAnsi="Times New Roman" w:cs="Times New Roman"/>
          <w:b/>
          <w:bCs/>
          <w:lang w:val="en-AU"/>
        </w:rPr>
        <w:t>A–C</w:t>
      </w:r>
      <w:r w:rsidRPr="004B481E">
        <w:rPr>
          <w:rFonts w:ascii="Times New Roman" w:hAnsi="Times New Roman" w:cs="Times New Roman"/>
          <w:lang w:val="en-AU"/>
        </w:rPr>
        <w:t xml:space="preserve"> Bar graphs showing LDH release in cultured neurons following transduction or transfection with αSyn, GFP, </w:t>
      </w:r>
      <w:r w:rsidRPr="004B481E">
        <w:rPr>
          <w:rFonts w:ascii="Times New Roman" w:hAnsi="Times New Roman" w:cs="Times New Roman"/>
          <w:i/>
          <w:iCs/>
          <w:lang w:val="en-AU"/>
        </w:rPr>
        <w:t>IDE</w:t>
      </w:r>
      <w:r w:rsidRPr="004B481E">
        <w:rPr>
          <w:rFonts w:ascii="Times New Roman" w:hAnsi="Times New Roman" w:cs="Times New Roman"/>
          <w:lang w:val="en-AU"/>
        </w:rPr>
        <w:t>-targeting siRNAs, or IDE-expressing adenoviral vectors (</w:t>
      </w:r>
      <w:proofErr w:type="spellStart"/>
      <w:r w:rsidRPr="004B481E">
        <w:rPr>
          <w:rFonts w:ascii="Times New Roman" w:hAnsi="Times New Roman" w:cs="Times New Roman"/>
          <w:lang w:val="en-AU"/>
        </w:rPr>
        <w:t>AdVs</w:t>
      </w:r>
      <w:proofErr w:type="spellEnd"/>
      <w:r w:rsidRPr="004B481E">
        <w:rPr>
          <w:rFonts w:ascii="Times New Roman" w:hAnsi="Times New Roman" w:cs="Times New Roman"/>
          <w:lang w:val="en-AU"/>
        </w:rPr>
        <w:t xml:space="preserve">) (n = </w:t>
      </w:r>
      <w:r w:rsidR="00692270">
        <w:rPr>
          <w:rFonts w:ascii="Times New Roman" w:hAnsi="Times New Roman" w:cs="Times New Roman"/>
          <w:lang w:val="en-AU"/>
        </w:rPr>
        <w:t>6</w:t>
      </w:r>
      <w:r w:rsidRPr="004B481E">
        <w:rPr>
          <w:rFonts w:ascii="Times New Roman" w:hAnsi="Times New Roman" w:cs="Times New Roman"/>
          <w:lang w:val="en-AU"/>
        </w:rPr>
        <w:t>/condition).</w:t>
      </w:r>
      <w:r w:rsidR="004D419F">
        <w:rPr>
          <w:rFonts w:ascii="Times New Roman" w:hAnsi="Times New Roman" w:cs="Times New Roman"/>
          <w:lang w:val="en-AU"/>
        </w:rPr>
        <w:t xml:space="preserve"> </w:t>
      </w:r>
      <w:r w:rsidRPr="004B481E">
        <w:rPr>
          <w:rFonts w:ascii="Times New Roman" w:hAnsi="Times New Roman" w:cs="Times New Roman"/>
          <w:lang w:val="en-AU"/>
        </w:rPr>
        <w:t>Statistical analysis was performed using two-way ANOVA followed by Dunnett’s multiple comparisons test.</w:t>
      </w:r>
    </w:p>
    <w:p w14:paraId="12A1755B" w14:textId="77777777" w:rsidR="004B481E" w:rsidRPr="004B481E" w:rsidRDefault="004B481E" w:rsidP="005E5F3D">
      <w:pPr>
        <w:spacing w:line="480" w:lineRule="auto"/>
        <w:rPr>
          <w:lang w:val="en-US"/>
        </w:rPr>
      </w:pPr>
    </w:p>
    <w:p w14:paraId="2FB5F852" w14:textId="77777777" w:rsidR="00D64131" w:rsidRDefault="005E5F3D" w:rsidP="005E5F3D">
      <w:pPr>
        <w:pStyle w:val="StandardWeb"/>
        <w:spacing w:before="0" w:beforeAutospacing="0" w:after="0" w:afterAutospacing="0" w:line="480" w:lineRule="auto"/>
        <w:jc w:val="both"/>
        <w:rPr>
          <w:rStyle w:val="Fett"/>
          <w:rFonts w:eastAsiaTheme="majorEastAsia"/>
          <w:lang w:val="en-GB"/>
        </w:rPr>
      </w:pPr>
      <w:r w:rsidRPr="006E7CE6">
        <w:rPr>
          <w:rStyle w:val="Fett"/>
          <w:rFonts w:eastAsiaTheme="majorEastAsia"/>
          <w:lang w:val="en-GB"/>
        </w:rPr>
        <w:t xml:space="preserve">Supplementary Figure </w:t>
      </w:r>
      <w:r w:rsidR="006A03E9">
        <w:rPr>
          <w:rStyle w:val="Fett"/>
          <w:rFonts w:eastAsiaTheme="majorEastAsia"/>
          <w:lang w:val="en-GB"/>
        </w:rPr>
        <w:t>6</w:t>
      </w:r>
      <w:r w:rsidRPr="006E7CE6">
        <w:rPr>
          <w:rStyle w:val="Fett"/>
          <w:rFonts w:eastAsiaTheme="majorEastAsia"/>
          <w:lang w:val="en-GB"/>
        </w:rPr>
        <w:t xml:space="preserve">. Computational modeling of the predicted interaction between </w:t>
      </w:r>
      <w:r>
        <w:rPr>
          <w:rStyle w:val="Fett"/>
          <w:rFonts w:eastAsiaTheme="majorEastAsia"/>
        </w:rPr>
        <w:t>α</w:t>
      </w:r>
      <w:r w:rsidRPr="006E7CE6">
        <w:rPr>
          <w:rStyle w:val="Fett"/>
          <w:rFonts w:eastAsiaTheme="majorEastAsia"/>
          <w:lang w:val="en-GB"/>
        </w:rPr>
        <w:t>-synuclein and IDE.</w:t>
      </w:r>
      <w:r w:rsidR="00D64131">
        <w:rPr>
          <w:rStyle w:val="Fett"/>
          <w:rFonts w:eastAsiaTheme="majorEastAsia"/>
          <w:lang w:val="en-GB"/>
        </w:rPr>
        <w:t xml:space="preserve"> </w:t>
      </w:r>
    </w:p>
    <w:p w14:paraId="31465F27" w14:textId="056C884F" w:rsidR="0079791B" w:rsidRPr="00D64131" w:rsidRDefault="005E5F3D" w:rsidP="005E5F3D">
      <w:pPr>
        <w:pStyle w:val="StandardWeb"/>
        <w:spacing w:before="0" w:beforeAutospacing="0" w:after="0" w:afterAutospacing="0" w:line="480" w:lineRule="auto"/>
        <w:jc w:val="both"/>
        <w:rPr>
          <w:rFonts w:eastAsiaTheme="majorEastAsia"/>
          <w:b/>
          <w:bCs/>
          <w:lang w:val="en-GB"/>
        </w:rPr>
      </w:pPr>
      <w:r w:rsidRPr="002B4986">
        <w:rPr>
          <w:b/>
          <w:bCs/>
          <w:lang w:val="en-GB"/>
        </w:rPr>
        <w:t>A, B</w:t>
      </w:r>
      <w:r w:rsidRPr="006E7CE6">
        <w:rPr>
          <w:lang w:val="en-GB"/>
        </w:rPr>
        <w:t xml:space="preserve"> Predicted conformational structures of IDE and </w:t>
      </w:r>
      <w:r>
        <w:t>α</w:t>
      </w:r>
      <w:r w:rsidRPr="006E7CE6">
        <w:rPr>
          <w:lang w:val="en-GB"/>
        </w:rPr>
        <w:t>-synuclein (</w:t>
      </w:r>
      <w:r>
        <w:t>α</w:t>
      </w:r>
      <w:r w:rsidRPr="006E7CE6">
        <w:rPr>
          <w:lang w:val="en-GB"/>
        </w:rPr>
        <w:t xml:space="preserve">Syn), respectively. (C, D) Modeled interaction interface between IDE and </w:t>
      </w:r>
      <w:r>
        <w:t>α</w:t>
      </w:r>
      <w:r w:rsidRPr="006E7CE6">
        <w:rPr>
          <w:lang w:val="en-GB"/>
        </w:rPr>
        <w:t>Syn. (E) Predicted hydrogen bonds potentially stabilizing the interaction between the two molecules.</w:t>
      </w:r>
      <w:r w:rsidR="0079791B" w:rsidRPr="003A571B">
        <w:rPr>
          <w:lang w:val="en-US"/>
        </w:rPr>
        <w:br/>
      </w:r>
    </w:p>
    <w:p w14:paraId="029BD63F" w14:textId="60D9D7DA" w:rsidR="00D64131" w:rsidRDefault="00AC44D7" w:rsidP="005E5F3D">
      <w:pPr>
        <w:pStyle w:val="StandardWeb"/>
        <w:spacing w:before="0" w:beforeAutospacing="0" w:after="0" w:afterAutospacing="0" w:line="480" w:lineRule="auto"/>
        <w:jc w:val="both"/>
        <w:rPr>
          <w:b/>
          <w:bCs/>
          <w:highlight w:val="yellow"/>
          <w:lang w:val="en-US"/>
        </w:rPr>
      </w:pPr>
      <w:r w:rsidRPr="00C71AE4">
        <w:rPr>
          <w:b/>
          <w:bCs/>
          <w:highlight w:val="yellow"/>
          <w:lang w:val="en-US"/>
        </w:rPr>
        <w:t xml:space="preserve">Supplemental Figure </w:t>
      </w:r>
      <w:r w:rsidR="00DF79F5">
        <w:rPr>
          <w:b/>
          <w:bCs/>
          <w:highlight w:val="yellow"/>
          <w:lang w:val="en-US"/>
        </w:rPr>
        <w:t>7</w:t>
      </w:r>
      <w:r w:rsidRPr="00C71AE4">
        <w:rPr>
          <w:b/>
          <w:bCs/>
          <w:highlight w:val="yellow"/>
          <w:lang w:val="en-US"/>
        </w:rPr>
        <w:t>: Characterization of p129-αSyn pathology in the nigrostriatal pathway</w:t>
      </w:r>
      <w:r w:rsidR="00D64131">
        <w:rPr>
          <w:b/>
          <w:bCs/>
          <w:highlight w:val="yellow"/>
          <w:lang w:val="en-US"/>
        </w:rPr>
        <w:t xml:space="preserve"> </w:t>
      </w:r>
    </w:p>
    <w:p w14:paraId="677EF7A0" w14:textId="73042F69" w:rsidR="00AC44D7" w:rsidRPr="00D64131" w:rsidRDefault="00AC44D7" w:rsidP="005E5F3D">
      <w:pPr>
        <w:pStyle w:val="StandardWeb"/>
        <w:spacing w:before="0" w:beforeAutospacing="0" w:after="0" w:afterAutospacing="0" w:line="480" w:lineRule="auto"/>
        <w:jc w:val="both"/>
        <w:rPr>
          <w:b/>
          <w:bCs/>
          <w:highlight w:val="yellow"/>
          <w:lang w:val="en-US"/>
        </w:rPr>
      </w:pPr>
      <w:proofErr w:type="gramStart"/>
      <w:r w:rsidRPr="00C71AE4">
        <w:rPr>
          <w:b/>
          <w:bCs/>
          <w:highlight w:val="yellow"/>
          <w:lang w:val="en-US"/>
        </w:rPr>
        <w:lastRenderedPageBreak/>
        <w:t>A</w:t>
      </w:r>
      <w:r>
        <w:rPr>
          <w:b/>
          <w:bCs/>
          <w:highlight w:val="yellow"/>
          <w:lang w:val="en-US"/>
        </w:rPr>
        <w:t>,B</w:t>
      </w:r>
      <w:proofErr w:type="gramEnd"/>
      <w:r w:rsidRPr="00C71AE4">
        <w:rPr>
          <w:b/>
          <w:bCs/>
          <w:highlight w:val="yellow"/>
          <w:lang w:val="en-US"/>
        </w:rPr>
        <w:t xml:space="preserve"> </w:t>
      </w:r>
      <w:r w:rsidRPr="00C71AE4">
        <w:rPr>
          <w:highlight w:val="yellow"/>
          <w:lang w:val="en-US"/>
        </w:rPr>
        <w:t xml:space="preserve">Representative photomicrograph of substantia nigra </w:t>
      </w:r>
      <w:r>
        <w:rPr>
          <w:highlight w:val="yellow"/>
          <w:lang w:val="en-US"/>
        </w:rPr>
        <w:t xml:space="preserve">(A) </w:t>
      </w:r>
      <w:r w:rsidRPr="00C71AE4">
        <w:rPr>
          <w:highlight w:val="yellow"/>
          <w:lang w:val="en-US"/>
        </w:rPr>
        <w:t xml:space="preserve">and striatum </w:t>
      </w:r>
      <w:r>
        <w:rPr>
          <w:highlight w:val="yellow"/>
          <w:lang w:val="en-US"/>
        </w:rPr>
        <w:t xml:space="preserve">(B) </w:t>
      </w:r>
      <w:r w:rsidRPr="00C71AE4">
        <w:rPr>
          <w:highlight w:val="yellow"/>
          <w:lang w:val="en-US"/>
        </w:rPr>
        <w:t xml:space="preserve">brain tissue sections from wild-type mice 2 months after injection with αSyn PFFs, stained with antibodies against TH, p129-αSyn, and IDE (scale bar = 50 </w:t>
      </w:r>
      <w:proofErr w:type="spellStart"/>
      <w:r w:rsidRPr="00C71AE4">
        <w:rPr>
          <w:highlight w:val="yellow"/>
          <w:lang w:val="en-US"/>
        </w:rPr>
        <w:t>μm</w:t>
      </w:r>
      <w:proofErr w:type="spellEnd"/>
      <w:r w:rsidRPr="00C71AE4">
        <w:rPr>
          <w:highlight w:val="yellow"/>
          <w:lang w:val="en-US"/>
        </w:rPr>
        <w:t>).</w:t>
      </w:r>
      <w:r>
        <w:rPr>
          <w:b/>
          <w:bCs/>
          <w:highlight w:val="yellow"/>
          <w:lang w:val="en-US"/>
        </w:rPr>
        <w:t xml:space="preserve"> C</w:t>
      </w:r>
      <w:r w:rsidRPr="00C71AE4">
        <w:rPr>
          <w:b/>
          <w:bCs/>
          <w:highlight w:val="yellow"/>
          <w:lang w:val="en-US"/>
        </w:rPr>
        <w:t xml:space="preserve"> </w:t>
      </w:r>
      <w:r w:rsidRPr="00C71AE4">
        <w:rPr>
          <w:highlight w:val="yellow"/>
          <w:lang w:val="en-US"/>
        </w:rPr>
        <w:t xml:space="preserve">IMARIS-reconstructed images illustrating p129-αSyn pathology (red) in the striatum (scale bar = 20 </w:t>
      </w:r>
      <w:proofErr w:type="spellStart"/>
      <w:r w:rsidRPr="00C71AE4">
        <w:rPr>
          <w:highlight w:val="yellow"/>
          <w:lang w:val="en-US"/>
        </w:rPr>
        <w:t>μm</w:t>
      </w:r>
      <w:proofErr w:type="spellEnd"/>
      <w:r w:rsidRPr="00C71AE4">
        <w:rPr>
          <w:highlight w:val="yellow"/>
          <w:lang w:val="en-US"/>
        </w:rPr>
        <w:t>), located both within and outside TH-positive nigrostriatal afferents (yellow).</w:t>
      </w:r>
      <w:r>
        <w:rPr>
          <w:b/>
          <w:bCs/>
          <w:highlight w:val="yellow"/>
          <w:lang w:val="en-US"/>
        </w:rPr>
        <w:t xml:space="preserve"> D</w:t>
      </w:r>
      <w:r w:rsidRPr="00C71AE4">
        <w:rPr>
          <w:b/>
          <w:bCs/>
          <w:highlight w:val="yellow"/>
          <w:lang w:val="en-US"/>
        </w:rPr>
        <w:t xml:space="preserve"> </w:t>
      </w:r>
      <w:r w:rsidRPr="00C71AE4">
        <w:rPr>
          <w:highlight w:val="yellow"/>
          <w:lang w:val="en-US"/>
        </w:rPr>
        <w:t xml:space="preserve">Higher-magnification view of the inset in panel B. Arrows indicate p129-αSyn-positive </w:t>
      </w:r>
      <w:r>
        <w:rPr>
          <w:highlight w:val="yellow"/>
          <w:lang w:val="en-US"/>
        </w:rPr>
        <w:t xml:space="preserve">perinuclear </w:t>
      </w:r>
      <w:r w:rsidRPr="00C71AE4">
        <w:rPr>
          <w:highlight w:val="yellow"/>
          <w:lang w:val="en-US"/>
        </w:rPr>
        <w:t>structures outside TH-positive fibers, while arrowheads indicate p129-αSyn-positive structures inside TH-positive fibers.</w:t>
      </w:r>
      <w:r>
        <w:rPr>
          <w:b/>
          <w:bCs/>
          <w:highlight w:val="yellow"/>
          <w:lang w:val="en-US"/>
        </w:rPr>
        <w:t xml:space="preserve"> E</w:t>
      </w:r>
      <w:r w:rsidRPr="00C71AE4">
        <w:rPr>
          <w:b/>
          <w:bCs/>
          <w:highlight w:val="yellow"/>
          <w:lang w:val="en-US"/>
        </w:rPr>
        <w:t xml:space="preserve"> </w:t>
      </w:r>
      <w:r w:rsidRPr="00C71AE4">
        <w:rPr>
          <w:highlight w:val="yellow"/>
          <w:lang w:val="en-US"/>
        </w:rPr>
        <w:t>High-magnification image with dopamine receptor 1 (DR1) neuropil (turquoise) in the background. Arrowheads indicate p129-αSyn-positive inclusions within TH-positive fibers.</w:t>
      </w:r>
    </w:p>
    <w:p w14:paraId="1CCCE9CD" w14:textId="77777777" w:rsidR="00AC44D7" w:rsidRDefault="00AC44D7" w:rsidP="005E5F3D">
      <w:pPr>
        <w:pStyle w:val="StandardWeb"/>
        <w:spacing w:before="0" w:beforeAutospacing="0" w:after="0" w:afterAutospacing="0" w:line="480" w:lineRule="auto"/>
        <w:jc w:val="both"/>
        <w:rPr>
          <w:highlight w:val="yellow"/>
          <w:lang w:val="en-US"/>
        </w:rPr>
      </w:pPr>
    </w:p>
    <w:p w14:paraId="2BA95EF2" w14:textId="0431D9CD" w:rsidR="00AC44D7" w:rsidRPr="00D64131" w:rsidRDefault="00AC44D7" w:rsidP="005E5F3D">
      <w:pPr>
        <w:pStyle w:val="StandardWeb"/>
        <w:spacing w:before="0" w:beforeAutospacing="0" w:after="0" w:afterAutospacing="0" w:line="480" w:lineRule="auto"/>
        <w:jc w:val="both"/>
        <w:rPr>
          <w:b/>
          <w:bCs/>
          <w:highlight w:val="yellow"/>
          <w:lang w:val="en-US"/>
        </w:rPr>
      </w:pPr>
      <w:r w:rsidRPr="00D64131">
        <w:rPr>
          <w:b/>
          <w:bCs/>
          <w:highlight w:val="yellow"/>
          <w:lang w:val="en-US"/>
        </w:rPr>
        <w:t xml:space="preserve">Supplemental Figure 8 </w:t>
      </w:r>
      <w:r w:rsidRPr="00D64131">
        <w:rPr>
          <w:highlight w:val="yellow"/>
          <w:lang w:val="en-US"/>
        </w:rPr>
        <w:t xml:space="preserve">Photomicrographs illustrating TH-positive neurons in the </w:t>
      </w:r>
      <w:proofErr w:type="spellStart"/>
      <w:r w:rsidRPr="00D64131">
        <w:rPr>
          <w:highlight w:val="yellow"/>
          <w:lang w:val="en-US"/>
        </w:rPr>
        <w:t>SNc</w:t>
      </w:r>
      <w:proofErr w:type="spellEnd"/>
      <w:r w:rsidRPr="00D64131">
        <w:rPr>
          <w:highlight w:val="yellow"/>
          <w:lang w:val="en-US"/>
        </w:rPr>
        <w:t xml:space="preserve"> from </w:t>
      </w:r>
      <w:r w:rsidR="00D64131" w:rsidRPr="00D64131">
        <w:rPr>
          <w:highlight w:val="yellow"/>
          <w:lang w:val="en-US"/>
        </w:rPr>
        <w:t>PDGF αSyn transgenic mice (</w:t>
      </w:r>
      <w:proofErr w:type="spellStart"/>
      <w:r w:rsidR="00D64131" w:rsidRPr="00D64131">
        <w:rPr>
          <w:highlight w:val="yellow"/>
          <w:lang w:val="en-US"/>
        </w:rPr>
        <w:t>Tg</w:t>
      </w:r>
      <w:proofErr w:type="spellEnd"/>
      <w:r w:rsidR="00D64131" w:rsidRPr="00D64131">
        <w:rPr>
          <w:highlight w:val="yellow"/>
          <w:lang w:val="en-US"/>
        </w:rPr>
        <w:t xml:space="preserve">) and WT control animals (bar = 100 </w:t>
      </w:r>
      <w:r w:rsidR="00D64131" w:rsidRPr="00D64131">
        <w:rPr>
          <w:highlight w:val="yellow"/>
          <w:lang w:val="en-US"/>
        </w:rPr>
        <w:sym w:font="Symbol" w:char="F06D"/>
      </w:r>
      <w:r w:rsidR="00D64131" w:rsidRPr="00D64131">
        <w:rPr>
          <w:highlight w:val="yellow"/>
          <w:lang w:val="en-US"/>
        </w:rPr>
        <w:t>m).</w:t>
      </w:r>
    </w:p>
    <w:p w14:paraId="168A102D" w14:textId="77777777" w:rsidR="00AC44D7" w:rsidRDefault="00AC44D7" w:rsidP="005E5F3D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</w:p>
    <w:p w14:paraId="7BF6FC90" w14:textId="04428923" w:rsidR="00D64131" w:rsidRPr="00D64131" w:rsidRDefault="006A03E9" w:rsidP="00D6413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</w:pPr>
      <w:r w:rsidRPr="00D64131">
        <w:rPr>
          <w:rFonts w:ascii="Times New Roman" w:hAnsi="Times New Roman" w:cs="Times New Roman"/>
          <w:b/>
          <w:bCs/>
          <w:lang w:val="en-US"/>
        </w:rPr>
        <w:t xml:space="preserve">Supplemental Figure </w:t>
      </w:r>
      <w:r w:rsidR="00D64131" w:rsidRPr="00D64131">
        <w:rPr>
          <w:rFonts w:ascii="Times New Roman" w:hAnsi="Times New Roman" w:cs="Times New Roman"/>
          <w:b/>
          <w:bCs/>
          <w:lang w:val="en-US"/>
        </w:rPr>
        <w:t>9</w:t>
      </w:r>
      <w:r w:rsidRPr="00D64131">
        <w:rPr>
          <w:rFonts w:ascii="Times New Roman" w:hAnsi="Times New Roman" w:cs="Times New Roman"/>
          <w:lang w:val="en-US"/>
        </w:rPr>
        <w:t xml:space="preserve">. </w:t>
      </w:r>
      <w:r w:rsidR="000F6681" w:rsidRPr="00D64131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 xml:space="preserve">IDE is elevated in PD models </w:t>
      </w:r>
      <w:r w:rsidR="00D64131" w:rsidRPr="00D64131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 xml:space="preserve"> </w:t>
      </w:r>
    </w:p>
    <w:p w14:paraId="23DE7C15" w14:textId="2F76CF2F" w:rsidR="000F6681" w:rsidRPr="00D64131" w:rsidRDefault="006A03E9" w:rsidP="00D6413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</w:pPr>
      <w:r w:rsidRPr="00D64131">
        <w:rPr>
          <w:rFonts w:ascii="Times New Roman" w:hAnsi="Times New Roman" w:cs="Times New Roman"/>
          <w:b/>
          <w:bCs/>
          <w:lang w:val="en-US"/>
        </w:rPr>
        <w:t>A</w:t>
      </w:r>
      <w:r w:rsidRPr="00D64131">
        <w:rPr>
          <w:rFonts w:ascii="Times New Roman" w:hAnsi="Times New Roman" w:cs="Times New Roman"/>
          <w:lang w:val="en-US"/>
        </w:rPr>
        <w:t xml:space="preserve"> Representative immunohistochemical images and bar graph from </w:t>
      </w:r>
      <w:proofErr w:type="spellStart"/>
      <w:r w:rsidRPr="00D64131">
        <w:rPr>
          <w:rFonts w:ascii="Times New Roman" w:hAnsi="Times New Roman" w:cs="Times New Roman"/>
          <w:lang w:val="en-US"/>
        </w:rPr>
        <w:t>SNc</w:t>
      </w:r>
      <w:proofErr w:type="spellEnd"/>
      <w:r w:rsidRPr="00D64131">
        <w:rPr>
          <w:rFonts w:ascii="Times New Roman" w:hAnsi="Times New Roman" w:cs="Times New Roman"/>
          <w:lang w:val="en-US"/>
        </w:rPr>
        <w:t xml:space="preserve"> brain tissue sections and quantification showing elevated IDE levels in FMRP WT and KO mice inoculated with αSyn PFFs (</w:t>
      </w:r>
      <w:r w:rsidR="00677210" w:rsidRPr="00D64131">
        <w:rPr>
          <w:rFonts w:ascii="Times New Roman" w:hAnsi="Times New Roman" w:cs="Times New Roman"/>
          <w:lang w:val="en-US"/>
        </w:rPr>
        <w:t xml:space="preserve">scale </w:t>
      </w:r>
      <w:r w:rsidRPr="00D64131">
        <w:rPr>
          <w:rFonts w:ascii="Times New Roman" w:hAnsi="Times New Roman" w:cs="Times New Roman"/>
          <w:lang w:val="en-US"/>
        </w:rPr>
        <w:t xml:space="preserve">bar: </w:t>
      </w:r>
      <w:r w:rsidR="002B4986" w:rsidRPr="00D64131">
        <w:rPr>
          <w:rFonts w:ascii="Times New Roman" w:hAnsi="Times New Roman" w:cs="Times New Roman"/>
          <w:lang w:val="en-US"/>
        </w:rPr>
        <w:t>2</w:t>
      </w:r>
      <w:r w:rsidRPr="00D64131">
        <w:rPr>
          <w:rFonts w:ascii="Times New Roman" w:hAnsi="Times New Roman" w:cs="Times New Roman"/>
          <w:lang w:val="en-US"/>
        </w:rPr>
        <w:t xml:space="preserve">0 </w:t>
      </w:r>
      <w:proofErr w:type="spellStart"/>
      <w:r w:rsidRPr="00D64131">
        <w:rPr>
          <w:rFonts w:ascii="Times New Roman" w:hAnsi="Times New Roman" w:cs="Times New Roman"/>
          <w:lang w:val="en-AU"/>
        </w:rPr>
        <w:t>μm</w:t>
      </w:r>
      <w:proofErr w:type="spellEnd"/>
      <w:r w:rsidRPr="00D64131">
        <w:rPr>
          <w:rFonts w:ascii="Times New Roman" w:hAnsi="Times New Roman" w:cs="Times New Roman"/>
          <w:lang w:val="en-US"/>
        </w:rPr>
        <w:t>).</w:t>
      </w:r>
      <w:r w:rsidR="004D419F" w:rsidRPr="00D64131">
        <w:rPr>
          <w:rFonts w:ascii="Times New Roman" w:hAnsi="Times New Roman" w:cs="Times New Roman"/>
          <w:lang w:val="en-US"/>
        </w:rPr>
        <w:t xml:space="preserve"> </w:t>
      </w:r>
      <w:r w:rsidR="000F6681" w:rsidRPr="00D64131">
        <w:rPr>
          <w:rFonts w:ascii="Times New Roman" w:hAnsi="Times New Roman" w:cs="Times New Roman"/>
          <w:b/>
          <w:bCs/>
          <w:lang w:val="en-US"/>
        </w:rPr>
        <w:t>B</w:t>
      </w:r>
      <w:r w:rsidR="000F6681" w:rsidRPr="00D64131">
        <w:rPr>
          <w:rFonts w:ascii="Times New Roman" w:hAnsi="Times New Roman" w:cs="Times New Roman"/>
          <w:lang w:val="en-US"/>
        </w:rPr>
        <w:t xml:space="preserve"> </w:t>
      </w:r>
      <w:r w:rsidR="00677210" w:rsidRPr="00D64131">
        <w:rPr>
          <w:rFonts w:ascii="Times New Roman" w:hAnsi="Times New Roman" w:cs="Times New Roman"/>
        </w:rPr>
        <w:t>Higher-</w:t>
      </w:r>
      <w:proofErr w:type="spellStart"/>
      <w:r w:rsidR="00677210" w:rsidRPr="00D64131">
        <w:rPr>
          <w:rFonts w:ascii="Times New Roman" w:hAnsi="Times New Roman" w:cs="Times New Roman"/>
        </w:rPr>
        <w:t>magnification</w:t>
      </w:r>
      <w:proofErr w:type="spellEnd"/>
      <w:r w:rsidR="00677210" w:rsidRPr="00D64131">
        <w:rPr>
          <w:rFonts w:ascii="Times New Roman" w:hAnsi="Times New Roman" w:cs="Times New Roman"/>
        </w:rPr>
        <w:t xml:space="preserve"> </w:t>
      </w:r>
      <w:proofErr w:type="spellStart"/>
      <w:r w:rsidR="00677210" w:rsidRPr="00D64131">
        <w:rPr>
          <w:rFonts w:ascii="Times New Roman" w:hAnsi="Times New Roman" w:cs="Times New Roman"/>
        </w:rPr>
        <w:t>merged</w:t>
      </w:r>
      <w:proofErr w:type="spellEnd"/>
      <w:r w:rsidR="00677210" w:rsidRPr="00D64131">
        <w:rPr>
          <w:rFonts w:ascii="Times New Roman" w:hAnsi="Times New Roman" w:cs="Times New Roman"/>
        </w:rPr>
        <w:t xml:space="preserve"> IHC </w:t>
      </w:r>
      <w:proofErr w:type="spellStart"/>
      <w:r w:rsidR="00677210" w:rsidRPr="00D64131">
        <w:rPr>
          <w:rFonts w:ascii="Times New Roman" w:hAnsi="Times New Roman" w:cs="Times New Roman"/>
        </w:rPr>
        <w:t>images</w:t>
      </w:r>
      <w:proofErr w:type="spellEnd"/>
      <w:r w:rsidR="00677210" w:rsidRPr="00D64131">
        <w:rPr>
          <w:rFonts w:ascii="Times New Roman" w:hAnsi="Times New Roman" w:cs="Times New Roman"/>
        </w:rPr>
        <w:t xml:space="preserve"> </w:t>
      </w:r>
      <w:proofErr w:type="spellStart"/>
      <w:r w:rsidR="00677210" w:rsidRPr="00D64131">
        <w:rPr>
          <w:rFonts w:ascii="Times New Roman" w:hAnsi="Times New Roman" w:cs="Times New Roman"/>
        </w:rPr>
        <w:t>from</w:t>
      </w:r>
      <w:proofErr w:type="spellEnd"/>
      <w:r w:rsidR="00677210" w:rsidRPr="00D64131">
        <w:rPr>
          <w:rFonts w:ascii="Times New Roman" w:hAnsi="Times New Roman" w:cs="Times New Roman"/>
        </w:rPr>
        <w:t xml:space="preserve"> (A) (</w:t>
      </w:r>
      <w:proofErr w:type="spellStart"/>
      <w:r w:rsidR="00677210" w:rsidRPr="00D64131">
        <w:rPr>
          <w:rFonts w:ascii="Times New Roman" w:hAnsi="Times New Roman" w:cs="Times New Roman"/>
        </w:rPr>
        <w:t>left</w:t>
      </w:r>
      <w:proofErr w:type="spellEnd"/>
      <w:r w:rsidR="00677210" w:rsidRPr="00D64131">
        <w:rPr>
          <w:rFonts w:ascii="Times New Roman" w:hAnsi="Times New Roman" w:cs="Times New Roman"/>
        </w:rPr>
        <w:t>) and IMARIS-</w:t>
      </w:r>
      <w:proofErr w:type="spellStart"/>
      <w:r w:rsidR="00677210" w:rsidRPr="00D64131">
        <w:rPr>
          <w:rFonts w:ascii="Times New Roman" w:hAnsi="Times New Roman" w:cs="Times New Roman"/>
        </w:rPr>
        <w:t>reconstructed</w:t>
      </w:r>
      <w:proofErr w:type="spellEnd"/>
      <w:r w:rsidR="00677210" w:rsidRPr="00D64131">
        <w:rPr>
          <w:rFonts w:ascii="Times New Roman" w:hAnsi="Times New Roman" w:cs="Times New Roman"/>
        </w:rPr>
        <w:t xml:space="preserve"> </w:t>
      </w:r>
      <w:proofErr w:type="spellStart"/>
      <w:r w:rsidR="00677210" w:rsidRPr="00D64131">
        <w:rPr>
          <w:rFonts w:ascii="Times New Roman" w:hAnsi="Times New Roman" w:cs="Times New Roman"/>
        </w:rPr>
        <w:t>images</w:t>
      </w:r>
      <w:proofErr w:type="spellEnd"/>
      <w:r w:rsidR="00677210" w:rsidRPr="00D64131">
        <w:rPr>
          <w:rFonts w:ascii="Times New Roman" w:hAnsi="Times New Roman" w:cs="Times New Roman"/>
        </w:rPr>
        <w:t xml:space="preserve"> </w:t>
      </w:r>
      <w:proofErr w:type="spellStart"/>
      <w:r w:rsidR="00677210" w:rsidRPr="00D64131">
        <w:rPr>
          <w:rFonts w:ascii="Times New Roman" w:hAnsi="Times New Roman" w:cs="Times New Roman"/>
        </w:rPr>
        <w:t>of</w:t>
      </w:r>
      <w:proofErr w:type="spellEnd"/>
      <w:r w:rsidR="00677210" w:rsidRPr="00D64131">
        <w:rPr>
          <w:rFonts w:ascii="Times New Roman" w:hAnsi="Times New Roman" w:cs="Times New Roman"/>
        </w:rPr>
        <w:t xml:space="preserve"> </w:t>
      </w:r>
      <w:proofErr w:type="spellStart"/>
      <w:r w:rsidR="00677210" w:rsidRPr="00D64131">
        <w:rPr>
          <w:rFonts w:ascii="Times New Roman" w:hAnsi="Times New Roman" w:cs="Times New Roman"/>
        </w:rPr>
        <w:t>the</w:t>
      </w:r>
      <w:proofErr w:type="spellEnd"/>
      <w:r w:rsidR="00677210" w:rsidRPr="00D64131">
        <w:rPr>
          <w:rFonts w:ascii="Times New Roman" w:hAnsi="Times New Roman" w:cs="Times New Roman"/>
        </w:rPr>
        <w:t xml:space="preserve"> same </w:t>
      </w:r>
      <w:proofErr w:type="spellStart"/>
      <w:r w:rsidR="00677210" w:rsidRPr="00D64131">
        <w:rPr>
          <w:rFonts w:ascii="Times New Roman" w:hAnsi="Times New Roman" w:cs="Times New Roman"/>
        </w:rPr>
        <w:t>field</w:t>
      </w:r>
      <w:proofErr w:type="spellEnd"/>
      <w:r w:rsidR="00677210" w:rsidRPr="00D64131">
        <w:rPr>
          <w:rFonts w:ascii="Times New Roman" w:hAnsi="Times New Roman" w:cs="Times New Roman"/>
        </w:rPr>
        <w:t xml:space="preserve"> (</w:t>
      </w:r>
      <w:proofErr w:type="spellStart"/>
      <w:r w:rsidR="00677210" w:rsidRPr="00D64131">
        <w:rPr>
          <w:rFonts w:ascii="Times New Roman" w:hAnsi="Times New Roman" w:cs="Times New Roman"/>
        </w:rPr>
        <w:t>right</w:t>
      </w:r>
      <w:proofErr w:type="spellEnd"/>
      <w:r w:rsidR="00677210" w:rsidRPr="00D64131">
        <w:rPr>
          <w:rFonts w:ascii="Times New Roman" w:hAnsi="Times New Roman" w:cs="Times New Roman"/>
        </w:rPr>
        <w:t>).</w:t>
      </w:r>
      <w:r w:rsidR="00677210" w:rsidRPr="00D64131">
        <w:rPr>
          <w:rFonts w:ascii="Times New Roman" w:hAnsi="Times New Roman" w:cs="Times New Roman"/>
          <w:lang w:val="en-US"/>
        </w:rPr>
        <w:t xml:space="preserve"> (scale bar: </w:t>
      </w:r>
      <w:r w:rsidR="002B4986" w:rsidRPr="00D64131">
        <w:rPr>
          <w:rFonts w:ascii="Times New Roman" w:hAnsi="Times New Roman" w:cs="Times New Roman"/>
          <w:lang w:val="en-US"/>
        </w:rPr>
        <w:t>4</w:t>
      </w:r>
      <w:r w:rsidR="00677210" w:rsidRPr="00D641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77210" w:rsidRPr="00D64131">
        <w:rPr>
          <w:rFonts w:ascii="Times New Roman" w:hAnsi="Times New Roman" w:cs="Times New Roman"/>
          <w:lang w:val="en-AU"/>
        </w:rPr>
        <w:t>μm</w:t>
      </w:r>
      <w:proofErr w:type="spellEnd"/>
      <w:r w:rsidR="00677210" w:rsidRPr="00D64131">
        <w:rPr>
          <w:rFonts w:ascii="Times New Roman" w:hAnsi="Times New Roman" w:cs="Times New Roman"/>
          <w:lang w:val="en-US"/>
        </w:rPr>
        <w:t>).</w:t>
      </w:r>
    </w:p>
    <w:p w14:paraId="01BAE3B8" w14:textId="77777777" w:rsidR="000F621F" w:rsidRPr="00D64131" w:rsidRDefault="000F621F" w:rsidP="005E5F3D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</w:p>
    <w:p w14:paraId="22D122BA" w14:textId="5DEA24DC" w:rsidR="000F621F" w:rsidRPr="00D64131" w:rsidRDefault="000F621F" w:rsidP="00D64131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</w:pPr>
      <w:r w:rsidRPr="00D64131">
        <w:rPr>
          <w:rFonts w:ascii="Times New Roman" w:hAnsi="Times New Roman" w:cs="Times New Roman"/>
          <w:b/>
          <w:bCs/>
          <w:lang w:val="en-US"/>
        </w:rPr>
        <w:t xml:space="preserve">Supplemental Figure </w:t>
      </w:r>
      <w:r w:rsidR="00D64131" w:rsidRPr="00D64131">
        <w:rPr>
          <w:rFonts w:ascii="Times New Roman" w:hAnsi="Times New Roman" w:cs="Times New Roman"/>
          <w:b/>
          <w:bCs/>
          <w:lang w:val="en-US"/>
        </w:rPr>
        <w:t>10</w:t>
      </w:r>
      <w:r w:rsidRPr="00D64131">
        <w:rPr>
          <w:rFonts w:ascii="Times New Roman" w:hAnsi="Times New Roman" w:cs="Times New Roman"/>
          <w:lang w:val="en-US"/>
        </w:rPr>
        <w:t xml:space="preserve">. </w:t>
      </w:r>
      <w:r w:rsidRPr="00D64131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 xml:space="preserve">IDE is elevated in postmortem human midbrain tissue from </w:t>
      </w:r>
      <w:proofErr w:type="spellStart"/>
      <w:r w:rsidRPr="00D64131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>iLBD</w:t>
      </w:r>
      <w:proofErr w:type="spellEnd"/>
      <w:r w:rsidRPr="00D64131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t xml:space="preserve"> and PD </w:t>
      </w:r>
      <w:r w:rsidRPr="00D64131">
        <w:rPr>
          <w:rFonts w:ascii="Times New Roman" w:hAnsi="Times New Roman" w:cs="Times New Roman"/>
          <w:lang w:val="en-US"/>
        </w:rPr>
        <w:t xml:space="preserve">Representative immunohistochemical images quantifying IDE in postmortem </w:t>
      </w:r>
      <w:proofErr w:type="spellStart"/>
      <w:r w:rsidRPr="00D64131">
        <w:rPr>
          <w:rFonts w:ascii="Times New Roman" w:hAnsi="Times New Roman" w:cs="Times New Roman"/>
          <w:lang w:val="en-US"/>
        </w:rPr>
        <w:t>SNc</w:t>
      </w:r>
      <w:proofErr w:type="spellEnd"/>
      <w:r w:rsidRPr="00D64131">
        <w:rPr>
          <w:rFonts w:ascii="Times New Roman" w:hAnsi="Times New Roman" w:cs="Times New Roman"/>
          <w:lang w:val="en-US"/>
        </w:rPr>
        <w:t xml:space="preserve"> sections from a PD case compared to a control case (scale bar: </w:t>
      </w:r>
      <w:r w:rsidR="00C53CFC" w:rsidRPr="00D64131">
        <w:rPr>
          <w:rFonts w:ascii="Times New Roman" w:hAnsi="Times New Roman" w:cs="Times New Roman"/>
          <w:lang w:val="en-US"/>
        </w:rPr>
        <w:t>3</w:t>
      </w:r>
      <w:r w:rsidRPr="00D64131">
        <w:rPr>
          <w:rFonts w:ascii="Times New Roman" w:hAnsi="Times New Roman" w:cs="Times New Roman"/>
          <w:lang w:val="en-US"/>
        </w:rPr>
        <w:t xml:space="preserve">0 </w:t>
      </w:r>
      <w:r w:rsidRPr="00D64131">
        <w:rPr>
          <w:rFonts w:ascii="Times New Roman" w:hAnsi="Times New Roman" w:cs="Times New Roman"/>
          <w:lang w:val="en-US"/>
        </w:rPr>
        <w:sym w:font="Symbol" w:char="F06D"/>
      </w:r>
      <w:r w:rsidRPr="00D64131">
        <w:rPr>
          <w:rFonts w:ascii="Times New Roman" w:hAnsi="Times New Roman" w:cs="Times New Roman"/>
          <w:lang w:val="en-US"/>
        </w:rPr>
        <w:t>m).</w:t>
      </w:r>
    </w:p>
    <w:p w14:paraId="7FCEE9E7" w14:textId="77777777" w:rsidR="000F621F" w:rsidRDefault="000F621F" w:rsidP="000F621F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</w:p>
    <w:p w14:paraId="7D9F8159" w14:textId="42C6C115" w:rsidR="000F621F" w:rsidRPr="00D64131" w:rsidRDefault="000F621F" w:rsidP="000F621F">
      <w:pPr>
        <w:pStyle w:val="StandardWeb"/>
        <w:spacing w:before="0" w:beforeAutospacing="0" w:after="0" w:afterAutospacing="0" w:line="480" w:lineRule="auto"/>
        <w:jc w:val="both"/>
        <w:rPr>
          <w:b/>
          <w:bCs/>
          <w:lang w:val="en-US"/>
        </w:rPr>
      </w:pPr>
      <w:r w:rsidRPr="000F621F">
        <w:rPr>
          <w:b/>
          <w:bCs/>
          <w:lang w:val="en-US"/>
        </w:rPr>
        <w:t xml:space="preserve">Supplemental Figure </w:t>
      </w:r>
      <w:r w:rsidR="00D64131">
        <w:rPr>
          <w:b/>
          <w:bCs/>
          <w:lang w:val="en-US"/>
        </w:rPr>
        <w:t>11</w:t>
      </w:r>
      <w:r>
        <w:rPr>
          <w:b/>
          <w:bCs/>
          <w:lang w:val="en-US"/>
        </w:rPr>
        <w:t xml:space="preserve">. </w:t>
      </w:r>
      <w:r w:rsidR="00D64131">
        <w:rPr>
          <w:b/>
          <w:bCs/>
          <w:lang w:val="en-US"/>
        </w:rPr>
        <w:t xml:space="preserve"> </w:t>
      </w:r>
      <w:r w:rsidRPr="00B00B9E">
        <w:rPr>
          <w:b/>
          <w:bCs/>
        </w:rPr>
        <w:t xml:space="preserve">Collection </w:t>
      </w:r>
      <w:proofErr w:type="spellStart"/>
      <w:r w:rsidRPr="00B00B9E">
        <w:rPr>
          <w:b/>
          <w:bCs/>
        </w:rPr>
        <w:t>of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unprocessed</w:t>
      </w:r>
      <w:proofErr w:type="spellEnd"/>
      <w:r w:rsidRPr="00B00B9E">
        <w:rPr>
          <w:b/>
          <w:bCs/>
        </w:rPr>
        <w:t xml:space="preserve"> Western </w:t>
      </w:r>
      <w:proofErr w:type="spellStart"/>
      <w:r w:rsidRPr="00B00B9E">
        <w:rPr>
          <w:b/>
          <w:bCs/>
        </w:rPr>
        <w:t>blot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images</w:t>
      </w:r>
      <w:proofErr w:type="spellEnd"/>
      <w:r w:rsidRPr="00B00B9E">
        <w:rPr>
          <w:b/>
          <w:bCs/>
        </w:rPr>
        <w:t xml:space="preserve">, </w:t>
      </w:r>
      <w:proofErr w:type="spellStart"/>
      <w:r w:rsidRPr="00B00B9E">
        <w:rPr>
          <w:b/>
          <w:bCs/>
        </w:rPr>
        <w:t>with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annotations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indicating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the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corresponding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figures</w:t>
      </w:r>
      <w:proofErr w:type="spellEnd"/>
      <w:r w:rsidRPr="00B00B9E">
        <w:rPr>
          <w:b/>
          <w:bCs/>
        </w:rPr>
        <w:t xml:space="preserve"> in </w:t>
      </w:r>
      <w:proofErr w:type="spellStart"/>
      <w:r w:rsidRPr="00B00B9E">
        <w:rPr>
          <w:b/>
          <w:bCs/>
        </w:rPr>
        <w:t>the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main</w:t>
      </w:r>
      <w:proofErr w:type="spellEnd"/>
      <w:r w:rsidRPr="00B00B9E">
        <w:rPr>
          <w:b/>
          <w:bCs/>
        </w:rPr>
        <w:t xml:space="preserve"> </w:t>
      </w:r>
      <w:proofErr w:type="spellStart"/>
      <w:r w:rsidRPr="00B00B9E">
        <w:rPr>
          <w:b/>
          <w:bCs/>
        </w:rPr>
        <w:t>manuscript</w:t>
      </w:r>
      <w:proofErr w:type="spellEnd"/>
      <w:r w:rsidRPr="00B00B9E">
        <w:rPr>
          <w:b/>
          <w:bCs/>
        </w:rPr>
        <w:t>.</w:t>
      </w:r>
    </w:p>
    <w:p w14:paraId="3DB7DD7F" w14:textId="77777777" w:rsidR="00B00B9E" w:rsidRDefault="00B00B9E" w:rsidP="000F621F">
      <w:pPr>
        <w:pStyle w:val="StandardWeb"/>
        <w:spacing w:before="0" w:beforeAutospacing="0" w:after="0" w:afterAutospacing="0" w:line="480" w:lineRule="auto"/>
        <w:jc w:val="both"/>
        <w:rPr>
          <w:b/>
          <w:bCs/>
        </w:rPr>
      </w:pPr>
    </w:p>
    <w:p w14:paraId="1B55DA93" w14:textId="77777777" w:rsidR="006A03E9" w:rsidRPr="003A571B" w:rsidRDefault="006A03E9" w:rsidP="00C71AE4">
      <w:pPr>
        <w:pStyle w:val="StandardWeb"/>
        <w:spacing w:before="0" w:beforeAutospacing="0" w:after="0" w:afterAutospacing="0" w:line="480" w:lineRule="auto"/>
        <w:jc w:val="both"/>
        <w:rPr>
          <w:lang w:val="en-US"/>
        </w:rPr>
      </w:pPr>
    </w:p>
    <w:p w14:paraId="102D70BD" w14:textId="0F9DBB91" w:rsidR="006B6361" w:rsidRPr="004900CF" w:rsidRDefault="003C1195" w:rsidP="004900CF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AU"/>
        </w:rPr>
      </w:pPr>
      <w:r w:rsidRPr="004900CF">
        <w:rPr>
          <w:rFonts w:ascii="Times New Roman" w:hAnsi="Times New Roman" w:cs="Times New Roman"/>
          <w:b/>
          <w:bCs/>
          <w:sz w:val="28"/>
          <w:szCs w:val="28"/>
          <w:lang w:val="en-AU"/>
        </w:rPr>
        <w:t>2</w:t>
      </w:r>
      <w:r w:rsidR="006B6361" w:rsidRPr="004900CF">
        <w:rPr>
          <w:rFonts w:ascii="Times New Roman" w:hAnsi="Times New Roman" w:cs="Times New Roman"/>
          <w:b/>
          <w:bCs/>
          <w:sz w:val="28"/>
          <w:szCs w:val="28"/>
          <w:lang w:val="en-AU"/>
        </w:rPr>
        <w:t xml:space="preserve">. Supplemental Tables: </w:t>
      </w:r>
    </w:p>
    <w:p w14:paraId="377BF651" w14:textId="6CA322BE" w:rsidR="004900CF" w:rsidRDefault="004900CF" w:rsidP="004900CF">
      <w:pPr>
        <w:spacing w:line="480" w:lineRule="auto"/>
        <w:jc w:val="both"/>
        <w:rPr>
          <w:rStyle w:val="Fett"/>
          <w:rFonts w:ascii="Times New Roman" w:eastAsiaTheme="majorEastAsia" w:hAnsi="Times New Roman" w:cs="Times New Roman"/>
          <w:lang w:val="en-GB"/>
        </w:rPr>
      </w:pPr>
      <w:r w:rsidRPr="004900CF">
        <w:rPr>
          <w:rStyle w:val="Fett"/>
          <w:rFonts w:ascii="Times New Roman" w:eastAsiaTheme="majorEastAsia" w:hAnsi="Times New Roman" w:cs="Times New Roman"/>
          <w:lang w:val="en-GB"/>
        </w:rPr>
        <w:t>Supplementa</w:t>
      </w:r>
      <w:r w:rsidR="00D64131">
        <w:rPr>
          <w:rStyle w:val="Fett"/>
          <w:rFonts w:ascii="Times New Roman" w:eastAsiaTheme="majorEastAsia" w:hAnsi="Times New Roman" w:cs="Times New Roman"/>
          <w:lang w:val="en-GB"/>
        </w:rPr>
        <w:t>l</w:t>
      </w:r>
      <w:r w:rsidRPr="004900CF">
        <w:rPr>
          <w:rStyle w:val="Fett"/>
          <w:rFonts w:ascii="Times New Roman" w:eastAsiaTheme="majorEastAsia" w:hAnsi="Times New Roman" w:cs="Times New Roman"/>
          <w:lang w:val="en-GB"/>
        </w:rPr>
        <w:t xml:space="preserve"> Table </w:t>
      </w:r>
      <w:r>
        <w:rPr>
          <w:rStyle w:val="Fett"/>
          <w:rFonts w:ascii="Times New Roman" w:eastAsiaTheme="majorEastAsia" w:hAnsi="Times New Roman" w:cs="Times New Roman"/>
          <w:lang w:val="en-GB"/>
        </w:rPr>
        <w:t xml:space="preserve">1: </w:t>
      </w:r>
      <w:r w:rsidRPr="004900CF">
        <w:rPr>
          <w:rStyle w:val="Fett"/>
          <w:rFonts w:ascii="Times New Roman" w:eastAsiaTheme="majorEastAsia" w:hAnsi="Times New Roman" w:cs="Times New Roman"/>
          <w:b w:val="0"/>
          <w:bCs w:val="0"/>
          <w:lang w:val="en-GB"/>
        </w:rPr>
        <w:t>Characteristics of human tissue donor sources, including experiment details, cohort, brain bank, sex, age (years), post-mortem interval (PMI), cause of death, and additional information.</w:t>
      </w:r>
    </w:p>
    <w:p w14:paraId="4589A179" w14:textId="77777777" w:rsidR="004900CF" w:rsidRDefault="004900CF" w:rsidP="004900CF">
      <w:pPr>
        <w:spacing w:line="480" w:lineRule="auto"/>
        <w:rPr>
          <w:rStyle w:val="Fett"/>
          <w:rFonts w:ascii="Times New Roman" w:eastAsiaTheme="majorEastAsia" w:hAnsi="Times New Roman" w:cs="Times New Roman"/>
          <w:lang w:val="en-GB"/>
        </w:rPr>
      </w:pPr>
    </w:p>
    <w:p w14:paraId="213A0C49" w14:textId="20112160" w:rsidR="004900CF" w:rsidRDefault="004900CF" w:rsidP="004900CF">
      <w:pPr>
        <w:spacing w:line="480" w:lineRule="auto"/>
        <w:rPr>
          <w:rFonts w:ascii="Times New Roman" w:hAnsi="Times New Roman" w:cs="Times New Roman"/>
          <w:lang w:val="en-GB"/>
        </w:rPr>
      </w:pPr>
      <w:r w:rsidRPr="004900CF">
        <w:rPr>
          <w:rStyle w:val="Fett"/>
          <w:rFonts w:ascii="Times New Roman" w:eastAsiaTheme="majorEastAsia" w:hAnsi="Times New Roman" w:cs="Times New Roman"/>
          <w:lang w:val="en-GB"/>
        </w:rPr>
        <w:t>Supplementa</w:t>
      </w:r>
      <w:r w:rsidR="00D64131">
        <w:rPr>
          <w:rStyle w:val="Fett"/>
          <w:rFonts w:ascii="Times New Roman" w:eastAsiaTheme="majorEastAsia" w:hAnsi="Times New Roman" w:cs="Times New Roman"/>
          <w:lang w:val="en-GB"/>
        </w:rPr>
        <w:t xml:space="preserve">l </w:t>
      </w:r>
      <w:r w:rsidRPr="004900CF">
        <w:rPr>
          <w:rStyle w:val="Fett"/>
          <w:rFonts w:ascii="Times New Roman" w:eastAsiaTheme="majorEastAsia" w:hAnsi="Times New Roman" w:cs="Times New Roman"/>
          <w:lang w:val="en-GB"/>
        </w:rPr>
        <w:t>Table 2</w:t>
      </w:r>
      <w:r>
        <w:rPr>
          <w:rStyle w:val="Fett"/>
          <w:rFonts w:ascii="Times New Roman" w:eastAsiaTheme="majorEastAsia" w:hAnsi="Times New Roman" w:cs="Times New Roman"/>
          <w:lang w:val="en-GB"/>
        </w:rPr>
        <w:t>:</w:t>
      </w:r>
      <w:r w:rsidRPr="004900CF">
        <w:rPr>
          <w:rStyle w:val="Fett"/>
          <w:rFonts w:ascii="Times New Roman" w:eastAsiaTheme="majorEastAsia" w:hAnsi="Times New Roman" w:cs="Times New Roman"/>
          <w:lang w:val="en-GB"/>
        </w:rPr>
        <w:t xml:space="preserve"> </w:t>
      </w:r>
      <w:r w:rsidRPr="004900CF">
        <w:rPr>
          <w:rFonts w:ascii="Times New Roman" w:hAnsi="Times New Roman" w:cs="Times New Roman"/>
          <w:lang w:val="en-GB"/>
        </w:rPr>
        <w:t>Antibodies and reagents used for Western blot and IHC analysis</w:t>
      </w:r>
    </w:p>
    <w:p w14:paraId="4F2E441D" w14:textId="77777777" w:rsidR="00D64131" w:rsidRDefault="00D64131" w:rsidP="004900CF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0EE5F030" w14:textId="2A89F8EA" w:rsidR="00D64131" w:rsidRDefault="00D64131" w:rsidP="004900CF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D64131">
        <w:rPr>
          <w:rFonts w:ascii="Times New Roman" w:hAnsi="Times New Roman" w:cs="Times New Roman"/>
          <w:b/>
          <w:bCs/>
          <w:lang w:val="en-GB"/>
        </w:rPr>
        <w:t>Supplemental Table 3</w:t>
      </w:r>
      <w:r>
        <w:rPr>
          <w:rFonts w:ascii="Times New Roman" w:hAnsi="Times New Roman" w:cs="Times New Roman"/>
          <w:lang w:val="en-GB"/>
        </w:rPr>
        <w:t>: raw data from mass spec analysis</w:t>
      </w:r>
    </w:p>
    <w:p w14:paraId="652D3E2A" w14:textId="77777777" w:rsidR="004900CF" w:rsidRDefault="004900CF" w:rsidP="004900CF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40AB604" w14:textId="77777777" w:rsidR="004900CF" w:rsidRDefault="004900CF" w:rsidP="004900CF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5AB1F27A" w14:textId="77777777" w:rsidR="004900CF" w:rsidRPr="004900CF" w:rsidRDefault="004900CF" w:rsidP="004900CF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16A7321A" w14:textId="4AF6107B" w:rsidR="004900CF" w:rsidRPr="004900CF" w:rsidRDefault="004900CF" w:rsidP="004900CF">
      <w:pPr>
        <w:pStyle w:val="StandardWeb"/>
        <w:spacing w:before="0" w:beforeAutospacing="0" w:after="0" w:afterAutospacing="0" w:line="480" w:lineRule="auto"/>
        <w:jc w:val="both"/>
        <w:rPr>
          <w:rStyle w:val="Fett"/>
          <w:rFonts w:eastAsiaTheme="majorEastAsia"/>
          <w:lang w:val="en-GB"/>
        </w:rPr>
      </w:pPr>
    </w:p>
    <w:p w14:paraId="1C16BEE2" w14:textId="30A3E439" w:rsidR="0079791B" w:rsidRPr="004900CF" w:rsidRDefault="0079791B" w:rsidP="004900CF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sectPr w:rsidR="0079791B" w:rsidRPr="004900CF" w:rsidSect="004402E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DA"/>
    <w:rsid w:val="00001818"/>
    <w:rsid w:val="00094DBC"/>
    <w:rsid w:val="000D7ADA"/>
    <w:rsid w:val="000F621F"/>
    <w:rsid w:val="000F6681"/>
    <w:rsid w:val="00104AB0"/>
    <w:rsid w:val="001F3E96"/>
    <w:rsid w:val="00271A67"/>
    <w:rsid w:val="002B4986"/>
    <w:rsid w:val="003467C3"/>
    <w:rsid w:val="003A571B"/>
    <w:rsid w:val="003C1195"/>
    <w:rsid w:val="00406CDE"/>
    <w:rsid w:val="004402EE"/>
    <w:rsid w:val="00451B2C"/>
    <w:rsid w:val="004900CF"/>
    <w:rsid w:val="004910E3"/>
    <w:rsid w:val="00491BB8"/>
    <w:rsid w:val="004A5AD2"/>
    <w:rsid w:val="004B481E"/>
    <w:rsid w:val="004D419F"/>
    <w:rsid w:val="005E2ACC"/>
    <w:rsid w:val="005E5F3D"/>
    <w:rsid w:val="00634ADC"/>
    <w:rsid w:val="006509E0"/>
    <w:rsid w:val="00677210"/>
    <w:rsid w:val="00692270"/>
    <w:rsid w:val="006A03E9"/>
    <w:rsid w:val="006B6361"/>
    <w:rsid w:val="006E7CE6"/>
    <w:rsid w:val="0079791B"/>
    <w:rsid w:val="007C6D81"/>
    <w:rsid w:val="007F2D7D"/>
    <w:rsid w:val="007F6256"/>
    <w:rsid w:val="00837200"/>
    <w:rsid w:val="008848A6"/>
    <w:rsid w:val="008C4F9B"/>
    <w:rsid w:val="00903649"/>
    <w:rsid w:val="00926597"/>
    <w:rsid w:val="00941D5D"/>
    <w:rsid w:val="00A94DE8"/>
    <w:rsid w:val="00AC446B"/>
    <w:rsid w:val="00AC44D7"/>
    <w:rsid w:val="00AE3CD2"/>
    <w:rsid w:val="00AF789E"/>
    <w:rsid w:val="00B00B9E"/>
    <w:rsid w:val="00B06E77"/>
    <w:rsid w:val="00B72A01"/>
    <w:rsid w:val="00BB121B"/>
    <w:rsid w:val="00C53CFC"/>
    <w:rsid w:val="00C71AE4"/>
    <w:rsid w:val="00CF482A"/>
    <w:rsid w:val="00D64131"/>
    <w:rsid w:val="00D8489B"/>
    <w:rsid w:val="00DA1BDB"/>
    <w:rsid w:val="00DF79F5"/>
    <w:rsid w:val="00E37895"/>
    <w:rsid w:val="00F265A4"/>
    <w:rsid w:val="00F436A2"/>
    <w:rsid w:val="00FD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BE96"/>
  <w15:chartTrackingRefBased/>
  <w15:docId w15:val="{180768FD-BDB2-DF4E-BCEA-C718B1D1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D7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7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7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7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7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7A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7A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7A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7A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7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7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7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7AD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7AD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7A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7A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7A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7A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D7A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7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7A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7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7A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7AD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D7AD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D7AD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7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7AD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D7AD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D7ADA"/>
    <w:rPr>
      <w:rFonts w:eastAsiaTheme="minorEastAsia"/>
      <w:kern w:val="0"/>
      <w:sz w:val="22"/>
      <w:szCs w:val="22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uiPriority w:val="1"/>
    <w:qFormat/>
    <w:rsid w:val="000D7ADA"/>
    <w:pPr>
      <w:widowControl w:val="0"/>
      <w:autoSpaceDE w:val="0"/>
      <w:autoSpaceDN w:val="0"/>
      <w:spacing w:line="230" w:lineRule="exact"/>
      <w:ind w:left="4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7979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79791B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979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791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791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979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9791B"/>
    <w:rPr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4B481E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CE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CE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rsid w:val="000F621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Köglsperger</dc:creator>
  <cp:keywords/>
  <dc:description/>
  <cp:lastModifiedBy>Thomas Köglsperger</cp:lastModifiedBy>
  <cp:revision>19</cp:revision>
  <dcterms:created xsi:type="dcterms:W3CDTF">2025-06-30T08:53:00Z</dcterms:created>
  <dcterms:modified xsi:type="dcterms:W3CDTF">2026-03-31T08:41:00Z</dcterms:modified>
</cp:coreProperties>
</file>