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eastAsia="Times New Roman"/>
          <w:b/>
          <w:sz w:val="24"/>
        </w:rPr>
        <w:t>Annex C. Financial Accelerator</w:t>
      </w:r>
    </w:p>
    <w:p>
      <w:pPr>
        <w:spacing w:before="140" w:after="80"/>
      </w:pPr>
      <w:r>
        <w:rPr>
          <w:rFonts w:ascii="Times New Roman" w:hAnsi="Times New Roman" w:eastAsia="Times New Roman"/>
          <w:b/>
          <w:sz w:val="24"/>
        </w:rPr>
        <w:t>The purpose of the annex</w:t>
      </w:r>
    </w:p>
    <w:p>
      <w:pPr>
        <w:spacing w:after="100" w:line="252" w:lineRule="auto"/>
        <w:jc w:val="both"/>
      </w:pPr>
      <w:r>
        <w:rPr>
          <w:rFonts w:ascii="Times New Roman" w:hAnsi="Times New Roman" w:eastAsia="Times New Roman"/>
          <w:b w:val="0"/>
          <w:i w:val="0"/>
          <w:sz w:val="24"/>
        </w:rPr>
        <w:t>Annex C documents the evidence on the financial accelerator. The goal is not to claim complete structural identification, but to assess whether the data support a financial channel that can amplify the investment cycle.</w:t>
      </w:r>
    </w:p>
    <w:p>
      <w:pPr>
        <w:spacing w:before="140" w:after="80"/>
      </w:pPr>
      <w:r>
        <w:rPr>
          <w:rFonts w:ascii="Times New Roman" w:hAnsi="Times New Roman" w:eastAsia="Times New Roman"/>
          <w:b/>
          <w:sz w:val="24"/>
        </w:rPr>
        <w:t>Theoretical framework</w:t>
      </w:r>
    </w:p>
    <w:p>
      <w:pPr>
        <w:spacing w:after="100" w:line="252" w:lineRule="auto"/>
        <w:jc w:val="both"/>
      </w:pPr>
      <w:r>
        <w:rPr>
          <w:rFonts w:ascii="Times New Roman" w:hAnsi="Times New Roman" w:eastAsia="Times New Roman"/>
          <w:b w:val="0"/>
          <w:i w:val="0"/>
          <w:sz w:val="24"/>
        </w:rPr>
        <w:t>Bernanke and Gertler (1989), Bernanke, Gertler and Gilchrist (1999) and Kiyotaki and Moore (1997) relate investment to balance sheets, collateral, net worth and the external funding premium. When balance sheets weaken, the external financing cost rises and investment may fall more than the initial shock alone would suggest.</w:t>
      </w:r>
    </w:p>
    <w:p>
      <w:pPr>
        <w:spacing w:before="140" w:after="80"/>
      </w:pPr>
      <w:r>
        <w:rPr>
          <w:rFonts w:ascii="Times New Roman" w:hAnsi="Times New Roman" w:eastAsia="Times New Roman"/>
          <w:b/>
          <w:sz w:val="24"/>
        </w:rPr>
        <w:t>Empirical specification</w:t>
      </w:r>
    </w:p>
    <w:p>
      <w:pPr>
        <w:spacing w:after="100" w:line="252" w:lineRule="auto"/>
        <w:jc w:val="both"/>
      </w:pPr>
      <w:r>
        <w:rPr>
          <w:rFonts w:ascii="Times New Roman" w:hAnsi="Times New Roman" w:eastAsia="Times New Roman"/>
          <w:b w:val="0"/>
          <w:i w:val="0"/>
          <w:sz w:val="24"/>
        </w:rPr>
        <w:t>Due to the lack of micro data on net worth, collateral and bank capital, the annex uses macro-financial proxies: spreads, credit-to-GDP ratios and shock dummies 2008-09, 2020 and 2022. These do not fully identify the mechanism, but test its macroeconomic coherence.</w:t>
      </w:r>
    </w:p>
    <w:p>
      <w:pPr>
        <w:spacing w:before="140" w:after="80"/>
      </w:pPr>
      <w:r>
        <w:rPr>
          <w:rFonts w:ascii="Times New Roman" w:hAnsi="Times New Roman" w:eastAsia="Times New Roman"/>
          <w:b/>
          <w:sz w:val="24"/>
        </w:rPr>
        <w:t>Interpretation of results</w:t>
      </w:r>
    </w:p>
    <w:p>
      <w:pPr>
        <w:spacing w:after="100" w:line="252" w:lineRule="auto"/>
        <w:jc w:val="both"/>
      </w:pPr>
      <w:r>
        <w:rPr>
          <w:rFonts w:ascii="Times New Roman" w:hAnsi="Times New Roman" w:eastAsia="Times New Roman"/>
          <w:b w:val="0"/>
          <w:i/>
          <w:sz w:val="20"/>
        </w:rPr>
        <w:t>Table `FA_Decision` presents the decision criteria for the financial accelerator. The evidence supports the existence of a financial channel, but not the strong claim that the financial accelerator has been fully proven. This limitation is part of the scientific result, not a hidden weakness of the model.</w:t>
      </w:r>
    </w:p>
    <w:p>
      <w:pPr>
        <w:spacing w:before="140" w:after="80"/>
      </w:pPr>
      <w:r>
        <w:rPr>
          <w:rFonts w:ascii="Times New Roman" w:hAnsi="Times New Roman" w:eastAsia="Times New Roman"/>
          <w:b/>
          <w:sz w:val="24"/>
        </w:rPr>
        <w:t>Limitations and resources</w:t>
      </w:r>
    </w:p>
    <w:p>
      <w:pPr>
        <w:spacing w:after="100" w:line="252" w:lineRule="auto"/>
        <w:jc w:val="both"/>
      </w:pPr>
      <w:r>
        <w:rPr>
          <w:rFonts w:ascii="Times New Roman" w:hAnsi="Times New Roman" w:eastAsia="Times New Roman"/>
          <w:b w:val="0"/>
          <w:i/>
          <w:sz w:val="20"/>
        </w:rPr>
        <w:t>Source: author's calculations on a harmonized empirical basis. A more robust assessment requires data on firms' balance sheets, collateral, asset prices, bank capital and non-performing loans.</w:t>
      </w:r>
    </w:p>
    <w:p>
      <w:pPr>
        <w:spacing w:before="140" w:after="80"/>
      </w:pPr>
      <w:r>
        <w:rPr>
          <w:rFonts w:ascii="Times New Roman" w:hAnsi="Times New Roman" w:eastAsia="Times New Roman"/>
          <w:b/>
          <w:sz w:val="24"/>
        </w:rPr>
        <w:t>Raw data and supporting tables</w:t>
      </w:r>
    </w:p>
    <w:p>
      <w:pPr>
        <w:spacing w:after="100" w:line="252" w:lineRule="auto"/>
        <w:jc w:val="both"/>
      </w:pPr>
      <w:r>
        <w:rPr>
          <w:rFonts w:ascii="Times New Roman" w:hAnsi="Times New Roman" w:eastAsia="Times New Roman"/>
          <w:b w:val="0"/>
          <w:i w:val="0"/>
          <w:sz w:val="24"/>
        </w:rPr>
        <w:t>The complete table for this annex is stored in the supplementary material `Annex_C_raw_financial_accelerator.csv`. For readability reasons, DOCX presents a limited view of rows and columns; CSV stores the entire numeric base for verification.</w:t>
      </w:r>
    </w:p>
    <w:p>
      <w:pPr>
        <w:spacing w:after="100" w:line="252" w:lineRule="auto"/>
        <w:jc w:val="both"/>
      </w:pPr>
      <w:r>
        <w:rPr>
          <w:rFonts w:ascii="Times New Roman" w:hAnsi="Times New Roman" w:eastAsia="Times New Roman"/>
          <w:b w:val="0"/>
          <w:i/>
          <w:sz w:val="24"/>
        </w:rPr>
        <w:t>Table. Summary view of the gross data of the annex.</w:t>
      </w:r>
    </w:p>
    <w:tbl>
      <w:tblPr>
        <w:tblW w:type="auto" w:w="0"/>
        <w:jc w:val="center"/>
        <w:tblLayout w:type="autofit"/>
        <w:tblLook w:firstColumn="1" w:firstRow="1" w:lastColumn="0" w:lastRow="0" w:noHBand="0" w:noVBand="1" w:val="04A0"/>
        <w:tblBorders>
          <w:top w:val="single" w:sz="4" w:space="0" w:color="B8B8B8"/>
          <w:left w:val="single" w:sz="4" w:space="0" w:color="B8B8B8"/>
          <w:bottom w:val="single" w:sz="4" w:space="0" w:color="B8B8B8"/>
          <w:right w:val="single" w:sz="4" w:space="0" w:color="B8B8B8"/>
          <w:insideH w:val="single" w:sz="4" w:space="0" w:color="B8B8B8"/>
          <w:insideV w:val="single" w:sz="4" w:space="0" w:color="B8B8B8"/>
        </w:tblBorders>
      </w:tblPr>
      <w:tblGrid>
        <w:gridCol w:w="1746"/>
        <w:gridCol w:w="1746"/>
        <w:gridCol w:w="1746"/>
        <w:gridCol w:w="1746"/>
        <w:gridCol w:w="1746"/>
        <w:gridCol w:w="1746"/>
        <w:gridCol w:w="1746"/>
        <w:gridCol w:w="1746"/>
      </w:tblGrid>
      <w:tr>
        <w:trPr>
          <w:tblHeader w:val="true"/>
        </w:trPr>
        <w:tc>
          <w:tcPr>
            <w:tcW w:type="dxa" w:w="1746"/>
            <w:vAlign w:val="center"/>
            <w:tcMar>
              <w:top w:w="80" w:type="dxa"/>
              <w:start w:w="90" w:type="dxa"/>
              <w:bottom w:w="80" w:type="dxa"/>
              <w:end w:w="90" w:type="dxa"/>
            </w:tcMar>
            <w:shd w:fill="EDEDED"/>
          </w:tcPr>
          <w:p>
            <w:pPr>
              <w:spacing w:before="0" w:after="40"/>
              <w:jc w:val="center"/>
            </w:pPr>
            <w:r>
              <w:rPr>
                <w:rFonts w:ascii="Times New Roman" w:hAnsi="Times New Roman" w:eastAsia="Times New Roman"/>
                <w:b/>
                <w:sz w:val="20"/>
              </w:rPr>
              <w:t>dated</w:t>
            </w:r>
          </w:p>
        </w:tc>
        <w:tc>
          <w:tcPr>
            <w:tcW w:type="dxa" w:w="1746"/>
            <w:vAlign w:val="center"/>
            <w:tcMar>
              <w:top w:w="80" w:type="dxa"/>
              <w:start w:w="90" w:type="dxa"/>
              <w:bottom w:w="80" w:type="dxa"/>
              <w:end w:w="90" w:type="dxa"/>
            </w:tcMar>
            <w:shd w:fill="EDEDED"/>
          </w:tcPr>
          <w:p>
            <w:pPr>
              <w:spacing w:before="0" w:after="40"/>
              <w:jc w:val="center"/>
            </w:pPr>
            <w:r>
              <w:rPr>
                <w:rFonts w:ascii="Times New Roman" w:hAnsi="Times New Roman" w:eastAsia="Times New Roman"/>
                <w:b/>
                <w:sz w:val="20"/>
              </w:rPr>
              <w:t>LGFCF</w:t>
            </w:r>
          </w:p>
        </w:tc>
        <w:tc>
          <w:tcPr>
            <w:tcW w:type="dxa" w:w="1746"/>
            <w:vAlign w:val="center"/>
            <w:tcMar>
              <w:top w:w="80" w:type="dxa"/>
              <w:start w:w="90" w:type="dxa"/>
              <w:bottom w:w="80" w:type="dxa"/>
              <w:end w:w="90" w:type="dxa"/>
            </w:tcMar>
            <w:shd w:fill="EDEDED"/>
          </w:tcPr>
          <w:p>
            <w:pPr>
              <w:spacing w:before="0" w:after="40"/>
              <w:jc w:val="center"/>
            </w:pPr>
            <w:r>
              <w:rPr>
                <w:rFonts w:ascii="Times New Roman" w:hAnsi="Times New Roman" w:eastAsia="Times New Roman"/>
                <w:b/>
                <w:sz w:val="20"/>
              </w:rPr>
              <w:t>LGDP</w:t>
            </w:r>
          </w:p>
        </w:tc>
        <w:tc>
          <w:tcPr>
            <w:tcW w:type="dxa" w:w="1746"/>
            <w:vAlign w:val="center"/>
            <w:tcMar>
              <w:top w:w="80" w:type="dxa"/>
              <w:start w:w="90" w:type="dxa"/>
              <w:bottom w:w="80" w:type="dxa"/>
              <w:end w:w="90" w:type="dxa"/>
            </w:tcMar>
            <w:shd w:fill="EDEDED"/>
          </w:tcPr>
          <w:p>
            <w:pPr>
              <w:spacing w:before="0" w:after="40"/>
              <w:jc w:val="center"/>
            </w:pPr>
            <w:r>
              <w:rPr>
                <w:rFonts w:ascii="Times New Roman" w:hAnsi="Times New Roman" w:eastAsia="Times New Roman"/>
                <w:b/>
                <w:sz w:val="20"/>
              </w:rPr>
              <w:t>spread_all_12m</w:t>
            </w:r>
          </w:p>
        </w:tc>
        <w:tc>
          <w:tcPr>
            <w:tcW w:type="dxa" w:w="1746"/>
            <w:vAlign w:val="center"/>
            <w:tcMar>
              <w:top w:w="80" w:type="dxa"/>
              <w:start w:w="90" w:type="dxa"/>
              <w:bottom w:w="80" w:type="dxa"/>
              <w:end w:w="90" w:type="dxa"/>
            </w:tcMar>
            <w:shd w:fill="EDEDED"/>
          </w:tcPr>
          <w:p>
            <w:pPr>
              <w:spacing w:before="0" w:after="40"/>
              <w:jc w:val="center"/>
            </w:pPr>
            <w:r>
              <w:rPr>
                <w:rFonts w:ascii="Times New Roman" w:hAnsi="Times New Roman" w:eastAsia="Times New Roman"/>
                <w:b/>
                <w:sz w:val="20"/>
              </w:rPr>
              <w:t>spread_eur_euribor_12m</w:t>
            </w:r>
          </w:p>
        </w:tc>
        <w:tc>
          <w:tcPr>
            <w:tcW w:type="dxa" w:w="1746"/>
            <w:vAlign w:val="center"/>
            <w:tcMar>
              <w:top w:w="80" w:type="dxa"/>
              <w:start w:w="90" w:type="dxa"/>
              <w:bottom w:w="80" w:type="dxa"/>
              <w:end w:w="90" w:type="dxa"/>
            </w:tcMar>
            <w:shd w:fill="EDEDED"/>
          </w:tcPr>
          <w:p>
            <w:pPr>
              <w:spacing w:before="0" w:after="40"/>
              <w:jc w:val="center"/>
            </w:pPr>
            <w:r>
              <w:rPr>
                <w:rFonts w:ascii="Times New Roman" w:hAnsi="Times New Roman" w:eastAsia="Times New Roman"/>
                <w:b/>
                <w:sz w:val="20"/>
              </w:rPr>
              <w:t>credit_business_gdp</w:t>
            </w:r>
          </w:p>
        </w:tc>
        <w:tc>
          <w:tcPr>
            <w:tcW w:type="dxa" w:w="1746"/>
            <w:vAlign w:val="center"/>
            <w:tcMar>
              <w:top w:w="80" w:type="dxa"/>
              <w:start w:w="90" w:type="dxa"/>
              <w:bottom w:w="80" w:type="dxa"/>
              <w:end w:w="90" w:type="dxa"/>
            </w:tcMar>
            <w:shd w:fill="EDEDED"/>
          </w:tcPr>
          <w:p>
            <w:pPr>
              <w:spacing w:before="0" w:after="40"/>
              <w:jc w:val="center"/>
            </w:pPr>
            <w:r>
              <w:rPr>
                <w:rFonts w:ascii="Times New Roman" w:hAnsi="Times New Roman" w:eastAsia="Times New Roman"/>
                <w:b/>
                <w:sz w:val="20"/>
              </w:rPr>
              <w:t>credit_business_all_gdp</w:t>
            </w:r>
          </w:p>
        </w:tc>
        <w:tc>
          <w:tcPr>
            <w:tcW w:type="dxa" w:w="1746"/>
            <w:vAlign w:val="center"/>
            <w:tcMar>
              <w:top w:w="80" w:type="dxa"/>
              <w:start w:w="90" w:type="dxa"/>
              <w:bottom w:w="80" w:type="dxa"/>
              <w:end w:w="90" w:type="dxa"/>
            </w:tcMar>
            <w:shd w:fill="EDEDED"/>
          </w:tcPr>
          <w:p>
            <w:pPr>
              <w:spacing w:before="0" w:after="40"/>
              <w:jc w:val="center"/>
            </w:pPr>
            <w:r>
              <w:rPr>
                <w:rFonts w:ascii="Times New Roman" w:hAnsi="Times New Roman" w:eastAsia="Times New Roman"/>
                <w:b/>
                <w:sz w:val="20"/>
              </w:rPr>
              <w:t>shock_2008_09</w:t>
            </w:r>
          </w:p>
        </w:tc>
      </w:tr>
      <w:tr>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2006Q4</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11.5099</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12.3601</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6.3600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4.0021</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0.5447</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0.1127</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0</w:t>
            </w:r>
          </w:p>
        </w:tc>
      </w:tr>
      <w:tr>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2007Q1</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11.5184</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12.3895</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6.5267</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4.1822</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0.5887</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0.1154</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0</w:t>
            </w:r>
          </w:p>
        </w:tc>
      </w:tr>
      <w:tr>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2007Q2</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11.5255</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12.4127</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5.0900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3.9762</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0.6139</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0.1269</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0</w:t>
            </w:r>
          </w:p>
        </w:tc>
      </w:tr>
      <w:tr>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2007Q3</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11.5327</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12.4519</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5.1367</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3.7918</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0.6327</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0.1307</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0</w:t>
            </w:r>
          </w:p>
        </w:tc>
      </w:tr>
      <w:tr>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2007Q4</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11.5430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12.5007</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5.9233</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3.9777</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0.6779</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0.1330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0</w:t>
            </w:r>
          </w:p>
        </w:tc>
      </w:tr>
      <w:tr>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2008Q1</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11.5539</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12.5173</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4.9500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3.3477</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0.7157</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0.1381</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w:t>
            </w:r>
          </w:p>
        </w:tc>
      </w:tr>
      <w:tr>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2008Q2</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11.5722</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12.5270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4.8167</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3.4352</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0.7850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0.1557</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w:t>
            </w:r>
          </w:p>
        </w:tc>
      </w:tr>
      <w:tr>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2008Q3</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11.5848</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12.5594</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4.5833</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3.0366</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0.8235</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0.1582</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w:t>
            </w:r>
          </w:p>
        </w:tc>
      </w:tr>
      <w:tr>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2008Q4</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11.5946</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12.5683</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4.4900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3.6999</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0.8425</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0.1709</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w:t>
            </w:r>
          </w:p>
        </w:tc>
      </w:tr>
      <w:tr>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2009Q1</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11.5884</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12.5959</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4.8167</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5.4414</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0.8678</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0.1855</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w:t>
            </w:r>
          </w:p>
        </w:tc>
      </w:tr>
      <w:tr>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2009Q2</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11.6383</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12.6070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4.3867</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6.0047</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0.8678</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0.2006</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w:t>
            </w:r>
          </w:p>
        </w:tc>
      </w:tr>
      <w:tr>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2009Q3</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11.5776</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12.5934</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4.0600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6.5909</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0.9118</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0.2318</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w:t>
            </w:r>
          </w:p>
        </w:tc>
      </w:tr>
      <w:tr>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2009Q4</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11.4966</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12.5868</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4.4267</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7.0481</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0.9412</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0.2404</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w:t>
            </w:r>
          </w:p>
        </w:tc>
      </w:tr>
      <w:tr>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2010Q1</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11.4937</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12.6330</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4.6467</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6.2892</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0.9252</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0.2363</w:t>
            </w:r>
          </w:p>
        </w:tc>
        <w:tc>
          <w:tcPr>
            <w:tcW w:type="dxa" w:w="1746"/>
            <w:vAlign w:val="center"/>
            <w:tcMar>
              <w:top w:w="80" w:type="dxa"/>
              <w:start w:w="90" w:type="dxa"/>
              <w:bottom w:w="80" w:type="dxa"/>
              <w:end w:w="90" w:type="dxa"/>
            </w:tcMar>
          </w:tcPr>
          <w:p>
            <w:pPr>
              <w:spacing w:before="0" w:after="40"/>
            </w:pPr>
            <w:r>
              <w:rPr>
                <w:rFonts w:ascii="Times New Roman" w:hAnsi="Times New Roman" w:eastAsia="Times New Roman"/>
                <w:sz w:val="20"/>
              </w:rPr>
              <w:t>0</w:t>
            </w:r>
          </w:p>
        </w:tc>
      </w:tr>
    </w:tbl>
    <w:p>
      <w:pPr>
        <w:spacing w:after="100" w:line="252" w:lineRule="auto"/>
        <w:jc w:val="both"/>
      </w:pPr>
      <w:r>
        <w:rPr>
          <w:rFonts w:ascii="Times New Roman" w:hAnsi="Times New Roman" w:eastAsia="Times New Roman"/>
          <w:b w:val="0"/>
          <w:i/>
          <w:sz w:val="20"/>
        </w:rPr>
        <w:t>Note: the complete table is stored in the supplementary material `Annex_C_raw_financial_accelerator.csv`.</w:t>
      </w:r>
    </w:p>
    <w:sectPr w:rsidR="00FC693F" w:rsidRPr="0006063C" w:rsidSect="00034616">
      <w:headerReference w:type="default" r:id="rId9"/>
      <w:footerReference w:type="default" r:id="rId10"/>
      <w:headerReference w:type="first" r:id="rId11"/>
      <w:footerReference w:type="first" r:id="rId12"/>
      <w:headerReference w:type="even" r:id="rId13"/>
      <w:footerReference w:type="even" r:id="rId14"/>
      <w:pgSz w:w="15840" w:h="12240" w:orient="landscape"/>
      <w:pgMar w:top="864" w:right="936" w:bottom="864"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Times New Roman" w:hAnsi="Times New Roman" w:eastAsia="Times New Roman"/>
      <w:b/>
      <w:bCs/>
      <w:color w:val="365F91" w:themeColor="accent1" w:themeShade="BF"/>
      <w:sz w:val="2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Times New Roman" w:hAnsi="Times New Roman" w:eastAsia="Times New Roman"/>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Times New Roman" w:hAnsi="Times New Roman" w:eastAsia="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Admir Mulaj</dc:creator>
  <cp:keywords/>
  <dc:description/>
  <cp:lastModifiedBy>Admir Mulaj</cp:lastModifiedBy>
  <cp:revision>1</cp:revision>
  <dcterms:created xsi:type="dcterms:W3CDTF">2013-12-23T23:15:00Z</dcterms:created>
  <dcterms:modified xsi:type="dcterms:W3CDTF">2013-12-23T23:15:00Z</dcterms:modified>
  <cp:category/>
</cp:coreProperties>
</file>