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rPr>
        <w:t>Annex E. Database construction methodology</w:t>
      </w:r>
    </w:p>
    <w:p>
      <w:pPr>
        <w:spacing w:before="140" w:after="80"/>
      </w:pPr>
      <w:r>
        <w:rPr>
          <w:rFonts w:ascii="Times New Roman" w:hAnsi="Times New Roman" w:eastAsia="Times New Roman"/>
          <w:b/>
          <w:sz w:val="24"/>
        </w:rPr>
        <w:t>The purpose of the annex</w:t>
      </w:r>
    </w:p>
    <w:p>
      <w:pPr>
        <w:spacing w:after="100" w:line="252" w:lineRule="auto"/>
        <w:jc w:val="both"/>
      </w:pPr>
      <w:r>
        <w:rPr>
          <w:rFonts w:ascii="Times New Roman" w:hAnsi="Times New Roman" w:eastAsia="Times New Roman"/>
          <w:b w:val="0"/>
          <w:i w:val="0"/>
          <w:sz w:val="24"/>
        </w:rPr>
        <w:t>Annex E documents the database construction methodology and presents the full dataset used in the main specifications and spread controls.</w:t>
      </w:r>
    </w:p>
    <w:p>
      <w:pPr>
        <w:spacing w:before="140" w:after="80"/>
      </w:pPr>
      <w:r>
        <w:rPr>
          <w:rFonts w:ascii="Times New Roman" w:hAnsi="Times New Roman" w:eastAsia="Times New Roman"/>
          <w:b/>
          <w:sz w:val="24"/>
        </w:rPr>
        <w:t>Resources and harmonization</w:t>
      </w:r>
    </w:p>
    <w:p>
      <w:pPr>
        <w:spacing w:after="100" w:line="252" w:lineRule="auto"/>
        <w:jc w:val="both"/>
      </w:pPr>
      <w:r>
        <w:rPr>
          <w:rFonts w:ascii="Times New Roman" w:hAnsi="Times New Roman" w:eastAsia="Times New Roman"/>
          <w:b w:val="0"/>
          <w:i w:val="0"/>
          <w:sz w:val="24"/>
        </w:rPr>
        <w:t>Quarterly base harmonizes series from INSTAT, Bank of Albania and ECB Data Portal. Gross fixed capital formation and gross domestic product are related to national accounts; interest rates, yields, credit and monetary indicators are related to Bank of Albania statistics; The 12-month EURIBOR is obtained from ECB and aggregated to quarterly averages.</w:t>
      </w:r>
    </w:p>
    <w:p>
      <w:pPr>
        <w:spacing w:before="140" w:after="80"/>
      </w:pPr>
      <w:r>
        <w:rPr>
          <w:rFonts w:ascii="Times New Roman" w:hAnsi="Times New Roman" w:eastAsia="Times New Roman"/>
          <w:b/>
          <w:sz w:val="24"/>
        </w:rPr>
        <w:t>RESTRUCTURING</w:t>
      </w:r>
    </w:p>
    <w:p>
      <w:pPr>
        <w:spacing w:after="100" w:line="252" w:lineRule="auto"/>
        <w:jc w:val="both"/>
      </w:pPr>
      <w:r>
        <w:rPr>
          <w:rFonts w:ascii="Times New Roman" w:hAnsi="Times New Roman" w:eastAsia="Times New Roman"/>
          <w:b w:val="0"/>
          <w:i w:val="0"/>
          <w:sz w:val="24"/>
        </w:rPr>
        <w:t>`LGFCF = ln(GFCF)` , `LGDP = ln(GDP)` , `spread_all_12m = i_all - bth_12m` , `spread_eur_euribor_12m = i_eur - euribor_12m` , `credit_business_gdp = credit_business / GDP` . These are econometric constructs, not pristine series.</w:t>
      </w:r>
    </w:p>
    <w:p>
      <w:pPr>
        <w:spacing w:before="140" w:after="80"/>
      </w:pPr>
      <w:r>
        <w:rPr>
          <w:rFonts w:ascii="Times New Roman" w:hAnsi="Times New Roman" w:eastAsia="Times New Roman"/>
          <w:b/>
          <w:sz w:val="24"/>
        </w:rPr>
        <w:t>Limitations and resources</w:t>
      </w:r>
    </w:p>
    <w:p>
      <w:pPr>
        <w:spacing w:after="100" w:line="252" w:lineRule="auto"/>
        <w:jc w:val="both"/>
      </w:pPr>
      <w:r>
        <w:rPr>
          <w:rFonts w:ascii="Times New Roman" w:hAnsi="Times New Roman" w:eastAsia="Times New Roman"/>
          <w:b w:val="0"/>
          <w:i/>
          <w:sz w:val="20"/>
        </w:rPr>
        <w:t>Source: author's calculations on INSTAT, Bank of Albania, ECB Data Portal and European Money Markets Institute. Limitations relate to quarterly reconciliation, price index status, the difference between stock and credit flow, and the proxy measure of the cost of funding.</w:t>
      </w:r>
    </w:p>
    <w:p>
      <w:pPr>
        <w:spacing w:before="140" w:after="80"/>
      </w:pPr>
      <w:r>
        <w:rPr>
          <w:rFonts w:ascii="Times New Roman" w:hAnsi="Times New Roman" w:eastAsia="Times New Roman"/>
          <w:b/>
          <w:sz w:val="24"/>
        </w:rPr>
        <w:t>Raw data and supporting tables</w:t>
      </w:r>
    </w:p>
    <w:p>
      <w:pPr>
        <w:spacing w:after="100" w:line="252" w:lineRule="auto"/>
        <w:jc w:val="both"/>
      </w:pPr>
      <w:r>
        <w:rPr>
          <w:rFonts w:ascii="Times New Roman" w:hAnsi="Times New Roman" w:eastAsia="Times New Roman"/>
          <w:b w:val="0"/>
          <w:i w:val="0"/>
          <w:sz w:val="24"/>
        </w:rPr>
        <w:t>The complete table for this annex is stored in the supplementary material `Annex_E_raw_core_methodology_dataset.csv`. For readability reasons, DOCX presents a limited view of rows and columns; CSV stores the entire numeric base for verification.</w:t>
      </w:r>
    </w:p>
    <w:p>
      <w:pPr>
        <w:spacing w:after="100" w:line="252" w:lineRule="auto"/>
        <w:jc w:val="both"/>
      </w:pPr>
      <w:r>
        <w:rPr>
          <w:rFonts w:ascii="Times New Roman" w:hAnsi="Times New Roman" w:eastAsia="Times New Roman"/>
          <w:b w:val="0"/>
          <w:i/>
          <w:sz w:val="24"/>
        </w:rPr>
        <w:t>Table. Summary view of the gross data of the annex.</w:t>
      </w:r>
    </w:p>
    <w:tbl>
      <w:tblPr>
        <w:tblW w:type="auto" w:w="0"/>
        <w:jc w:val="center"/>
        <w:tblLayout w:type="autofit"/>
        <w:tblLook w:firstColumn="1" w:firstRow="1" w:lastColumn="0" w:lastRow="0" w:noHBand="0" w:noVBand="1" w:val="04A0"/>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blGrid>
        <w:gridCol w:w="1746"/>
        <w:gridCol w:w="1746"/>
        <w:gridCol w:w="1746"/>
        <w:gridCol w:w="1746"/>
        <w:gridCol w:w="1746"/>
        <w:gridCol w:w="1746"/>
        <w:gridCol w:w="1746"/>
        <w:gridCol w:w="1746"/>
      </w:tblGrid>
      <w:tr>
        <w:trPr>
          <w:tblHeader w:val="true"/>
        </w:trPr>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dated</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year</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GFCF</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MNE</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LGFCF</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cpi</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dpp</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2006Q4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99695.5900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233307.8600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11.5099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12.3601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100548.5600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240259.7400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11.5184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12.3895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93.2000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101263.8600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245901.9000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11.5255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12.4127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1.7667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94.1000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101996.8800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255732.9000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11.5327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12.4519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3.5667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94.5000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103053.6200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268529.9400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11.5430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3.6000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96.9000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104179.6200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273031.9200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11.5539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12.5173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3.7333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97.6000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106106.8900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275673.2800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11.5722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12.5270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4.2000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99.6000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107456.0800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284750.1200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11.5848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12.5594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99.2000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108507.7300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287315.1900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11.5946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12.5683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98.8000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107844.3000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295336.5900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12.5959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1.8667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98.1000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113354.6700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298631.3400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11.6383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12.6070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97.8000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106680.8200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294605.6100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11.5776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12.5934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98.2000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98377.1600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292683.8400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11.4966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12.5868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98.5000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2010Q1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2010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98095.3700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306509.4600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11.4937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12.6330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3.9667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96.1000</w:t>
            </w:r>
          </w:p>
        </w:tc>
      </w:tr>
    </w:tbl>
    <w:p>
      <w:pPr>
        <w:spacing w:after="100" w:line="252" w:lineRule="auto"/>
        <w:jc w:val="both"/>
      </w:pPr>
      <w:r>
        <w:rPr>
          <w:rFonts w:ascii="Times New Roman" w:hAnsi="Times New Roman" w:eastAsia="Times New Roman"/>
          <w:b w:val="0"/>
          <w:i/>
          <w:sz w:val="20"/>
        </w:rPr>
        <w:t>Note: the complete table is stored in the supplementary material `Annex_E_raw_core_methodology_dataset.csv`.</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5840" w:h="12240" w:orient="landscape"/>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 Mulaj</dc:creator>
  <cp:keywords/>
  <dc:description/>
  <cp:lastModifiedBy>Admir Mulaj</cp:lastModifiedBy>
  <cp:revision>1</cp:revision>
  <dcterms:created xsi:type="dcterms:W3CDTF">2013-12-23T23:15:00Z</dcterms:created>
  <dcterms:modified xsi:type="dcterms:W3CDTF">2013-12-23T23:15:00Z</dcterms:modified>
  <cp:category/>
</cp:coreProperties>
</file>