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2C81" w14:textId="77777777" w:rsidR="000252F6" w:rsidRDefault="000252F6" w:rsidP="000252F6">
      <w:pPr>
        <w:pStyle w:val="Heading1"/>
      </w:pPr>
      <w:r>
        <w:t>Supplementary Information</w:t>
      </w:r>
    </w:p>
    <w:p w14:paraId="07710983" w14:textId="77777777" w:rsidR="000252F6" w:rsidRDefault="000252F6" w:rsidP="000252F6">
      <w:pPr>
        <w:pStyle w:val="Heading2"/>
      </w:pPr>
      <w:r>
        <w:t>S1. Primary structural metrics by stress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8"/>
        <w:gridCol w:w="1678"/>
        <w:gridCol w:w="1678"/>
        <w:gridCol w:w="1679"/>
        <w:gridCol w:w="1678"/>
        <w:gridCol w:w="1679"/>
      </w:tblGrid>
      <w:tr w:rsidR="000252F6" w14:paraId="2C45FD3D" w14:textId="77777777" w:rsidTr="001236DA">
        <w:trPr>
          <w:tblHeader/>
          <w:jc w:val="center"/>
        </w:trPr>
        <w:tc>
          <w:tcPr>
            <w:tcW w:w="1680" w:type="dxa"/>
            <w:shd w:val="clear" w:color="auto" w:fill="D9E2F3"/>
            <w:vAlign w:val="center"/>
          </w:tcPr>
          <w:p w14:paraId="1686A65B" w14:textId="77777777" w:rsidR="000252F6" w:rsidRDefault="000252F6" w:rsidP="001236DA">
            <w:r>
              <w:rPr>
                <w:b/>
                <w:sz w:val="16"/>
              </w:rPr>
              <w:t>Stress</w:t>
            </w:r>
          </w:p>
        </w:tc>
        <w:tc>
          <w:tcPr>
            <w:tcW w:w="1680" w:type="dxa"/>
            <w:shd w:val="clear" w:color="auto" w:fill="D9E2F3"/>
            <w:vAlign w:val="center"/>
          </w:tcPr>
          <w:p w14:paraId="46A8BAA3" w14:textId="77777777" w:rsidR="000252F6" w:rsidRDefault="000252F6" w:rsidP="001236DA">
            <w:r>
              <w:rPr>
                <w:b/>
                <w:sz w:val="16"/>
              </w:rPr>
              <w:t>Neighbor retention</w:t>
            </w:r>
          </w:p>
        </w:tc>
        <w:tc>
          <w:tcPr>
            <w:tcW w:w="1680" w:type="dxa"/>
            <w:shd w:val="clear" w:color="auto" w:fill="D9E2F3"/>
            <w:vAlign w:val="center"/>
          </w:tcPr>
          <w:p w14:paraId="520CE74A" w14:textId="77777777" w:rsidR="000252F6" w:rsidRDefault="000252F6" w:rsidP="001236DA">
            <w:r>
              <w:rPr>
                <w:b/>
                <w:sz w:val="16"/>
              </w:rPr>
              <w:t>Basin retention</w:t>
            </w:r>
          </w:p>
        </w:tc>
        <w:tc>
          <w:tcPr>
            <w:tcW w:w="1680" w:type="dxa"/>
            <w:shd w:val="clear" w:color="auto" w:fill="D9E2F3"/>
            <w:vAlign w:val="center"/>
          </w:tcPr>
          <w:p w14:paraId="5411E72F" w14:textId="77777777" w:rsidR="000252F6" w:rsidRDefault="000252F6" w:rsidP="001236DA">
            <w:r>
              <w:rPr>
                <w:b/>
                <w:sz w:val="16"/>
              </w:rPr>
              <w:t>Path admissibility</w:t>
            </w:r>
          </w:p>
        </w:tc>
        <w:tc>
          <w:tcPr>
            <w:tcW w:w="1680" w:type="dxa"/>
            <w:shd w:val="clear" w:color="auto" w:fill="D9E2F3"/>
            <w:vAlign w:val="center"/>
          </w:tcPr>
          <w:p w14:paraId="4DDEE617" w14:textId="77777777" w:rsidR="000252F6" w:rsidRDefault="000252F6" w:rsidP="001236DA">
            <w:r>
              <w:rPr>
                <w:b/>
                <w:sz w:val="16"/>
              </w:rPr>
              <w:t>Transition JS</w:t>
            </w:r>
          </w:p>
        </w:tc>
        <w:tc>
          <w:tcPr>
            <w:tcW w:w="1680" w:type="dxa"/>
            <w:shd w:val="clear" w:color="auto" w:fill="D9E2F3"/>
            <w:vAlign w:val="center"/>
          </w:tcPr>
          <w:p w14:paraId="7B2DEF65" w14:textId="77777777" w:rsidR="000252F6" w:rsidRDefault="000252F6" w:rsidP="001236DA">
            <w:r>
              <w:rPr>
                <w:b/>
                <w:sz w:val="16"/>
              </w:rPr>
              <w:t>Cosine displacement</w:t>
            </w:r>
          </w:p>
        </w:tc>
      </w:tr>
      <w:tr w:rsidR="000252F6" w14:paraId="45B0CA97" w14:textId="77777777" w:rsidTr="001236DA">
        <w:trPr>
          <w:jc w:val="center"/>
        </w:trPr>
        <w:tc>
          <w:tcPr>
            <w:tcW w:w="1680" w:type="dxa"/>
            <w:vAlign w:val="center"/>
          </w:tcPr>
          <w:p w14:paraId="1410D744" w14:textId="77777777" w:rsidR="000252F6" w:rsidRDefault="000252F6" w:rsidP="001236DA">
            <w:r>
              <w:rPr>
                <w:sz w:val="16"/>
              </w:rPr>
              <w:t>0.00</w:t>
            </w:r>
          </w:p>
        </w:tc>
        <w:tc>
          <w:tcPr>
            <w:tcW w:w="1680" w:type="dxa"/>
            <w:vAlign w:val="center"/>
          </w:tcPr>
          <w:p w14:paraId="651F17D4" w14:textId="77777777" w:rsidR="000252F6" w:rsidRDefault="000252F6" w:rsidP="001236DA">
            <w:r>
              <w:rPr>
                <w:sz w:val="16"/>
              </w:rPr>
              <w:t>1.000</w:t>
            </w:r>
          </w:p>
        </w:tc>
        <w:tc>
          <w:tcPr>
            <w:tcW w:w="1680" w:type="dxa"/>
            <w:vAlign w:val="center"/>
          </w:tcPr>
          <w:p w14:paraId="74E20ED5" w14:textId="77777777" w:rsidR="000252F6" w:rsidRDefault="000252F6" w:rsidP="001236DA">
            <w:r>
              <w:rPr>
                <w:sz w:val="16"/>
              </w:rPr>
              <w:t>1.000</w:t>
            </w:r>
          </w:p>
        </w:tc>
        <w:tc>
          <w:tcPr>
            <w:tcW w:w="1680" w:type="dxa"/>
            <w:vAlign w:val="center"/>
          </w:tcPr>
          <w:p w14:paraId="1F5FF406" w14:textId="77777777" w:rsidR="000252F6" w:rsidRDefault="000252F6" w:rsidP="001236DA">
            <w:r>
              <w:rPr>
                <w:sz w:val="16"/>
              </w:rPr>
              <w:t>1.000</w:t>
            </w:r>
          </w:p>
        </w:tc>
        <w:tc>
          <w:tcPr>
            <w:tcW w:w="1680" w:type="dxa"/>
            <w:vAlign w:val="center"/>
          </w:tcPr>
          <w:p w14:paraId="3F213A5C" w14:textId="77777777" w:rsidR="000252F6" w:rsidRDefault="000252F6" w:rsidP="001236DA">
            <w:r>
              <w:rPr>
                <w:sz w:val="16"/>
              </w:rPr>
              <w:t>0.000</w:t>
            </w:r>
          </w:p>
        </w:tc>
        <w:tc>
          <w:tcPr>
            <w:tcW w:w="1680" w:type="dxa"/>
            <w:vAlign w:val="center"/>
          </w:tcPr>
          <w:p w14:paraId="78C8AD64" w14:textId="77777777" w:rsidR="000252F6" w:rsidRDefault="000252F6" w:rsidP="001236DA">
            <w:r>
              <w:rPr>
                <w:sz w:val="16"/>
              </w:rPr>
              <w:t>0.00000</w:t>
            </w:r>
          </w:p>
        </w:tc>
      </w:tr>
      <w:tr w:rsidR="000252F6" w14:paraId="5B7ACAF1" w14:textId="77777777" w:rsidTr="001236DA">
        <w:trPr>
          <w:jc w:val="center"/>
        </w:trPr>
        <w:tc>
          <w:tcPr>
            <w:tcW w:w="1680" w:type="dxa"/>
            <w:vAlign w:val="center"/>
          </w:tcPr>
          <w:p w14:paraId="2A58E709" w14:textId="77777777" w:rsidR="000252F6" w:rsidRDefault="000252F6" w:rsidP="001236DA">
            <w:r>
              <w:rPr>
                <w:sz w:val="16"/>
              </w:rPr>
              <w:t>0.05</w:t>
            </w:r>
          </w:p>
        </w:tc>
        <w:tc>
          <w:tcPr>
            <w:tcW w:w="1680" w:type="dxa"/>
            <w:vAlign w:val="center"/>
          </w:tcPr>
          <w:p w14:paraId="2FA4187E" w14:textId="77777777" w:rsidR="000252F6" w:rsidRDefault="000252F6" w:rsidP="001236DA">
            <w:r>
              <w:rPr>
                <w:sz w:val="16"/>
              </w:rPr>
              <w:t>0.199</w:t>
            </w:r>
          </w:p>
        </w:tc>
        <w:tc>
          <w:tcPr>
            <w:tcW w:w="1680" w:type="dxa"/>
            <w:vAlign w:val="center"/>
          </w:tcPr>
          <w:p w14:paraId="454C538B" w14:textId="77777777" w:rsidR="000252F6" w:rsidRDefault="000252F6" w:rsidP="001236DA">
            <w:r>
              <w:rPr>
                <w:sz w:val="16"/>
              </w:rPr>
              <w:t>0.080</w:t>
            </w:r>
          </w:p>
        </w:tc>
        <w:tc>
          <w:tcPr>
            <w:tcW w:w="1680" w:type="dxa"/>
            <w:vAlign w:val="center"/>
          </w:tcPr>
          <w:p w14:paraId="1C2DD710" w14:textId="77777777" w:rsidR="000252F6" w:rsidRDefault="000252F6" w:rsidP="001236DA">
            <w:r>
              <w:rPr>
                <w:sz w:val="16"/>
              </w:rPr>
              <w:t>0.061</w:t>
            </w:r>
          </w:p>
        </w:tc>
        <w:tc>
          <w:tcPr>
            <w:tcW w:w="1680" w:type="dxa"/>
            <w:vAlign w:val="center"/>
          </w:tcPr>
          <w:p w14:paraId="25A032F1" w14:textId="77777777" w:rsidR="000252F6" w:rsidRDefault="000252F6" w:rsidP="001236DA">
            <w:r>
              <w:rPr>
                <w:sz w:val="16"/>
              </w:rPr>
              <w:t>0.921</w:t>
            </w:r>
          </w:p>
        </w:tc>
        <w:tc>
          <w:tcPr>
            <w:tcW w:w="1680" w:type="dxa"/>
            <w:vAlign w:val="center"/>
          </w:tcPr>
          <w:p w14:paraId="0DCF0EE3" w14:textId="77777777" w:rsidR="000252F6" w:rsidRDefault="000252F6" w:rsidP="001236DA">
            <w:r>
              <w:rPr>
                <w:sz w:val="16"/>
              </w:rPr>
              <w:t>0.00087</w:t>
            </w:r>
          </w:p>
        </w:tc>
      </w:tr>
      <w:tr w:rsidR="000252F6" w14:paraId="17A32BFF" w14:textId="77777777" w:rsidTr="001236DA">
        <w:trPr>
          <w:jc w:val="center"/>
        </w:trPr>
        <w:tc>
          <w:tcPr>
            <w:tcW w:w="1680" w:type="dxa"/>
            <w:vAlign w:val="center"/>
          </w:tcPr>
          <w:p w14:paraId="10C86D66" w14:textId="77777777" w:rsidR="000252F6" w:rsidRDefault="000252F6" w:rsidP="001236DA">
            <w:r>
              <w:rPr>
                <w:sz w:val="16"/>
              </w:rPr>
              <w:t>0.10</w:t>
            </w:r>
          </w:p>
        </w:tc>
        <w:tc>
          <w:tcPr>
            <w:tcW w:w="1680" w:type="dxa"/>
            <w:vAlign w:val="center"/>
          </w:tcPr>
          <w:p w14:paraId="7419A078" w14:textId="77777777" w:rsidR="000252F6" w:rsidRDefault="000252F6" w:rsidP="001236DA">
            <w:r>
              <w:rPr>
                <w:sz w:val="16"/>
              </w:rPr>
              <w:t>0.055</w:t>
            </w:r>
          </w:p>
        </w:tc>
        <w:tc>
          <w:tcPr>
            <w:tcW w:w="1680" w:type="dxa"/>
            <w:vAlign w:val="center"/>
          </w:tcPr>
          <w:p w14:paraId="162E0133" w14:textId="77777777" w:rsidR="000252F6" w:rsidRDefault="000252F6" w:rsidP="001236DA">
            <w:r>
              <w:rPr>
                <w:sz w:val="16"/>
              </w:rPr>
              <w:t>0.040</w:t>
            </w:r>
          </w:p>
        </w:tc>
        <w:tc>
          <w:tcPr>
            <w:tcW w:w="1680" w:type="dxa"/>
            <w:vAlign w:val="center"/>
          </w:tcPr>
          <w:p w14:paraId="7DF0C0B0" w14:textId="77777777" w:rsidR="000252F6" w:rsidRDefault="000252F6" w:rsidP="001236DA">
            <w:r>
              <w:rPr>
                <w:sz w:val="16"/>
              </w:rPr>
              <w:t>0.020</w:t>
            </w:r>
          </w:p>
        </w:tc>
        <w:tc>
          <w:tcPr>
            <w:tcW w:w="1680" w:type="dxa"/>
            <w:vAlign w:val="center"/>
          </w:tcPr>
          <w:p w14:paraId="181D24DD" w14:textId="77777777" w:rsidR="000252F6" w:rsidRDefault="000252F6" w:rsidP="001236DA">
            <w:r>
              <w:rPr>
                <w:sz w:val="16"/>
              </w:rPr>
              <w:t>0.970</w:t>
            </w:r>
          </w:p>
        </w:tc>
        <w:tc>
          <w:tcPr>
            <w:tcW w:w="1680" w:type="dxa"/>
            <w:vAlign w:val="center"/>
          </w:tcPr>
          <w:p w14:paraId="311BEEC1" w14:textId="77777777" w:rsidR="000252F6" w:rsidRDefault="000252F6" w:rsidP="001236DA">
            <w:r>
              <w:rPr>
                <w:sz w:val="16"/>
              </w:rPr>
              <w:t>0.00333</w:t>
            </w:r>
          </w:p>
        </w:tc>
      </w:tr>
      <w:tr w:rsidR="000252F6" w14:paraId="20593774" w14:textId="77777777" w:rsidTr="001236DA">
        <w:trPr>
          <w:jc w:val="center"/>
        </w:trPr>
        <w:tc>
          <w:tcPr>
            <w:tcW w:w="1680" w:type="dxa"/>
            <w:vAlign w:val="center"/>
          </w:tcPr>
          <w:p w14:paraId="69DB8CDB" w14:textId="77777777" w:rsidR="000252F6" w:rsidRDefault="000252F6" w:rsidP="001236DA">
            <w:r>
              <w:rPr>
                <w:sz w:val="16"/>
              </w:rPr>
              <w:t>0.15</w:t>
            </w:r>
          </w:p>
        </w:tc>
        <w:tc>
          <w:tcPr>
            <w:tcW w:w="1680" w:type="dxa"/>
            <w:vAlign w:val="center"/>
          </w:tcPr>
          <w:p w14:paraId="26B7A8BE" w14:textId="77777777" w:rsidR="000252F6" w:rsidRDefault="000252F6" w:rsidP="001236DA">
            <w:r>
              <w:rPr>
                <w:sz w:val="16"/>
              </w:rPr>
              <w:t>0.034</w:t>
            </w:r>
          </w:p>
        </w:tc>
        <w:tc>
          <w:tcPr>
            <w:tcW w:w="1680" w:type="dxa"/>
            <w:vAlign w:val="center"/>
          </w:tcPr>
          <w:p w14:paraId="6ED14C2D" w14:textId="77777777" w:rsidR="000252F6" w:rsidRDefault="000252F6" w:rsidP="001236DA">
            <w:r>
              <w:rPr>
                <w:sz w:val="16"/>
              </w:rPr>
              <w:t>0.026</w:t>
            </w:r>
          </w:p>
        </w:tc>
        <w:tc>
          <w:tcPr>
            <w:tcW w:w="1680" w:type="dxa"/>
            <w:vAlign w:val="center"/>
          </w:tcPr>
          <w:p w14:paraId="6E643B4D" w14:textId="77777777" w:rsidR="000252F6" w:rsidRDefault="000252F6" w:rsidP="001236DA">
            <w:r>
              <w:rPr>
                <w:sz w:val="16"/>
              </w:rPr>
              <w:t>0.010</w:t>
            </w:r>
          </w:p>
        </w:tc>
        <w:tc>
          <w:tcPr>
            <w:tcW w:w="1680" w:type="dxa"/>
            <w:vAlign w:val="center"/>
          </w:tcPr>
          <w:p w14:paraId="1643FAFA" w14:textId="77777777" w:rsidR="000252F6" w:rsidRDefault="000252F6" w:rsidP="001236DA">
            <w:r>
              <w:rPr>
                <w:sz w:val="16"/>
              </w:rPr>
              <w:t>0.986</w:t>
            </w:r>
          </w:p>
        </w:tc>
        <w:tc>
          <w:tcPr>
            <w:tcW w:w="1680" w:type="dxa"/>
            <w:vAlign w:val="center"/>
          </w:tcPr>
          <w:p w14:paraId="490001FE" w14:textId="77777777" w:rsidR="000252F6" w:rsidRDefault="000252F6" w:rsidP="001236DA">
            <w:r>
              <w:rPr>
                <w:sz w:val="16"/>
              </w:rPr>
              <w:t>0.00711</w:t>
            </w:r>
          </w:p>
        </w:tc>
      </w:tr>
      <w:tr w:rsidR="000252F6" w14:paraId="56759CC9" w14:textId="77777777" w:rsidTr="001236DA">
        <w:trPr>
          <w:jc w:val="center"/>
        </w:trPr>
        <w:tc>
          <w:tcPr>
            <w:tcW w:w="1680" w:type="dxa"/>
            <w:vAlign w:val="center"/>
          </w:tcPr>
          <w:p w14:paraId="19B1303D" w14:textId="77777777" w:rsidR="000252F6" w:rsidRDefault="000252F6" w:rsidP="001236DA">
            <w:r>
              <w:rPr>
                <w:sz w:val="16"/>
              </w:rPr>
              <w:t>0.20</w:t>
            </w:r>
          </w:p>
        </w:tc>
        <w:tc>
          <w:tcPr>
            <w:tcW w:w="1680" w:type="dxa"/>
            <w:vAlign w:val="center"/>
          </w:tcPr>
          <w:p w14:paraId="3D94587F" w14:textId="77777777" w:rsidR="000252F6" w:rsidRDefault="000252F6" w:rsidP="001236DA">
            <w:r>
              <w:rPr>
                <w:sz w:val="16"/>
              </w:rPr>
              <w:t>0.027</w:t>
            </w:r>
          </w:p>
        </w:tc>
        <w:tc>
          <w:tcPr>
            <w:tcW w:w="1680" w:type="dxa"/>
            <w:vAlign w:val="center"/>
          </w:tcPr>
          <w:p w14:paraId="7F13CCC9" w14:textId="77777777" w:rsidR="000252F6" w:rsidRDefault="000252F6" w:rsidP="001236DA">
            <w:r>
              <w:rPr>
                <w:sz w:val="16"/>
              </w:rPr>
              <w:t>0.020</w:t>
            </w:r>
          </w:p>
        </w:tc>
        <w:tc>
          <w:tcPr>
            <w:tcW w:w="1680" w:type="dxa"/>
            <w:vAlign w:val="center"/>
          </w:tcPr>
          <w:p w14:paraId="35A43441" w14:textId="77777777" w:rsidR="000252F6" w:rsidRDefault="000252F6" w:rsidP="001236DA">
            <w:r>
              <w:rPr>
                <w:sz w:val="16"/>
              </w:rPr>
              <w:t>0.004</w:t>
            </w:r>
          </w:p>
        </w:tc>
        <w:tc>
          <w:tcPr>
            <w:tcW w:w="1680" w:type="dxa"/>
            <w:vAlign w:val="center"/>
          </w:tcPr>
          <w:p w14:paraId="7775778E" w14:textId="77777777" w:rsidR="000252F6" w:rsidRDefault="000252F6" w:rsidP="001236DA">
            <w:r>
              <w:rPr>
                <w:sz w:val="16"/>
              </w:rPr>
              <w:t>0.993</w:t>
            </w:r>
          </w:p>
        </w:tc>
        <w:tc>
          <w:tcPr>
            <w:tcW w:w="1680" w:type="dxa"/>
            <w:vAlign w:val="center"/>
          </w:tcPr>
          <w:p w14:paraId="70786989" w14:textId="77777777" w:rsidR="000252F6" w:rsidRDefault="000252F6" w:rsidP="001236DA">
            <w:r>
              <w:rPr>
                <w:sz w:val="16"/>
              </w:rPr>
              <w:t>0.01204</w:t>
            </w:r>
          </w:p>
        </w:tc>
      </w:tr>
      <w:tr w:rsidR="000252F6" w14:paraId="55E6CC47" w14:textId="77777777" w:rsidTr="001236DA">
        <w:trPr>
          <w:jc w:val="center"/>
        </w:trPr>
        <w:tc>
          <w:tcPr>
            <w:tcW w:w="1680" w:type="dxa"/>
            <w:vAlign w:val="center"/>
          </w:tcPr>
          <w:p w14:paraId="790CBA23" w14:textId="77777777" w:rsidR="000252F6" w:rsidRDefault="000252F6" w:rsidP="001236DA">
            <w:r>
              <w:rPr>
                <w:sz w:val="16"/>
              </w:rPr>
              <w:t>0.30</w:t>
            </w:r>
          </w:p>
        </w:tc>
        <w:tc>
          <w:tcPr>
            <w:tcW w:w="1680" w:type="dxa"/>
            <w:vAlign w:val="center"/>
          </w:tcPr>
          <w:p w14:paraId="784DB8DD" w14:textId="77777777" w:rsidR="000252F6" w:rsidRDefault="000252F6" w:rsidP="001236DA">
            <w:r>
              <w:rPr>
                <w:sz w:val="16"/>
              </w:rPr>
              <w:t>0.024</w:t>
            </w:r>
          </w:p>
        </w:tc>
        <w:tc>
          <w:tcPr>
            <w:tcW w:w="1680" w:type="dxa"/>
            <w:vAlign w:val="center"/>
          </w:tcPr>
          <w:p w14:paraId="58B9E2B5" w14:textId="77777777" w:rsidR="000252F6" w:rsidRDefault="000252F6" w:rsidP="001236DA">
            <w:r>
              <w:rPr>
                <w:sz w:val="16"/>
              </w:rPr>
              <w:t>0.012</w:t>
            </w:r>
          </w:p>
        </w:tc>
        <w:tc>
          <w:tcPr>
            <w:tcW w:w="1680" w:type="dxa"/>
            <w:vAlign w:val="center"/>
          </w:tcPr>
          <w:p w14:paraId="6E3B0D4C" w14:textId="77777777" w:rsidR="000252F6" w:rsidRDefault="000252F6" w:rsidP="001236DA">
            <w:r>
              <w:rPr>
                <w:sz w:val="16"/>
              </w:rPr>
              <w:t>0.006</w:t>
            </w:r>
          </w:p>
        </w:tc>
        <w:tc>
          <w:tcPr>
            <w:tcW w:w="1680" w:type="dxa"/>
            <w:vAlign w:val="center"/>
          </w:tcPr>
          <w:p w14:paraId="6A7A0AC0" w14:textId="77777777" w:rsidR="000252F6" w:rsidRDefault="000252F6" w:rsidP="001236DA">
            <w:r>
              <w:rPr>
                <w:sz w:val="16"/>
              </w:rPr>
              <w:t>0.989</w:t>
            </w:r>
          </w:p>
        </w:tc>
        <w:tc>
          <w:tcPr>
            <w:tcW w:w="1680" w:type="dxa"/>
            <w:vAlign w:val="center"/>
          </w:tcPr>
          <w:p w14:paraId="66FB688D" w14:textId="77777777" w:rsidR="000252F6" w:rsidRDefault="000252F6" w:rsidP="001236DA">
            <w:r>
              <w:rPr>
                <w:sz w:val="16"/>
              </w:rPr>
              <w:t>0.02470</w:t>
            </w:r>
          </w:p>
        </w:tc>
      </w:tr>
    </w:tbl>
    <w:p w14:paraId="12379E95" w14:textId="77777777" w:rsidR="000252F6" w:rsidRDefault="000252F6" w:rsidP="000252F6"/>
    <w:p w14:paraId="7ACB64FC" w14:textId="77777777" w:rsidR="000252F6" w:rsidRDefault="000252F6" w:rsidP="000252F6">
      <w:pPr>
        <w:pStyle w:val="Heading2"/>
      </w:pPr>
      <w:r>
        <w:t>S2. Robustness design</w:t>
      </w:r>
    </w:p>
    <w:p w14:paraId="67EE13DA" w14:textId="77777777" w:rsidR="000252F6" w:rsidRDefault="000252F6" w:rsidP="000252F6">
      <w:r>
        <w:t>Each analytical configuration combined one projection dimension, one projection seed, one RIX PCA dimensionality, and one quantile-bin resolution. All configurations used the same fixed-reference principle: clean geometry was fit at stress 0.00 and frozen before stressed observations were assigned.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5035"/>
      </w:tblGrid>
      <w:tr w:rsidR="000252F6" w14:paraId="3667D1B3" w14:textId="77777777" w:rsidTr="001236DA">
        <w:trPr>
          <w:tblHeader/>
          <w:jc w:val="center"/>
        </w:trPr>
        <w:tc>
          <w:tcPr>
            <w:tcW w:w="5040" w:type="dxa"/>
            <w:shd w:val="clear" w:color="auto" w:fill="D9E2F3"/>
            <w:vAlign w:val="center"/>
          </w:tcPr>
          <w:p w14:paraId="337C7939" w14:textId="77777777" w:rsidR="000252F6" w:rsidRDefault="000252F6" w:rsidP="001236DA">
            <w:r>
              <w:rPr>
                <w:b/>
                <w:sz w:val="17"/>
              </w:rPr>
              <w:t>Component</w:t>
            </w:r>
          </w:p>
        </w:tc>
        <w:tc>
          <w:tcPr>
            <w:tcW w:w="5040" w:type="dxa"/>
            <w:shd w:val="clear" w:color="auto" w:fill="D9E2F3"/>
            <w:vAlign w:val="center"/>
          </w:tcPr>
          <w:p w14:paraId="4943502E" w14:textId="77777777" w:rsidR="000252F6" w:rsidRDefault="000252F6" w:rsidP="001236DA">
            <w:r>
              <w:rPr>
                <w:b/>
                <w:sz w:val="17"/>
              </w:rPr>
              <w:t>Values</w:t>
            </w:r>
          </w:p>
        </w:tc>
      </w:tr>
      <w:tr w:rsidR="000252F6" w14:paraId="644E94DE" w14:textId="77777777" w:rsidTr="001236DA">
        <w:trPr>
          <w:jc w:val="center"/>
        </w:trPr>
        <w:tc>
          <w:tcPr>
            <w:tcW w:w="5040" w:type="dxa"/>
            <w:vAlign w:val="center"/>
          </w:tcPr>
          <w:p w14:paraId="47E48376" w14:textId="77777777" w:rsidR="000252F6" w:rsidRDefault="000252F6" w:rsidP="001236DA">
            <w:r>
              <w:rPr>
                <w:sz w:val="17"/>
              </w:rPr>
              <w:t>Projection dimensions</w:t>
            </w:r>
          </w:p>
        </w:tc>
        <w:tc>
          <w:tcPr>
            <w:tcW w:w="5040" w:type="dxa"/>
            <w:vAlign w:val="center"/>
          </w:tcPr>
          <w:p w14:paraId="249431FE" w14:textId="77777777" w:rsidR="000252F6" w:rsidRDefault="000252F6" w:rsidP="001236DA">
            <w:r>
              <w:rPr>
                <w:sz w:val="17"/>
              </w:rPr>
              <w:t>32, 64, 128, 256</w:t>
            </w:r>
          </w:p>
        </w:tc>
      </w:tr>
      <w:tr w:rsidR="000252F6" w14:paraId="30714A81" w14:textId="77777777" w:rsidTr="001236DA">
        <w:trPr>
          <w:jc w:val="center"/>
        </w:trPr>
        <w:tc>
          <w:tcPr>
            <w:tcW w:w="5040" w:type="dxa"/>
            <w:vAlign w:val="center"/>
          </w:tcPr>
          <w:p w14:paraId="35B2004F" w14:textId="77777777" w:rsidR="000252F6" w:rsidRDefault="000252F6" w:rsidP="001236DA">
            <w:r>
              <w:rPr>
                <w:sz w:val="17"/>
              </w:rPr>
              <w:t>Projection seeds</w:t>
            </w:r>
          </w:p>
        </w:tc>
        <w:tc>
          <w:tcPr>
            <w:tcW w:w="5040" w:type="dxa"/>
            <w:vAlign w:val="center"/>
          </w:tcPr>
          <w:p w14:paraId="08C2B39D" w14:textId="77777777" w:rsidR="000252F6" w:rsidRDefault="000252F6" w:rsidP="001236DA">
            <w:r>
              <w:rPr>
                <w:sz w:val="17"/>
              </w:rPr>
              <w:t>5 deterministic seeds</w:t>
            </w:r>
          </w:p>
        </w:tc>
      </w:tr>
      <w:tr w:rsidR="000252F6" w14:paraId="7250737D" w14:textId="77777777" w:rsidTr="001236DA">
        <w:trPr>
          <w:jc w:val="center"/>
        </w:trPr>
        <w:tc>
          <w:tcPr>
            <w:tcW w:w="5040" w:type="dxa"/>
            <w:vAlign w:val="center"/>
          </w:tcPr>
          <w:p w14:paraId="054400BF" w14:textId="77777777" w:rsidR="000252F6" w:rsidRDefault="000252F6" w:rsidP="001236DA">
            <w:r>
              <w:rPr>
                <w:sz w:val="17"/>
              </w:rPr>
              <w:t>RIX PCA dimensions</w:t>
            </w:r>
          </w:p>
        </w:tc>
        <w:tc>
          <w:tcPr>
            <w:tcW w:w="5040" w:type="dxa"/>
            <w:vAlign w:val="center"/>
          </w:tcPr>
          <w:p w14:paraId="1CDD569D" w14:textId="77777777" w:rsidR="000252F6" w:rsidRDefault="000252F6" w:rsidP="001236DA">
            <w:r>
              <w:rPr>
                <w:sz w:val="17"/>
              </w:rPr>
              <w:t>3, 4, 5, 6</w:t>
            </w:r>
          </w:p>
        </w:tc>
      </w:tr>
      <w:tr w:rsidR="000252F6" w14:paraId="0AE8D073" w14:textId="77777777" w:rsidTr="001236DA">
        <w:trPr>
          <w:jc w:val="center"/>
        </w:trPr>
        <w:tc>
          <w:tcPr>
            <w:tcW w:w="5040" w:type="dxa"/>
            <w:vAlign w:val="center"/>
          </w:tcPr>
          <w:p w14:paraId="136B73EE" w14:textId="77777777" w:rsidR="000252F6" w:rsidRDefault="000252F6" w:rsidP="001236DA">
            <w:r>
              <w:rPr>
                <w:sz w:val="17"/>
              </w:rPr>
              <w:t>RIX quantile bins</w:t>
            </w:r>
          </w:p>
        </w:tc>
        <w:tc>
          <w:tcPr>
            <w:tcW w:w="5040" w:type="dxa"/>
            <w:vAlign w:val="center"/>
          </w:tcPr>
          <w:p w14:paraId="1C4B2C22" w14:textId="77777777" w:rsidR="000252F6" w:rsidRDefault="000252F6" w:rsidP="001236DA">
            <w:r>
              <w:rPr>
                <w:sz w:val="17"/>
              </w:rPr>
              <w:t>3, 4, 5, 6</w:t>
            </w:r>
          </w:p>
        </w:tc>
      </w:tr>
      <w:tr w:rsidR="000252F6" w14:paraId="07DACA10" w14:textId="77777777" w:rsidTr="001236DA">
        <w:trPr>
          <w:jc w:val="center"/>
        </w:trPr>
        <w:tc>
          <w:tcPr>
            <w:tcW w:w="5040" w:type="dxa"/>
            <w:vAlign w:val="center"/>
          </w:tcPr>
          <w:p w14:paraId="209172D1" w14:textId="77777777" w:rsidR="000252F6" w:rsidRDefault="000252F6" w:rsidP="001236DA">
            <w:r>
              <w:rPr>
                <w:sz w:val="17"/>
              </w:rPr>
              <w:t>Total configurations</w:t>
            </w:r>
          </w:p>
        </w:tc>
        <w:tc>
          <w:tcPr>
            <w:tcW w:w="5040" w:type="dxa"/>
            <w:vAlign w:val="center"/>
          </w:tcPr>
          <w:p w14:paraId="06EE87C2" w14:textId="77777777" w:rsidR="000252F6" w:rsidRDefault="000252F6" w:rsidP="001236DA">
            <w:r>
              <w:rPr>
                <w:sz w:val="17"/>
              </w:rPr>
              <w:t>320</w:t>
            </w:r>
          </w:p>
        </w:tc>
      </w:tr>
    </w:tbl>
    <w:p w14:paraId="6F867E35" w14:textId="77777777" w:rsidR="000252F6" w:rsidRDefault="000252F6" w:rsidP="000252F6"/>
    <w:p w14:paraId="15A4B284" w14:textId="77777777" w:rsidR="000252F6" w:rsidRDefault="000252F6" w:rsidP="000252F6">
      <w:pPr>
        <w:pStyle w:val="Heading2"/>
      </w:pPr>
      <w:r>
        <w:t>S3. Behavioral calibration protocol</w:t>
      </w:r>
    </w:p>
    <w:p w14:paraId="6A611DC9" w14:textId="77777777" w:rsidR="000252F6" w:rsidRDefault="000252F6" w:rsidP="000252F6">
      <w:r>
        <w:t>The closed-loop calibration used the same observation stress ladder as the offline structural study. Ten episodes were evaluated per stress level under a fixed CPU-safe CEM planner budget. Start-state and target selection procedures were held constant across the calibration protocol. Because the objective was comparative regime calibration, all stress conditions used the same computational budget.</w:t>
      </w:r>
    </w:p>
    <w:p w14:paraId="2AC08BD3" w14:textId="77777777" w:rsidR="000252F6" w:rsidRDefault="000252F6" w:rsidP="000252F6">
      <w:pPr>
        <w:pStyle w:val="Heading2"/>
      </w:pPr>
      <w:r>
        <w:t>S4. Suggested external replication sequence</w:t>
      </w:r>
    </w:p>
    <w:p w14:paraId="37C0F565" w14:textId="77777777" w:rsidR="000252F6" w:rsidRDefault="000252F6" w:rsidP="000252F6">
      <w:pPr>
        <w:pStyle w:val="ListBullet"/>
        <w:tabs>
          <w:tab w:val="num" w:pos="360"/>
        </w:tabs>
        <w:ind w:left="360" w:hanging="360"/>
      </w:pPr>
      <w:r>
        <w:t>Replicate the fixed-reference stress study on a second world-model architecture.</w:t>
      </w:r>
    </w:p>
    <w:p w14:paraId="0092F212" w14:textId="77777777" w:rsidR="000252F6" w:rsidRDefault="000252F6" w:rsidP="000252F6">
      <w:pPr>
        <w:pStyle w:val="ListBullet"/>
        <w:tabs>
          <w:tab w:val="num" w:pos="360"/>
        </w:tabs>
        <w:ind w:left="360" w:hanging="360"/>
      </w:pPr>
      <w:r>
        <w:t>Repeat the stress ladder on a second control task with different observation and action geometry.</w:t>
      </w:r>
    </w:p>
    <w:p w14:paraId="205D4FDE" w14:textId="77777777" w:rsidR="000252F6" w:rsidRDefault="000252F6" w:rsidP="000252F6">
      <w:pPr>
        <w:pStyle w:val="ListBullet"/>
        <w:tabs>
          <w:tab w:val="num" w:pos="360"/>
        </w:tabs>
        <w:ind w:left="360" w:hanging="360"/>
      </w:pPr>
      <w:r>
        <w:t>Test non-Gaussian stress mechanisms, including occlusion, blur, temporal lag, and structured sensor corruption.</w:t>
      </w:r>
    </w:p>
    <w:p w14:paraId="36CDBB63" w14:textId="77777777" w:rsidR="000252F6" w:rsidRDefault="000252F6" w:rsidP="000252F6">
      <w:pPr>
        <w:pStyle w:val="ListBullet"/>
        <w:tabs>
          <w:tab w:val="num" w:pos="360"/>
        </w:tabs>
        <w:ind w:left="360" w:hanging="360"/>
      </w:pPr>
      <w:r>
        <w:lastRenderedPageBreak/>
        <w:t>Predeclare the structural transition metrics and breakpoint analysis before external replication.</w:t>
      </w:r>
    </w:p>
    <w:p w14:paraId="0D9A8BBD" w14:textId="77777777" w:rsidR="000252F6" w:rsidRDefault="000252F6" w:rsidP="000252F6">
      <w:pPr>
        <w:pStyle w:val="ListBullet"/>
        <w:tabs>
          <w:tab w:val="num" w:pos="360"/>
        </w:tabs>
        <w:ind w:left="360" w:hanging="360"/>
      </w:pPr>
      <w:r>
        <w:t>Evaluate whether the same regime-level correspondence holds under higher-compute planning budgets.</w:t>
      </w:r>
    </w:p>
    <w:p w14:paraId="7CEF8775" w14:textId="77777777" w:rsidR="00E023F9" w:rsidRDefault="00E023F9"/>
    <w:sectPr w:rsidR="00E023F9" w:rsidSect="000252F6">
      <w:footerReference w:type="default" r:id="rId5"/>
      <w:pgSz w:w="12240" w:h="15840"/>
      <w:pgMar w:top="979" w:right="1080" w:bottom="97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6C9F" w14:textId="77777777" w:rsidR="000252F6" w:rsidRDefault="000252F6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D860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975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F6"/>
    <w:rsid w:val="000252F6"/>
    <w:rsid w:val="000C4033"/>
    <w:rsid w:val="00173ED8"/>
    <w:rsid w:val="002F50B1"/>
    <w:rsid w:val="004B42CB"/>
    <w:rsid w:val="005F2B46"/>
    <w:rsid w:val="0062434F"/>
    <w:rsid w:val="006E1731"/>
    <w:rsid w:val="00866D74"/>
    <w:rsid w:val="00882A73"/>
    <w:rsid w:val="00906905"/>
    <w:rsid w:val="0095305D"/>
    <w:rsid w:val="00B10170"/>
    <w:rsid w:val="00B260B7"/>
    <w:rsid w:val="00B85331"/>
    <w:rsid w:val="00C94D66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22378"/>
  <w15:chartTrackingRefBased/>
  <w15:docId w15:val="{983F12FC-D5B8-43A4-BBBC-D7EFF687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2F6"/>
    <w:pPr>
      <w:spacing w:after="200" w:line="276" w:lineRule="auto"/>
    </w:pPr>
    <w:rPr>
      <w:rFonts w:ascii="Aptos" w:eastAsiaTheme="minorEastAsia" w:hAnsi="Aptos"/>
      <w:kern w:val="0"/>
      <w:sz w:val="2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5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2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2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2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2F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25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2F6"/>
    <w:rPr>
      <w:rFonts w:ascii="Aptos" w:eastAsiaTheme="minorEastAsia" w:hAnsi="Aptos"/>
      <w:kern w:val="0"/>
      <w:sz w:val="20"/>
      <w:szCs w:val="22"/>
      <w:lang w:val="en-US"/>
      <w14:ligatures w14:val="none"/>
    </w:rPr>
  </w:style>
  <w:style w:type="paragraph" w:styleId="ListBullet">
    <w:name w:val="List Bullet"/>
    <w:basedOn w:val="Normal"/>
    <w:uiPriority w:val="99"/>
    <w:unhideWhenUsed/>
    <w:rsid w:val="000252F6"/>
    <w:pPr>
      <w:numPr>
        <w:numId w:val="1"/>
      </w:numPr>
      <w:tabs>
        <w:tab w:val="clear" w:pos="360"/>
      </w:tabs>
      <w:ind w:left="0" w:firstLine="0"/>
      <w:contextualSpacing/>
    </w:pPr>
  </w:style>
  <w:style w:type="table" w:styleId="TableGrid">
    <w:name w:val="Table Grid"/>
    <w:basedOn w:val="TableNormal"/>
    <w:uiPriority w:val="59"/>
    <w:rsid w:val="000252F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2026-07-10T10:13:00Z</dcterms:created>
  <dcterms:modified xsi:type="dcterms:W3CDTF">2026-07-10T10:13:00Z</dcterms:modified>
</cp:coreProperties>
</file>