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C3779">
      <w:pPr>
        <w:jc w:val="center"/>
        <w:rPr>
          <w:rFonts w:hint="eastAsia" w:eastAsia="宋体"/>
          <w:sz w:val="21"/>
          <w:szCs w:val="21"/>
          <w:lang w:val="en-US" w:eastAsia="zh-CN"/>
        </w:rPr>
      </w:pPr>
      <w:r>
        <w:rPr>
          <w:rFonts w:hint="eastAsia" w:eastAsia="宋体"/>
          <w:sz w:val="21"/>
          <w:szCs w:val="21"/>
          <w:lang w:val="en-US" w:eastAsia="zh-CN"/>
        </w:rPr>
        <w:t>Table S4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rFonts w:hint="eastAsia" w:eastAsia="宋体"/>
          <w:sz w:val="21"/>
          <w:szCs w:val="21"/>
          <w:lang w:val="en-US" w:eastAsia="zh-CN"/>
        </w:rPr>
        <w:t>List of 18 genes whose Hazard Ratio (HR) values were consistent with the logFC direction</w:t>
      </w:r>
      <w:bookmarkStart w:id="0" w:name="_GoBack"/>
      <w:bookmarkEnd w:id="0"/>
    </w:p>
    <w:tbl>
      <w:tblPr>
        <w:tblStyle w:val="2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612"/>
        <w:gridCol w:w="765"/>
        <w:gridCol w:w="1023"/>
        <w:gridCol w:w="4075"/>
      </w:tblGrid>
      <w:tr w14:paraId="027856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0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 w14:paraId="701B8B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000000"/>
                <w:sz w:val="18"/>
                <w:szCs w:val="18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宋体"/>
                <w:b/>
                <w:bCs/>
                <w:color w:val="000000"/>
                <w:sz w:val="18"/>
                <w:szCs w:val="18"/>
              </w:rPr>
              <w:t>ite</w:t>
            </w:r>
          </w:p>
        </w:tc>
        <w:tc>
          <w:tcPr>
            <w:tcW w:w="1612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 w14:paraId="277D636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000000"/>
                <w:sz w:val="18"/>
                <w:szCs w:val="18"/>
              </w:rPr>
              <w:t>HR(95% Cl)</w:t>
            </w:r>
          </w:p>
        </w:tc>
        <w:tc>
          <w:tcPr>
            <w:tcW w:w="765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 w14:paraId="4F84AE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000000"/>
                <w:sz w:val="18"/>
                <w:szCs w:val="18"/>
              </w:rPr>
              <w:t>logFC</w:t>
            </w:r>
          </w:p>
        </w:tc>
        <w:tc>
          <w:tcPr>
            <w:tcW w:w="1023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 w14:paraId="23D3A6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000000"/>
                <w:sz w:val="18"/>
                <w:szCs w:val="18"/>
              </w:rPr>
              <w:t>PMID</w:t>
            </w:r>
          </w:p>
        </w:tc>
        <w:tc>
          <w:tcPr>
            <w:tcW w:w="4075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 w14:paraId="6AF77A4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000000"/>
                <w:sz w:val="18"/>
                <w:szCs w:val="18"/>
                <w:lang w:val="en-US" w:eastAsia="zh-CN"/>
              </w:rPr>
              <w:t>Title</w:t>
            </w:r>
          </w:p>
        </w:tc>
      </w:tr>
      <w:tr w14:paraId="0A4908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0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1F5DC1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CCRL2</w:t>
            </w:r>
          </w:p>
        </w:tc>
        <w:tc>
          <w:tcPr>
            <w:tcW w:w="1612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58B5D0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0.662(0.52-0.843)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AA96F8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righ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 xml:space="preserve">-0.54 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B3203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 xml:space="preserve">PMID: </w:t>
            </w:r>
          </w:p>
          <w:p w14:paraId="253C175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26383527</w:t>
            </w:r>
          </w:p>
        </w:tc>
        <w:tc>
          <w:tcPr>
            <w:tcW w:w="4075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259FA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The chemokines CCR1 and CCRL2 have a role in colorectal cancer liver metastasis.</w:t>
            </w:r>
          </w:p>
        </w:tc>
      </w:tr>
      <w:tr w14:paraId="5EBA71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B6CACE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SENP8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AED980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0.52(0.315-0.859)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C1304B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righ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 xml:space="preserve">-0.66 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6A684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 xml:space="preserve">PMID: </w:t>
            </w:r>
          </w:p>
          <w:p w14:paraId="11752B1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36626230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74AD20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SHP2 deneddylation mediates tumor immunosuppression in colon cancer via the CD47/SIRPalpha axis.</w:t>
            </w:r>
          </w:p>
        </w:tc>
      </w:tr>
      <w:tr w14:paraId="2BBBC5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81220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ANKRD13D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B11B3A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1.63(1.12-2.37)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6463D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EFA183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no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63D5BE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righ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</w:p>
        </w:tc>
      </w:tr>
      <w:tr w14:paraId="568F2B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9CB0FC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TNK2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BB8624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1.41(1.07-1.86)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3CBF7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27C500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 xml:space="preserve">PMID: </w:t>
            </w:r>
          </w:p>
          <w:p w14:paraId="357730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35057760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3AA1D7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Identification of an ACK1/TNK2-based prognostic signature for colon cancer to predict survival and inflammatory landscapes.</w:t>
            </w:r>
          </w:p>
        </w:tc>
      </w:tr>
      <w:tr w14:paraId="0F9E0B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EE1874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FBXL5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64D9E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0.697(0.521-0.932)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9870C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righ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 xml:space="preserve">-0.89 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33950E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 xml:space="preserve">PMID: </w:t>
            </w:r>
          </w:p>
          <w:p w14:paraId="08D6EE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30257389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832BF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F-box and leucine-rich repeat protein 5 promotes colon cancer progression by modulating PTEN/PI3K/AKT signaling pathway.</w:t>
            </w:r>
          </w:p>
        </w:tc>
      </w:tr>
      <w:tr w14:paraId="3632C8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6EE27F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USP53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D4E2EE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0.752(0.596-0.95)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999F6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righ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 xml:space="preserve">-0.90 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2B304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 xml:space="preserve">PMID: </w:t>
            </w:r>
          </w:p>
          <w:p w14:paraId="6387DF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39300775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B9332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An Overview of the Deubiquitinase USP53: A Promising Diagnostic Marker and Therapeutic Target</w:t>
            </w:r>
          </w:p>
        </w:tc>
      </w:tr>
      <w:tr w14:paraId="6D6700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359C08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TRIM25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271BA2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0.695(0.512-0.945)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45C204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righ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 xml:space="preserve">-0.54 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3BF7E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 xml:space="preserve">PMID: </w:t>
            </w:r>
          </w:p>
          <w:p w14:paraId="5E102A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37742010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4A845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LINC00955 suppresses colorectal cancer growth by acting as a molecular scaffold of TRIM25 and Sp1 to Inhibit DNMT3B-mediated methylation of the PHIP promoter.</w:t>
            </w:r>
          </w:p>
        </w:tc>
      </w:tr>
      <w:tr w14:paraId="1CAF1D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71B8F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BTBD19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2B1D1F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1.31(1.04-1.66)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65644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10968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no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ADC4E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righ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</w:p>
        </w:tc>
      </w:tr>
      <w:tr w14:paraId="01940D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E464D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ARHGAP4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460DE8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1.16(1.02-1.32)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8EC60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BF6B3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 xml:space="preserve">PMID: </w:t>
            </w:r>
          </w:p>
          <w:p w14:paraId="27233F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35847897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92993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Analysis of ARHGAP4 Expression With Colorectal Cancer Clinical Characteristics and Prognosis.</w:t>
            </w:r>
          </w:p>
        </w:tc>
      </w:tr>
      <w:tr w14:paraId="1BAA40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A201A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UBTD1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F0F65B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1.29(1.03-1.61)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5C1C3D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1.1</w:t>
            </w: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161270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 xml:space="preserve">PMID: </w:t>
            </w:r>
          </w:p>
          <w:p w14:paraId="1CA1AE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39003255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61450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The ubiquitin-like protein UBTD1 promotes colorectal cancer progression by stabilizing c-Myc to upregulate glycolysis.</w:t>
            </w:r>
          </w:p>
        </w:tc>
      </w:tr>
      <w:tr w14:paraId="1E2328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3024AA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KCTD9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814CEE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0.795(0.648-0.975)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9CD97B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righ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 xml:space="preserve">-1.44 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25B8F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 xml:space="preserve">PMID: </w:t>
            </w:r>
          </w:p>
          <w:p w14:paraId="287AEED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36055981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4775A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KCTD9 inhibits the Wnt/beta-catenin pathway by decreasing the level of beta-catenin in colorectal cancer.</w:t>
            </w:r>
          </w:p>
        </w:tc>
      </w:tr>
      <w:tr w14:paraId="2B015A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10E19D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CHD4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C6F58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1.58(1.04-2.39)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09C2F8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0.6</w:t>
            </w: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DB012C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 xml:space="preserve">PMID: </w:t>
            </w:r>
          </w:p>
          <w:p w14:paraId="5BE543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28486105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C0DCD7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CHD4 Has Oncogenic Functions in Initiating and Maintaining Epigenetic Suppression of Multiple Tumor Suppressor Genes.</w:t>
            </w:r>
          </w:p>
        </w:tc>
      </w:tr>
      <w:tr w14:paraId="441D33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397ABA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ZBTB7C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ADCB10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0.867(0.759-0.991)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699D8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righ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 xml:space="preserve">-2.16 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F18C12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 xml:space="preserve">PMID: </w:t>
            </w:r>
          </w:p>
          <w:p w14:paraId="7A30AC5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32913494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96AB47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Zinc finger and BTB domain-containing 7C (ZBTB7C) expression as an independent prognostic factor for colorectal cancer and its relevant molecular mechanisms.</w:t>
            </w:r>
          </w:p>
        </w:tc>
      </w:tr>
      <w:tr w14:paraId="2551B1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5AAAFA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KCTD13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D84984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1.52(1.02-2.26)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239D8A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0.7</w:t>
            </w: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73CD7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no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25109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righ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</w:p>
        </w:tc>
      </w:tr>
      <w:tr w14:paraId="002DFB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49896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RNF208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450445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1.25(1.01-1.55)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00C12F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13891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no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AE9A5A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righ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</w:p>
        </w:tc>
      </w:tr>
      <w:tr w14:paraId="7891DD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C91231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ING5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B9113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1.48(1.01-2.18)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26C00D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A100BA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 xml:space="preserve">PMID: </w:t>
            </w:r>
          </w:p>
          <w:p w14:paraId="45365CE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32308564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04894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MicroRNA-196b-5p promotes malignant progression of colorectal cancer by targeting ING5.</w:t>
            </w:r>
          </w:p>
        </w:tc>
      </w:tr>
      <w:tr w14:paraId="0C8CD2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6202D8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UBE2J1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CC574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0.726(0.528-0.999)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3D4EF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righ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 xml:space="preserve">-0.65 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4AEF8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 xml:space="preserve">PMID: </w:t>
            </w:r>
          </w:p>
          <w:p w14:paraId="0CCEC3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36567344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10F576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UBE2J1 inhibits colorectal cancer progression by promoting ubiquitination and degradation of RPS3</w:t>
            </w:r>
          </w:p>
        </w:tc>
      </w:tr>
      <w:tr w14:paraId="1E6092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0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vAlign w:val="top"/>
          </w:tcPr>
          <w:p w14:paraId="28DEB27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SH3D19</w:t>
            </w:r>
          </w:p>
        </w:tc>
        <w:tc>
          <w:tcPr>
            <w:tcW w:w="1612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vAlign w:val="top"/>
          </w:tcPr>
          <w:p w14:paraId="72EAB9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0.787(0.619-0.999)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vAlign w:val="top"/>
          </w:tcPr>
          <w:p w14:paraId="2F1547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righ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 xml:space="preserve">-0.52 </w:t>
            </w:r>
          </w:p>
        </w:tc>
        <w:tc>
          <w:tcPr>
            <w:tcW w:w="1023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vAlign w:val="top"/>
          </w:tcPr>
          <w:p w14:paraId="6E91F0E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  <w:t>no</w:t>
            </w:r>
          </w:p>
        </w:tc>
        <w:tc>
          <w:tcPr>
            <w:tcW w:w="4075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vAlign w:val="top"/>
          </w:tcPr>
          <w:p w14:paraId="6FABA8B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firstLine="0" w:firstLineChars="0"/>
              <w:jc w:val="right"/>
              <w:textAlignment w:val="auto"/>
              <w:rPr>
                <w:rFonts w:hint="eastAsia" w:ascii="Times New Roman" w:hAnsi="Times New Roman" w:eastAsia="宋体"/>
                <w:color w:val="000000"/>
                <w:sz w:val="18"/>
                <w:szCs w:val="18"/>
              </w:rPr>
            </w:pPr>
          </w:p>
        </w:tc>
      </w:tr>
    </w:tbl>
    <w:p w14:paraId="3DE88EF7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330306"/>
    <w:rsid w:val="51900B08"/>
    <w:rsid w:val="55240F02"/>
    <w:rsid w:val="611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  <w:jc w:val="both"/>
    </w:pPr>
    <w:rPr>
      <w:rFonts w:ascii="Times New Roman" w:hAnsi="Times New Roman" w:eastAsia="宋体" w:cs="Times New Roman"/>
      <w:snapToGrid w:val="0"/>
      <w:color w:val="000000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15"/>
    <w:qFormat/>
    <w:uiPriority w:val="0"/>
    <w:rPr>
      <w:rFonts w:hint="eastAsia" w:ascii="宋体" w:hAnsi="宋体" w:eastAsia="宋体" w:cs="宋体"/>
      <w:color w:val="000000"/>
      <w:sz w:val="20"/>
      <w:szCs w:val="20"/>
    </w:rPr>
  </w:style>
  <w:style w:type="character" w:customStyle="1" w:styleId="6">
    <w:name w:val="font5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</Words>
  <Characters>915</Characters>
  <Lines>0</Lines>
  <Paragraphs>0</Paragraphs>
  <TotalTime>0</TotalTime>
  <ScaleCrop>false</ScaleCrop>
  <LinksUpToDate>false</LinksUpToDate>
  <CharactersWithSpaces>953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2025-01-24T07:36:00Z</dcterms:created>
  <dc:creator>Administrator</dc:creator>
  <cp:lastModifiedBy>Administrator</cp:lastModifiedBy>
  <dcterms:modified xsi:type="dcterms:W3CDTF">2025-11-28T09:35:38Z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1744EC5E41D34F0AA664CC71C61FCB2B_12</vt:lpwstr>
  </property>
  <property fmtid="{D5CDD505-2E9C-101B-9397-08002B2CF9AE}" pid="4" name="KSOTemplateDocerSaveRecord">
    <vt:lpwstr>eyJoZGlkIjoiZDRmZGZjZTAwNGFmODc3MmY5Y2FkZGRlN2QxYzBmMDgifQ==</vt:lpwstr>
  </property>
</Properties>
</file>