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612316">
      <w:pPr>
        <w:pStyle w:val="2"/>
        <w:bidi w:val="0"/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Supplementary Material</w:t>
      </w:r>
    </w:p>
    <w:p w14:paraId="60419D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Supplementary Statistical Methods</w:t>
      </w:r>
    </w:p>
    <w:p w14:paraId="1D30DF26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Missing data for baseline variables were minimal, with the following counts (percentages): platelet count (20, 10.7%), hemoglobin (16, 8.6%), urea (13, 7.0%), lymphocyte count (12, 6.4%), uric acid (11, 5.9%), creatinine (9, 4.8%), low‑density lipoprotein cholesterol (9, 4.8%), total protein (8, 4.3%), white blood cell count (7, 3.7%), albumin (6, 3.2%), total cholesterol (5, 2.7%), and high‑density lipoprotein cholesterol (3, 1.6%). To address missing data, we performed multiple imputation using the MICE</w:t>
      </w:r>
      <w:bookmarkStart w:id="0" w:name="_GoBack"/>
      <w:bookmarkEnd w:id="0"/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 xml:space="preserve"> package in R and pooled the estimates according to Rubin’s rules.</w:t>
      </w:r>
    </w:p>
    <w:p w14:paraId="623EE119"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26C513F0"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730DFC51"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322EDBC7"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5809AE92"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38A5207E"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2092207C"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16160D6B"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37F44E48"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7AFCF5D0"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317EC3F6"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226DF850"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6711D2AF"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3D3D3113"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28383FB7">
      <w:pPr>
        <w:spacing w:line="480" w:lineRule="auto"/>
        <w:rPr>
          <w:rFonts w:hint="eastAsia" w:eastAsia="宋体"/>
          <w:sz w:val="20"/>
          <w:lang w:val="en-US" w:eastAsia="zh-CN"/>
        </w:rPr>
      </w:pPr>
      <w:r>
        <w:rPr>
          <w:rFonts w:hint="eastAsia" w:eastAsia="宋体"/>
          <w:sz w:val="20"/>
          <w:lang w:val="en-US" w:eastAsia="zh-CN"/>
        </w:rPr>
        <w:object>
          <v:shape id="_x0000_i1027" o:spt="75" alt="" type="#_x0000_t75" style="height:301.05pt;width:384.8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Word.Document.12" ShapeID="_x0000_i1027" DrawAspect="Content" ObjectID="_1468075725" r:id="rId6">
            <o:LockedField>false</o:LockedField>
          </o:OLEObject>
        </w:object>
      </w:r>
    </w:p>
    <w:p w14:paraId="44162274">
      <w:pPr>
        <w:spacing w:line="360" w:lineRule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Supplementary Figure 1. </w:t>
      </w:r>
      <w:r>
        <w:rPr>
          <w:rFonts w:hint="default" w:ascii="Times New Roman" w:hAnsi="Times New Roman" w:cs="Times New Roman"/>
          <w:sz w:val="20"/>
          <w:szCs w:val="20"/>
        </w:rPr>
        <w:t>Receiver operating characteristic (ROC) curve for TyG-BMI predicting 90-day all-cause mortality. The optimal cut-off value of 215.53 was determined using the Youden index (AUC 0.618, 95% CI 0.481–0.755; sensitivity 73.7%, specificity 53.6%). AUC, area under the curve; TyG-BMI, triglyceride-glucose body mass index.</w:t>
      </w:r>
    </w:p>
    <w:p w14:paraId="077C8103">
      <w:pPr>
        <w:spacing w:line="480" w:lineRule="auto"/>
        <w:rPr>
          <w:rFonts w:hint="eastAsia" w:eastAsia="宋体"/>
          <w:sz w:val="20"/>
          <w:lang w:val="en-US" w:eastAsia="zh-CN"/>
        </w:rPr>
      </w:pPr>
    </w:p>
    <w:p w14:paraId="404A885A">
      <w:pPr>
        <w:spacing w:line="480" w:lineRule="auto"/>
        <w:rPr>
          <w:rFonts w:hint="eastAsia" w:ascii="Times New Roman" w:hAnsi="Times New Roman"/>
          <w:b/>
          <w:bCs/>
          <w:sz w:val="20"/>
        </w:rPr>
      </w:pPr>
      <w:r>
        <w:rPr>
          <w:rFonts w:hint="eastAsia" w:ascii="Times New Roman" w:hAnsi="Times New Roman"/>
          <w:b/>
          <w:bCs/>
          <w:sz w:val="20"/>
        </w:rPr>
        <w:t xml:space="preserve"> </w:t>
      </w:r>
    </w:p>
    <w:p w14:paraId="7525B8B7">
      <w:pPr>
        <w:spacing w:line="480" w:lineRule="auto"/>
        <w:rPr>
          <w:rFonts w:hint="eastAsia" w:ascii="Times New Roman" w:hAnsi="Times New Roman"/>
          <w:b/>
          <w:bCs/>
          <w:sz w:val="20"/>
        </w:rPr>
      </w:pPr>
    </w:p>
    <w:p w14:paraId="67201C23">
      <w:pPr>
        <w:spacing w:line="480" w:lineRule="auto"/>
        <w:rPr>
          <w:rFonts w:hint="eastAsia" w:ascii="Times New Roman" w:hAnsi="Times New Roman"/>
          <w:b/>
          <w:bCs/>
          <w:sz w:val="20"/>
        </w:rPr>
      </w:pPr>
    </w:p>
    <w:p w14:paraId="30C89282">
      <w:pPr>
        <w:spacing w:line="480" w:lineRule="auto"/>
        <w:rPr>
          <w:rFonts w:hint="eastAsia" w:ascii="Times New Roman" w:hAnsi="Times New Roman"/>
          <w:b/>
          <w:bCs/>
          <w:sz w:val="20"/>
        </w:rPr>
      </w:pPr>
    </w:p>
    <w:p w14:paraId="35E94DAC">
      <w:pPr>
        <w:spacing w:line="480" w:lineRule="auto"/>
        <w:rPr>
          <w:rFonts w:hint="eastAsia" w:ascii="Times New Roman" w:hAnsi="Times New Roman"/>
          <w:b/>
          <w:bCs/>
          <w:sz w:val="20"/>
        </w:rPr>
      </w:pPr>
    </w:p>
    <w:p w14:paraId="3EC223A9">
      <w:pPr>
        <w:spacing w:line="360" w:lineRule="auto"/>
        <w:rPr>
          <w:rFonts w:hint="eastAsia" w:ascii="Times New Roman" w:hAnsi="Times New Roman"/>
          <w:b/>
          <w:bCs/>
          <w:sz w:val="20"/>
        </w:rPr>
      </w:pPr>
    </w:p>
    <w:p w14:paraId="11E128CA">
      <w:pPr>
        <w:spacing w:line="360" w:lineRule="auto"/>
        <w:rPr>
          <w:rFonts w:hint="eastAsia" w:eastAsia="宋体"/>
          <w:sz w:val="20"/>
          <w:lang w:val="en-US" w:eastAsia="zh-CN"/>
        </w:rPr>
      </w:pPr>
      <w:r>
        <w:rPr>
          <w:rFonts w:hint="eastAsia" w:eastAsia="宋体"/>
          <w:sz w:val="20"/>
          <w:lang w:val="en-US" w:eastAsia="zh-CN"/>
        </w:rPr>
        <w:drawing>
          <wp:inline distT="0" distB="0" distL="114300" distR="114300">
            <wp:extent cx="4241165" cy="6084570"/>
            <wp:effectExtent l="0" t="0" r="6985" b="1905"/>
            <wp:docPr id="1" name="图片 1" descr="补充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补充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41165" cy="608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05B96">
      <w:pPr>
        <w:spacing w:line="360" w:lineRule="auto"/>
      </w:pPr>
      <w:r>
        <w:rPr>
          <w:rFonts w:hint="eastAsia" w:ascii="Times New Roman" w:hAnsi="Times New Roman"/>
          <w:b/>
          <w:bCs/>
          <w:sz w:val="20"/>
        </w:rPr>
        <w:t xml:space="preserve">Supplementary Figure 2. </w:t>
      </w:r>
      <w:r>
        <w:rPr>
          <w:rFonts w:hint="eastAsia" w:ascii="Times New Roman" w:hAnsi="Times New Roman"/>
          <w:sz w:val="20"/>
        </w:rPr>
        <w:t>Forest plots of subgroup analyses for the association between TyG-BMI and (A) 90-day and (B) 1-year all-cause mortality. Hazard ratios (HRs) and 95% confidence intervals (CIs) from the fully adjusted Cox model are shown for each subgroup. P values for interaction (multiplicative) are displayed for each stratifying variable. NIHSS, National Institutes of Health Stroke Scale; IVT, intravenous thrombolysi</w:t>
      </w:r>
      <w:r>
        <w:rPr>
          <w:rFonts w:hint="eastAsia" w:eastAsia="宋体"/>
          <w:sz w:val="20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B40E86"/>
    <w:rsid w:val="0BBE4AEF"/>
    <w:rsid w:val="27697321"/>
    <w:rsid w:val="36F30A8E"/>
    <w:rsid w:val="38797524"/>
    <w:rsid w:val="48107E1B"/>
    <w:rsid w:val="4F506B2E"/>
    <w:rsid w:val="55BB6F76"/>
    <w:rsid w:val="5A5B2AD6"/>
    <w:rsid w:val="63B4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480" w:lineRule="auto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2.tiff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2026-07-07T09:31:00Z</dcterms:created>
  <dc:creator>向日葵</dc:creator>
  <cp:lastModifiedBy>向日葵</cp:lastModifiedBy>
  <dcterms:modified xsi:type="dcterms:W3CDTF">2026-07-07T14:26:02Z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C97CFB456B8D48EEAA69E3DD22CEFAB9_11</vt:lpwstr>
  </property>
  <property fmtid="{D5CDD505-2E9C-101B-9397-08002B2CF9AE}" pid="4" name="KSOTemplateDocerSaveRecord">
    <vt:lpwstr>eyJoZGlkIjoiMjVlZmU2YTA4MmU0MWMxNWFlM2ZjNDFmMjU3YTc2NmQiLCJ1c2VySWQiOiIxMTAxNDY1NTMyIn0=</vt:lpwstr>
  </property>
</Properties>
</file>