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C2634D" w14:textId="77777777" w:rsidR="003947C5" w:rsidRPr="006A5501" w:rsidRDefault="003947C5" w:rsidP="003947C5">
      <w:pPr>
        <w:pStyle w:val="Heading2"/>
      </w:pPr>
      <w:r w:rsidRPr="006A5501">
        <w:t>Supplementary Figures</w:t>
      </w:r>
    </w:p>
    <w:p w14:paraId="58686035" w14:textId="77777777" w:rsidR="003947C5" w:rsidRPr="006A5501" w:rsidRDefault="003947C5" w:rsidP="003947C5">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420" w:after="420"/>
        <w:rPr>
          <w:rFonts w:asciiTheme="minorBidi" w:eastAsia="Roboto" w:hAnsiTheme="minorBidi" w:cstheme="minorBidi"/>
          <w:sz w:val="24"/>
          <w:szCs w:val="24"/>
        </w:rPr>
      </w:pPr>
    </w:p>
    <w:p w14:paraId="373FA5EC" w14:textId="77777777" w:rsidR="003947C5" w:rsidRPr="006A5501" w:rsidRDefault="003947C5" w:rsidP="003947C5">
      <w:pPr>
        <w:rPr>
          <w:rFonts w:asciiTheme="minorBidi" w:hAnsiTheme="minorBidi" w:cstheme="minorBidi"/>
        </w:rPr>
      </w:pPr>
      <w:r w:rsidRPr="006A5501">
        <w:rPr>
          <w:rFonts w:asciiTheme="minorBidi" w:hAnsiTheme="minorBidi" w:cstheme="minorBidi"/>
          <w:noProof/>
        </w:rPr>
        <w:drawing>
          <wp:inline distT="0" distB="0" distL="0" distR="0" wp14:anchorId="17FD6AFE" wp14:editId="6FFE4466">
            <wp:extent cx="5939790" cy="2051685"/>
            <wp:effectExtent l="0" t="0" r="3810" b="5715"/>
            <wp:docPr id="10769591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39790" cy="2051685"/>
                    </a:xfrm>
                    <a:prstGeom prst="rect">
                      <a:avLst/>
                    </a:prstGeom>
                    <a:noFill/>
                    <a:ln>
                      <a:noFill/>
                    </a:ln>
                  </pic:spPr>
                </pic:pic>
              </a:graphicData>
            </a:graphic>
          </wp:inline>
        </w:drawing>
      </w:r>
    </w:p>
    <w:p w14:paraId="1FCD3251" w14:textId="77777777" w:rsidR="003947C5" w:rsidRDefault="003947C5" w:rsidP="003947C5">
      <w:pPr>
        <w:pStyle w:val="Heading1"/>
        <w:ind w:firstLine="720"/>
        <w:rPr>
          <w:rFonts w:asciiTheme="minorBidi" w:hAnsiTheme="minorBidi" w:cstheme="minorBidi"/>
          <w:sz w:val="22"/>
          <w:szCs w:val="22"/>
          <w:lang w:val="en-US"/>
        </w:rPr>
      </w:pPr>
      <w:r w:rsidRPr="006A5501">
        <w:rPr>
          <w:rFonts w:asciiTheme="minorBidi" w:hAnsiTheme="minorBidi" w:cstheme="minorBidi"/>
          <w:b/>
          <w:bCs/>
          <w:sz w:val="22"/>
          <w:szCs w:val="22"/>
          <w:lang w:val="en-US"/>
        </w:rPr>
        <w:t>Supp. Fig 1. Wet-lab workflow for UG 100</w:t>
      </w:r>
      <w:r w:rsidRPr="006A5501">
        <w:rPr>
          <w:rFonts w:asciiTheme="minorBidi" w:hAnsiTheme="minorBidi" w:cstheme="minorBidi"/>
          <w:b/>
          <w:bCs/>
          <w:sz w:val="22"/>
          <w:szCs w:val="22"/>
          <w:vertAlign w:val="superscript"/>
          <w:lang w:val="en-US"/>
        </w:rPr>
        <w:t>®</w:t>
      </w:r>
      <w:r w:rsidRPr="006A5501">
        <w:rPr>
          <w:rFonts w:asciiTheme="minorBidi" w:hAnsiTheme="minorBidi" w:cstheme="minorBidi"/>
          <w:b/>
          <w:bCs/>
          <w:sz w:val="22"/>
          <w:szCs w:val="22"/>
          <w:lang w:val="en-US"/>
        </w:rPr>
        <w:t xml:space="preserve"> sequencing</w:t>
      </w:r>
      <w:r w:rsidRPr="006A5501">
        <w:rPr>
          <w:rFonts w:asciiTheme="minorBidi" w:hAnsiTheme="minorBidi" w:cstheme="minorBidi"/>
          <w:i/>
          <w:iCs/>
          <w:sz w:val="22"/>
          <w:szCs w:val="22"/>
          <w:lang w:val="en-US"/>
        </w:rPr>
        <w:t>.</w:t>
      </w:r>
      <w:r w:rsidRPr="006A5501">
        <w:rPr>
          <w:rFonts w:asciiTheme="minorBidi" w:hAnsiTheme="minorBidi" w:cstheme="minorBidi"/>
          <w:b/>
          <w:bCs/>
          <w:sz w:val="22"/>
          <w:szCs w:val="22"/>
          <w:lang w:val="en-US"/>
        </w:rPr>
        <w:t xml:space="preserve"> </w:t>
      </w:r>
      <w:r w:rsidRPr="006A5501">
        <w:rPr>
          <w:rFonts w:asciiTheme="minorBidi" w:hAnsiTheme="minorBidi" w:cstheme="minorBidi"/>
          <w:sz w:val="22"/>
          <w:szCs w:val="22"/>
          <w:lang w:val="en-US"/>
        </w:rPr>
        <w:t>Genomic DNA is extracted, fragmented, and end-repaired with A-tailing for adapter ligation. Libraries are then amplified (FFPE samples only), indexed, and loaded onto the Ultima Genomics platform, producing up to 300 bp reads that are exported as aligned CRAM files for downstream analysis. (Figure created using BioRender)</w:t>
      </w:r>
    </w:p>
    <w:p w14:paraId="1E101044" w14:textId="77777777" w:rsidR="003947C5" w:rsidRDefault="003947C5" w:rsidP="003947C5">
      <w:pPr>
        <w:rPr>
          <w:lang w:val="en-US"/>
        </w:rPr>
      </w:pPr>
    </w:p>
    <w:p w14:paraId="694CB513" w14:textId="77777777" w:rsidR="003947C5" w:rsidRPr="00E75379" w:rsidRDefault="003947C5" w:rsidP="003947C5">
      <w:pPr>
        <w:rPr>
          <w:lang w:val="en-US"/>
        </w:rPr>
      </w:pPr>
    </w:p>
    <w:p w14:paraId="3ECB98D5" w14:textId="77777777" w:rsidR="003947C5" w:rsidRPr="006A5501" w:rsidRDefault="003947C5" w:rsidP="003947C5">
      <w:pPr>
        <w:rPr>
          <w:rFonts w:asciiTheme="minorBidi" w:hAnsiTheme="minorBidi" w:cstheme="minorBidi"/>
          <w:lang w:val="en-US"/>
        </w:rPr>
      </w:pPr>
      <w:r w:rsidRPr="006A5501">
        <w:rPr>
          <w:rFonts w:asciiTheme="minorBidi" w:hAnsiTheme="minorBidi" w:cstheme="minorBidi"/>
          <w:noProof/>
        </w:rPr>
        <w:drawing>
          <wp:inline distT="0" distB="0" distL="0" distR="0" wp14:anchorId="0892EAC1" wp14:editId="07449E98">
            <wp:extent cx="5943600" cy="3677920"/>
            <wp:effectExtent l="0" t="0" r="0" b="0"/>
            <wp:docPr id="6588398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3600" cy="3677920"/>
                    </a:xfrm>
                    <a:prstGeom prst="rect">
                      <a:avLst/>
                    </a:prstGeom>
                    <a:noFill/>
                    <a:ln>
                      <a:noFill/>
                    </a:ln>
                  </pic:spPr>
                </pic:pic>
              </a:graphicData>
            </a:graphic>
          </wp:inline>
        </w:drawing>
      </w:r>
    </w:p>
    <w:p w14:paraId="23B2F1AE" w14:textId="77777777" w:rsidR="003947C5" w:rsidRPr="006A5501" w:rsidRDefault="003947C5" w:rsidP="003947C5">
      <w:pPr>
        <w:widowControl w:val="0"/>
        <w:rPr>
          <w:rFonts w:asciiTheme="minorBidi" w:hAnsiTheme="minorBidi" w:cstheme="minorBidi"/>
          <w:b/>
          <w:bCs/>
        </w:rPr>
      </w:pPr>
    </w:p>
    <w:p w14:paraId="22EE72EF" w14:textId="77777777" w:rsidR="003947C5" w:rsidRPr="006A5501" w:rsidRDefault="003947C5" w:rsidP="003947C5">
      <w:pPr>
        <w:ind w:left="720" w:firstLine="720"/>
        <w:rPr>
          <w:rFonts w:asciiTheme="minorBidi" w:hAnsiTheme="minorBidi" w:cstheme="minorBidi"/>
          <w:lang w:val="en-US"/>
        </w:rPr>
      </w:pPr>
      <w:r w:rsidRPr="006A5501">
        <w:rPr>
          <w:rFonts w:asciiTheme="minorBidi" w:hAnsiTheme="minorBidi" w:cstheme="minorBidi"/>
          <w:b/>
          <w:bCs/>
          <w:lang w:val="en-US"/>
        </w:rPr>
        <w:t xml:space="preserve">Supp. Fig 2. Co-mutation plot summarizing variants in DNA polymerase and mismatch repair (MMR) genes across samples with different microsatellite instability </w:t>
      </w:r>
      <w:r w:rsidRPr="006A5501">
        <w:rPr>
          <w:rFonts w:asciiTheme="minorBidi" w:hAnsiTheme="minorBidi" w:cstheme="minorBidi"/>
          <w:b/>
          <w:bCs/>
          <w:lang w:val="en-US"/>
        </w:rPr>
        <w:lastRenderedPageBreak/>
        <w:t>(MSI) statuses.</w:t>
      </w:r>
      <w:r w:rsidRPr="006A5501">
        <w:rPr>
          <w:rFonts w:asciiTheme="minorBidi" w:hAnsiTheme="minorBidi" w:cstheme="minorBidi"/>
          <w:lang w:val="en-US"/>
        </w:rPr>
        <w:t xml:space="preserve"> Each column represents a sample, and each row corresponds to a gene or annotation category. Mutation type is shown by clinical significance (top panel), variant allele frequency (VAF) (middle panel), and tissue type and MSI classification (bottom panels). MSI status is categorized as </w:t>
      </w:r>
      <w:r w:rsidRPr="006A5501">
        <w:rPr>
          <w:rFonts w:asciiTheme="minorBidi" w:hAnsiTheme="minorBidi" w:cstheme="minorBidi"/>
          <w:i/>
          <w:iCs/>
          <w:lang w:val="en-US"/>
        </w:rPr>
        <w:t>MSI-high</w:t>
      </w:r>
      <w:r w:rsidRPr="006A5501">
        <w:rPr>
          <w:rFonts w:asciiTheme="minorBidi" w:hAnsiTheme="minorBidi" w:cstheme="minorBidi"/>
          <w:lang w:val="en-US"/>
        </w:rPr>
        <w:t xml:space="preserve">, </w:t>
      </w:r>
      <w:r w:rsidRPr="006A5501">
        <w:rPr>
          <w:rFonts w:asciiTheme="minorBidi" w:hAnsiTheme="minorBidi" w:cstheme="minorBidi"/>
          <w:i/>
          <w:iCs/>
          <w:lang w:val="en-US"/>
        </w:rPr>
        <w:t>MSI-suspicious</w:t>
      </w:r>
      <w:r w:rsidRPr="006A5501">
        <w:rPr>
          <w:rFonts w:asciiTheme="minorBidi" w:hAnsiTheme="minorBidi" w:cstheme="minorBidi"/>
          <w:lang w:val="en-US"/>
        </w:rPr>
        <w:t xml:space="preserve">, or </w:t>
      </w:r>
      <w:r w:rsidRPr="006A5501">
        <w:rPr>
          <w:rFonts w:asciiTheme="minorBidi" w:hAnsiTheme="minorBidi" w:cstheme="minorBidi"/>
          <w:i/>
          <w:iCs/>
          <w:lang w:val="en-US"/>
        </w:rPr>
        <w:t>MSS-likely</w:t>
      </w:r>
      <w:r w:rsidRPr="006A5501">
        <w:rPr>
          <w:rFonts w:asciiTheme="minorBidi" w:hAnsiTheme="minorBidi" w:cstheme="minorBidi"/>
          <w:lang w:val="en-US"/>
        </w:rPr>
        <w:t xml:space="preserve">. VAF categories were defined as: low (VAF </w:t>
      </w:r>
      <w:r w:rsidRPr="006A5501">
        <w:rPr>
          <w:rFonts w:asciiTheme="minorBidi" w:hAnsiTheme="minorBidi" w:cstheme="minorBidi"/>
          <w:u w:val="single"/>
          <w:lang w:val="en-US"/>
        </w:rPr>
        <w:t>&lt;</w:t>
      </w:r>
      <w:r w:rsidRPr="006A5501">
        <w:rPr>
          <w:rFonts w:asciiTheme="minorBidi" w:hAnsiTheme="minorBidi" w:cstheme="minorBidi"/>
          <w:lang w:val="en-US"/>
        </w:rPr>
        <w:t xml:space="preserve"> 0.2), medium (0.2 &lt; VAF &lt; 0.5), high (VAF </w:t>
      </w:r>
      <w:r w:rsidRPr="006A5501">
        <w:rPr>
          <w:rFonts w:asciiTheme="minorBidi" w:hAnsiTheme="minorBidi" w:cstheme="minorBidi"/>
          <w:u w:val="single"/>
          <w:lang w:val="en-US"/>
        </w:rPr>
        <w:t>&gt;</w:t>
      </w:r>
      <w:r w:rsidRPr="006A5501">
        <w:rPr>
          <w:rFonts w:asciiTheme="minorBidi" w:hAnsiTheme="minorBidi" w:cstheme="minorBidi"/>
          <w:lang w:val="en-US"/>
        </w:rPr>
        <w:t xml:space="preserve"> 0.5). The MSI cell-line LOVO has only low impact variants even though it is known to have MSH2 deficiency, therefore it is not shown on the co-mut plot. </w:t>
      </w:r>
    </w:p>
    <w:p w14:paraId="30BC02AF" w14:textId="77777777" w:rsidR="003947C5" w:rsidRPr="006A5501" w:rsidRDefault="003947C5" w:rsidP="003947C5">
      <w:pPr>
        <w:rPr>
          <w:rFonts w:asciiTheme="minorBidi" w:hAnsiTheme="minorBidi" w:cstheme="minorBidi"/>
          <w:lang w:val="en-US"/>
        </w:rPr>
      </w:pPr>
      <w:r w:rsidRPr="006A5501">
        <w:rPr>
          <w:rFonts w:asciiTheme="minorBidi" w:hAnsiTheme="minorBidi" w:cstheme="minorBidi"/>
          <w:noProof/>
          <w:lang w:val="en-US"/>
        </w:rPr>
        <w:drawing>
          <wp:inline distT="0" distB="0" distL="0" distR="0" wp14:anchorId="6E84F4B3" wp14:editId="7DAC5BCD">
            <wp:extent cx="5931535" cy="4222115"/>
            <wp:effectExtent l="0" t="0" r="0" b="6985"/>
            <wp:docPr id="42410726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31535" cy="4222115"/>
                    </a:xfrm>
                    <a:prstGeom prst="rect">
                      <a:avLst/>
                    </a:prstGeom>
                    <a:noFill/>
                    <a:ln>
                      <a:noFill/>
                    </a:ln>
                  </pic:spPr>
                </pic:pic>
              </a:graphicData>
            </a:graphic>
          </wp:inline>
        </w:drawing>
      </w:r>
    </w:p>
    <w:p w14:paraId="37BFAE78" w14:textId="77777777" w:rsidR="003947C5" w:rsidRPr="006A5501" w:rsidRDefault="003947C5" w:rsidP="003947C5">
      <w:pPr>
        <w:ind w:firstLine="720"/>
        <w:rPr>
          <w:rFonts w:asciiTheme="minorBidi" w:hAnsiTheme="minorBidi" w:cstheme="minorBidi"/>
          <w:sz w:val="24"/>
          <w:szCs w:val="24"/>
          <w:lang w:val="en-US"/>
        </w:rPr>
      </w:pPr>
      <w:r w:rsidRPr="006A5501">
        <w:rPr>
          <w:rFonts w:asciiTheme="minorBidi" w:hAnsiTheme="minorBidi" w:cstheme="minorBidi"/>
          <w:b/>
          <w:bCs/>
        </w:rPr>
        <w:t>Supp.</w:t>
      </w:r>
      <w:r>
        <w:rPr>
          <w:rFonts w:asciiTheme="minorBidi" w:hAnsiTheme="minorBidi" w:cstheme="minorBidi"/>
          <w:b/>
          <w:bCs/>
        </w:rPr>
        <w:t xml:space="preserve"> </w:t>
      </w:r>
      <w:r w:rsidRPr="006A5501">
        <w:rPr>
          <w:rFonts w:asciiTheme="minorBidi" w:hAnsiTheme="minorBidi" w:cstheme="minorBidi"/>
          <w:b/>
          <w:bCs/>
        </w:rPr>
        <w:t>Fig.</w:t>
      </w:r>
      <w:r>
        <w:rPr>
          <w:rFonts w:asciiTheme="minorBidi" w:hAnsiTheme="minorBidi" w:cstheme="minorBidi"/>
          <w:b/>
          <w:bCs/>
        </w:rPr>
        <w:t xml:space="preserve"> </w:t>
      </w:r>
      <w:r w:rsidRPr="006A5501">
        <w:rPr>
          <w:rFonts w:asciiTheme="minorBidi" w:hAnsiTheme="minorBidi" w:cstheme="minorBidi"/>
          <w:b/>
          <w:bCs/>
        </w:rPr>
        <w:t>3</w:t>
      </w:r>
      <w:r>
        <w:rPr>
          <w:rFonts w:asciiTheme="minorBidi" w:hAnsiTheme="minorBidi" w:cstheme="minorBidi"/>
          <w:b/>
          <w:bCs/>
        </w:rPr>
        <w:t xml:space="preserve"> </w:t>
      </w:r>
      <w:r w:rsidRPr="006A5501">
        <w:rPr>
          <w:rFonts w:asciiTheme="minorBidi" w:hAnsiTheme="minorBidi" w:cstheme="minorBidi"/>
          <w:b/>
          <w:bCs/>
        </w:rPr>
        <w:t>- Detection of MSI using 1 bp indels across sequencing modalities and tumor fractions.</w:t>
      </w:r>
      <w:r w:rsidRPr="006A5501">
        <w:rPr>
          <w:rFonts w:asciiTheme="minorBidi" w:hAnsiTheme="minorBidi" w:cstheme="minorBidi"/>
          <w:i/>
          <w:iCs/>
        </w:rPr>
        <w:t xml:space="preserve"> </w:t>
      </w:r>
      <w:r w:rsidRPr="006A5501">
        <w:rPr>
          <w:rFonts w:asciiTheme="minorBidi" w:hAnsiTheme="minorBidi" w:cstheme="minorBidi"/>
          <w:b/>
          <w:bCs/>
        </w:rPr>
        <w:t>(a–b)</w:t>
      </w:r>
      <w:r w:rsidRPr="006A5501">
        <w:rPr>
          <w:rFonts w:asciiTheme="minorBidi" w:hAnsiTheme="minorBidi" w:cstheme="minorBidi"/>
        </w:rPr>
        <w:t xml:space="preserve"> Distribution of percentages of 1bp A-homopolymer indels out of all indels in 10 to 15 bp A-homopolymers, in MSI-positive and MSS samples that were profiled using </w:t>
      </w:r>
      <w:r w:rsidRPr="006A5501">
        <w:rPr>
          <w:rFonts w:asciiTheme="minorBidi" w:hAnsiTheme="minorBidi" w:cstheme="minorBidi"/>
          <w:b/>
          <w:bCs/>
        </w:rPr>
        <w:t>(a)</w:t>
      </w:r>
      <w:r w:rsidRPr="006A5501">
        <w:rPr>
          <w:rFonts w:asciiTheme="minorBidi" w:hAnsiTheme="minorBidi" w:cstheme="minorBidi"/>
        </w:rPr>
        <w:t xml:space="preserve"> genome-wide sequencing and </w:t>
      </w:r>
      <w:r w:rsidRPr="006A5501">
        <w:rPr>
          <w:rFonts w:asciiTheme="minorBidi" w:hAnsiTheme="minorBidi" w:cstheme="minorBidi"/>
          <w:b/>
          <w:bCs/>
        </w:rPr>
        <w:t>(b)</w:t>
      </w:r>
      <w:r w:rsidRPr="006A5501">
        <w:rPr>
          <w:rFonts w:asciiTheme="minorBidi" w:hAnsiTheme="minorBidi" w:cstheme="minorBidi"/>
        </w:rPr>
        <w:t xml:space="preserve"> exome sequencing. </w:t>
      </w:r>
      <w:r w:rsidRPr="006A5501">
        <w:rPr>
          <w:rFonts w:asciiTheme="minorBidi" w:hAnsiTheme="minorBidi" w:cstheme="minorBidi"/>
          <w:b/>
          <w:bCs/>
        </w:rPr>
        <w:t>(c)</w:t>
      </w:r>
      <w:r w:rsidRPr="006A5501">
        <w:rPr>
          <w:rFonts w:asciiTheme="minorBidi" w:hAnsiTheme="minorBidi" w:cstheme="minorBidi"/>
        </w:rPr>
        <w:t xml:space="preserve"> Receiver Operating Characteristic (ROC) curves evaluating MSI classification based on 1 bp deletion percentage. </w:t>
      </w:r>
      <w:r w:rsidRPr="006A5501">
        <w:rPr>
          <w:rFonts w:asciiTheme="minorBidi" w:hAnsiTheme="minorBidi" w:cstheme="minorBidi"/>
          <w:b/>
          <w:bCs/>
        </w:rPr>
        <w:t>(d)</w:t>
      </w:r>
      <w:r w:rsidRPr="006A5501">
        <w:rPr>
          <w:rFonts w:asciiTheme="minorBidi" w:hAnsiTheme="minorBidi" w:cstheme="minorBidi"/>
        </w:rPr>
        <w:t xml:space="preserve"> Distribution of percentages of 1bp A-homopolymer deletions, as a function of tumor fraction in dilution series of MSI-positive cell lines, compared with MSS cell-line controls. AUC: Area Under the Curve. Ctrl: Control.</w:t>
      </w:r>
    </w:p>
    <w:p w14:paraId="4F950297" w14:textId="77777777" w:rsidR="003947C5" w:rsidRPr="006A5501" w:rsidRDefault="003947C5" w:rsidP="003947C5">
      <w:pPr>
        <w:rPr>
          <w:rFonts w:asciiTheme="minorBidi" w:hAnsiTheme="minorBidi" w:cstheme="minorBidi"/>
          <w:lang w:val="en-US"/>
        </w:rPr>
      </w:pPr>
    </w:p>
    <w:p w14:paraId="22914242" w14:textId="77777777" w:rsidR="003947C5" w:rsidRPr="006A5501" w:rsidRDefault="003947C5" w:rsidP="003947C5">
      <w:pPr>
        <w:rPr>
          <w:rFonts w:asciiTheme="minorBidi" w:hAnsiTheme="minorBidi" w:cstheme="minorBidi"/>
          <w:lang w:val="en-US"/>
        </w:rPr>
      </w:pPr>
    </w:p>
    <w:p w14:paraId="39A7AAEE" w14:textId="77777777" w:rsidR="003947C5" w:rsidRPr="006A5501" w:rsidRDefault="003947C5" w:rsidP="003947C5">
      <w:pPr>
        <w:pStyle w:val="Heading1"/>
        <w:rPr>
          <w:rFonts w:asciiTheme="minorBidi" w:hAnsiTheme="minorBidi" w:cstheme="minorBidi"/>
        </w:rPr>
      </w:pPr>
      <w:r w:rsidRPr="006A5501">
        <w:rPr>
          <w:rFonts w:asciiTheme="minorBidi" w:hAnsiTheme="minorBidi" w:cstheme="minorBidi"/>
        </w:rPr>
        <w:t>Supplementary Data</w:t>
      </w:r>
    </w:p>
    <w:p w14:paraId="705534D7" w14:textId="77777777" w:rsidR="003947C5" w:rsidRPr="006A5501" w:rsidRDefault="003947C5" w:rsidP="003947C5">
      <w:pPr>
        <w:rPr>
          <w:rFonts w:asciiTheme="minorBidi" w:hAnsiTheme="minorBidi" w:cstheme="minorBidi"/>
        </w:rPr>
      </w:pPr>
      <w:r w:rsidRPr="006A5501">
        <w:rPr>
          <w:rFonts w:asciiTheme="minorBidi" w:hAnsiTheme="minorBidi" w:cstheme="minorBidi"/>
        </w:rPr>
        <w:t>All supporting data generated in this study are provided in the Supplementary Tables listed below. These include full variant calling outputs from whole-genome and whole-exome sequencing, variant annotation files before and after filtering, mutational context summaries, signature activity profiles, and low-pass sequencing read-based results.</w:t>
      </w:r>
    </w:p>
    <w:p w14:paraId="0FD907C8" w14:textId="77777777" w:rsidR="003947C5" w:rsidRPr="006A5501" w:rsidRDefault="003947C5" w:rsidP="003947C5">
      <w:pPr>
        <w:rPr>
          <w:rFonts w:asciiTheme="minorBidi" w:hAnsiTheme="minorBidi" w:cstheme="minorBidi"/>
        </w:rPr>
      </w:pPr>
      <w:r w:rsidRPr="006A5501">
        <w:rPr>
          <w:rFonts w:asciiTheme="minorBidi" w:hAnsiTheme="minorBidi" w:cstheme="minorBidi"/>
          <w:b/>
          <w:bCs/>
        </w:rPr>
        <w:lastRenderedPageBreak/>
        <w:t>Supplementary Table S1.</w:t>
      </w:r>
      <w:r w:rsidRPr="006A5501">
        <w:rPr>
          <w:rFonts w:asciiTheme="minorBidi" w:hAnsiTheme="minorBidi" w:cstheme="minorBidi"/>
        </w:rPr>
        <w:t xml:space="preserve"> Full-coverage sequencing data used for variant calling and mutational signature analyses, including variant-level data, mutational burden metrics, and signature assignments for all samples at standard sequencing depth.</w:t>
      </w:r>
    </w:p>
    <w:p w14:paraId="140C37E2" w14:textId="77777777" w:rsidR="003947C5" w:rsidRPr="006A5501" w:rsidRDefault="003947C5" w:rsidP="003947C5">
      <w:pPr>
        <w:rPr>
          <w:rFonts w:asciiTheme="minorBidi" w:hAnsiTheme="minorBidi" w:cstheme="minorBidi"/>
        </w:rPr>
      </w:pPr>
      <w:r w:rsidRPr="006A5501">
        <w:rPr>
          <w:rFonts w:asciiTheme="minorBidi" w:hAnsiTheme="minorBidi" w:cstheme="minorBidi"/>
          <w:b/>
          <w:bCs/>
        </w:rPr>
        <w:t>Supplementary Table S2.</w:t>
      </w:r>
      <w:r w:rsidRPr="006A5501">
        <w:rPr>
          <w:rFonts w:asciiTheme="minorBidi" w:hAnsiTheme="minorBidi" w:cstheme="minorBidi"/>
        </w:rPr>
        <w:t xml:space="preserve"> Filtered Variant Effect Predictor (VEP) annotations after application of study-specific quality and biological filtering criteria; used as input for CoMut visualization.</w:t>
      </w:r>
    </w:p>
    <w:p w14:paraId="33C8A3BB" w14:textId="77777777" w:rsidR="003947C5" w:rsidRPr="006A5501" w:rsidRDefault="003947C5" w:rsidP="003947C5">
      <w:pPr>
        <w:rPr>
          <w:rFonts w:asciiTheme="minorBidi" w:hAnsiTheme="minorBidi" w:cstheme="minorBidi"/>
        </w:rPr>
      </w:pPr>
      <w:r w:rsidRPr="006A5501">
        <w:rPr>
          <w:rFonts w:asciiTheme="minorBidi" w:hAnsiTheme="minorBidi" w:cstheme="minorBidi"/>
          <w:b/>
          <w:bCs/>
        </w:rPr>
        <w:t>Supplementary Table S3.</w:t>
      </w:r>
      <w:r w:rsidRPr="006A5501">
        <w:rPr>
          <w:rFonts w:asciiTheme="minorBidi" w:hAnsiTheme="minorBidi" w:cstheme="minorBidi"/>
        </w:rPr>
        <w:t xml:space="preserve"> Complete VEP annotation output for all detected variants prior to filtering.</w:t>
      </w:r>
    </w:p>
    <w:p w14:paraId="333E137A" w14:textId="77777777" w:rsidR="003947C5" w:rsidRPr="006A5501" w:rsidRDefault="003947C5" w:rsidP="003947C5">
      <w:pPr>
        <w:rPr>
          <w:rFonts w:asciiTheme="minorBidi" w:hAnsiTheme="minorBidi" w:cstheme="minorBidi"/>
        </w:rPr>
      </w:pPr>
      <w:r w:rsidRPr="006A5501">
        <w:rPr>
          <w:rFonts w:asciiTheme="minorBidi" w:hAnsiTheme="minorBidi" w:cstheme="minorBidi"/>
          <w:b/>
          <w:bCs/>
        </w:rPr>
        <w:t>Supplementary Table S4.</w:t>
      </w:r>
      <w:r w:rsidRPr="006A5501">
        <w:rPr>
          <w:rFonts w:asciiTheme="minorBidi" w:hAnsiTheme="minorBidi" w:cstheme="minorBidi"/>
        </w:rPr>
        <w:t xml:space="preserve"> Counts and frequencies of somatic single-base substitutions stratified by trinucleotide sequence context for all analyzed samples.</w:t>
      </w:r>
    </w:p>
    <w:p w14:paraId="6F7E014A" w14:textId="77777777" w:rsidR="003947C5" w:rsidRPr="006A5501" w:rsidRDefault="003947C5" w:rsidP="003947C5">
      <w:pPr>
        <w:rPr>
          <w:rFonts w:asciiTheme="minorBidi" w:hAnsiTheme="minorBidi" w:cstheme="minorBidi"/>
        </w:rPr>
      </w:pPr>
      <w:r w:rsidRPr="006A5501">
        <w:rPr>
          <w:rFonts w:asciiTheme="minorBidi" w:hAnsiTheme="minorBidi" w:cstheme="minorBidi"/>
          <w:b/>
          <w:bCs/>
        </w:rPr>
        <w:t>Supplementary Table S5.</w:t>
      </w:r>
      <w:r w:rsidRPr="006A5501">
        <w:rPr>
          <w:rFonts w:asciiTheme="minorBidi" w:hAnsiTheme="minorBidi" w:cstheme="minorBidi"/>
        </w:rPr>
        <w:t xml:space="preserve"> Mutational signature activity estimates for all analyzed samples, including contributions of individual COSMIC mutational signatures.</w:t>
      </w:r>
    </w:p>
    <w:p w14:paraId="50046925" w14:textId="77777777" w:rsidR="003947C5" w:rsidRPr="006A5501" w:rsidRDefault="003947C5" w:rsidP="003947C5">
      <w:pPr>
        <w:rPr>
          <w:rFonts w:asciiTheme="minorBidi" w:hAnsiTheme="minorBidi" w:cstheme="minorBidi"/>
        </w:rPr>
      </w:pPr>
      <w:r w:rsidRPr="006A5501">
        <w:rPr>
          <w:rFonts w:asciiTheme="minorBidi" w:hAnsiTheme="minorBidi" w:cstheme="minorBidi"/>
          <w:b/>
          <w:bCs/>
        </w:rPr>
        <w:t>Supplementary Table S6.</w:t>
      </w:r>
      <w:r w:rsidRPr="006A5501">
        <w:rPr>
          <w:rFonts w:asciiTheme="minorBidi" w:hAnsiTheme="minorBidi" w:cstheme="minorBidi"/>
        </w:rPr>
        <w:t xml:space="preserve"> Complete variant calling results from whole-genome sequencing (WGS) samples, including all detected variants prior to downstream filtering.</w:t>
      </w:r>
    </w:p>
    <w:p w14:paraId="5442949F" w14:textId="77777777" w:rsidR="003947C5" w:rsidRPr="006A5501" w:rsidRDefault="003947C5" w:rsidP="003947C5">
      <w:pPr>
        <w:rPr>
          <w:rFonts w:asciiTheme="minorBidi" w:hAnsiTheme="minorBidi" w:cstheme="minorBidi"/>
        </w:rPr>
      </w:pPr>
      <w:r w:rsidRPr="006A5501">
        <w:rPr>
          <w:rFonts w:asciiTheme="minorBidi" w:hAnsiTheme="minorBidi" w:cstheme="minorBidi"/>
          <w:b/>
          <w:bCs/>
        </w:rPr>
        <w:t>Supplementary Table S7.</w:t>
      </w:r>
      <w:r w:rsidRPr="006A5501">
        <w:rPr>
          <w:rFonts w:asciiTheme="minorBidi" w:hAnsiTheme="minorBidi" w:cstheme="minorBidi"/>
        </w:rPr>
        <w:t xml:space="preserve"> Complete variant calling results from whole-exome sequencing (WES) samples, including all detected variants prior to downstream filtering.</w:t>
      </w:r>
    </w:p>
    <w:p w14:paraId="194C6BFC" w14:textId="77777777" w:rsidR="003947C5" w:rsidRPr="006A5501" w:rsidRDefault="003947C5" w:rsidP="003947C5">
      <w:pPr>
        <w:rPr>
          <w:rFonts w:asciiTheme="minorBidi" w:hAnsiTheme="minorBidi" w:cstheme="minorBidi"/>
        </w:rPr>
      </w:pPr>
      <w:r w:rsidRPr="006A5501">
        <w:rPr>
          <w:rFonts w:asciiTheme="minorBidi" w:hAnsiTheme="minorBidi" w:cstheme="minorBidi"/>
          <w:b/>
          <w:bCs/>
        </w:rPr>
        <w:t>Supplementary Table S8.</w:t>
      </w:r>
      <w:r w:rsidRPr="006A5501">
        <w:rPr>
          <w:rFonts w:asciiTheme="minorBidi" w:hAnsiTheme="minorBidi" w:cstheme="minorBidi"/>
        </w:rPr>
        <w:t xml:space="preserve"> Complete variant calling results from diluted whole-genome sequencing (WGS) datasets generated for coverage downsampling analyses.</w:t>
      </w:r>
    </w:p>
    <w:p w14:paraId="23D75C52" w14:textId="77777777" w:rsidR="003947C5" w:rsidRPr="006A5501" w:rsidRDefault="003947C5" w:rsidP="003947C5">
      <w:pPr>
        <w:rPr>
          <w:rFonts w:asciiTheme="minorBidi" w:hAnsiTheme="minorBidi" w:cstheme="minorBidi"/>
        </w:rPr>
      </w:pPr>
      <w:r w:rsidRPr="006A5501">
        <w:rPr>
          <w:rFonts w:asciiTheme="minorBidi" w:hAnsiTheme="minorBidi" w:cstheme="minorBidi"/>
          <w:b/>
          <w:bCs/>
        </w:rPr>
        <w:t>Supplementary Table S9.</w:t>
      </w:r>
      <w:r w:rsidRPr="006A5501">
        <w:rPr>
          <w:rFonts w:asciiTheme="minorBidi" w:hAnsiTheme="minorBidi" w:cstheme="minorBidi"/>
        </w:rPr>
        <w:t xml:space="preserve"> Complete variant calling results from diluted whole-exome sequencing (WES) datasets generated for coverage downsampling analyses.</w:t>
      </w:r>
    </w:p>
    <w:p w14:paraId="1E47D4B6" w14:textId="77777777" w:rsidR="00EB4A2D" w:rsidRDefault="00EB4A2D"/>
    <w:sectPr w:rsidR="00EB4A2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7C5"/>
    <w:rsid w:val="001D3053"/>
    <w:rsid w:val="001E3A92"/>
    <w:rsid w:val="00217E67"/>
    <w:rsid w:val="002C7D54"/>
    <w:rsid w:val="0033371E"/>
    <w:rsid w:val="003947C5"/>
    <w:rsid w:val="005C0D39"/>
    <w:rsid w:val="0070406C"/>
    <w:rsid w:val="00724754"/>
    <w:rsid w:val="007B36B1"/>
    <w:rsid w:val="00C321FA"/>
    <w:rsid w:val="00C97210"/>
    <w:rsid w:val="00E52977"/>
    <w:rsid w:val="00EB4A2D"/>
    <w:rsid w:val="00EE513F"/>
    <w:rsid w:val="00FC500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3D4304"/>
  <w15:chartTrackingRefBased/>
  <w15:docId w15:val="{5888EE80-90E2-433C-B782-D59A5DA55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47C5"/>
    <w:pPr>
      <w:spacing w:after="0" w:line="276" w:lineRule="auto"/>
    </w:pPr>
    <w:rPr>
      <w:rFonts w:ascii="Arial" w:eastAsia="Arial" w:hAnsi="Arial" w:cs="Arial"/>
      <w:kern w:val="0"/>
      <w:sz w:val="22"/>
      <w:szCs w:val="22"/>
      <w:lang w:val="en" w:eastAsia="ja-JP" w:bidi="he-IL"/>
      <w14:ligatures w14:val="none"/>
    </w:rPr>
  </w:style>
  <w:style w:type="paragraph" w:styleId="Heading1">
    <w:name w:val="heading 1"/>
    <w:basedOn w:val="Normal"/>
    <w:next w:val="Normal"/>
    <w:link w:val="Heading1Char"/>
    <w:uiPriority w:val="9"/>
    <w:qFormat/>
    <w:rsid w:val="003947C5"/>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IN" w:eastAsia="en-US" w:bidi="ar-SA"/>
      <w14:ligatures w14:val="standardContextual"/>
    </w:rPr>
  </w:style>
  <w:style w:type="paragraph" w:styleId="Heading2">
    <w:name w:val="heading 2"/>
    <w:basedOn w:val="Normal"/>
    <w:next w:val="Normal"/>
    <w:link w:val="Heading2Char"/>
    <w:uiPriority w:val="9"/>
    <w:unhideWhenUsed/>
    <w:qFormat/>
    <w:rsid w:val="003947C5"/>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IN" w:eastAsia="en-US" w:bidi="ar-SA"/>
      <w14:ligatures w14:val="standardContextual"/>
    </w:rPr>
  </w:style>
  <w:style w:type="paragraph" w:styleId="Heading3">
    <w:name w:val="heading 3"/>
    <w:basedOn w:val="Normal"/>
    <w:next w:val="Normal"/>
    <w:link w:val="Heading3Char"/>
    <w:uiPriority w:val="9"/>
    <w:semiHidden/>
    <w:unhideWhenUsed/>
    <w:qFormat/>
    <w:rsid w:val="003947C5"/>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IN" w:eastAsia="en-US" w:bidi="ar-SA"/>
      <w14:ligatures w14:val="standardContextual"/>
    </w:rPr>
  </w:style>
  <w:style w:type="paragraph" w:styleId="Heading4">
    <w:name w:val="heading 4"/>
    <w:basedOn w:val="Normal"/>
    <w:next w:val="Normal"/>
    <w:link w:val="Heading4Char"/>
    <w:uiPriority w:val="9"/>
    <w:semiHidden/>
    <w:unhideWhenUsed/>
    <w:qFormat/>
    <w:rsid w:val="003947C5"/>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en-IN" w:eastAsia="en-US" w:bidi="ar-SA"/>
      <w14:ligatures w14:val="standardContextual"/>
    </w:rPr>
  </w:style>
  <w:style w:type="paragraph" w:styleId="Heading5">
    <w:name w:val="heading 5"/>
    <w:basedOn w:val="Normal"/>
    <w:next w:val="Normal"/>
    <w:link w:val="Heading5Char"/>
    <w:uiPriority w:val="9"/>
    <w:semiHidden/>
    <w:unhideWhenUsed/>
    <w:qFormat/>
    <w:rsid w:val="003947C5"/>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en-IN" w:eastAsia="en-US" w:bidi="ar-SA"/>
      <w14:ligatures w14:val="standardContextual"/>
    </w:rPr>
  </w:style>
  <w:style w:type="paragraph" w:styleId="Heading6">
    <w:name w:val="heading 6"/>
    <w:basedOn w:val="Normal"/>
    <w:next w:val="Normal"/>
    <w:link w:val="Heading6Char"/>
    <w:uiPriority w:val="9"/>
    <w:semiHidden/>
    <w:unhideWhenUsed/>
    <w:qFormat/>
    <w:rsid w:val="003947C5"/>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val="en-IN" w:eastAsia="en-US" w:bidi="ar-SA"/>
      <w14:ligatures w14:val="standardContextual"/>
    </w:rPr>
  </w:style>
  <w:style w:type="paragraph" w:styleId="Heading7">
    <w:name w:val="heading 7"/>
    <w:basedOn w:val="Normal"/>
    <w:next w:val="Normal"/>
    <w:link w:val="Heading7Char"/>
    <w:uiPriority w:val="9"/>
    <w:semiHidden/>
    <w:unhideWhenUsed/>
    <w:qFormat/>
    <w:rsid w:val="003947C5"/>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val="en-IN" w:eastAsia="en-US" w:bidi="ar-SA"/>
      <w14:ligatures w14:val="standardContextual"/>
    </w:rPr>
  </w:style>
  <w:style w:type="paragraph" w:styleId="Heading8">
    <w:name w:val="heading 8"/>
    <w:basedOn w:val="Normal"/>
    <w:next w:val="Normal"/>
    <w:link w:val="Heading8Char"/>
    <w:uiPriority w:val="9"/>
    <w:semiHidden/>
    <w:unhideWhenUsed/>
    <w:qFormat/>
    <w:rsid w:val="003947C5"/>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val="en-IN" w:eastAsia="en-US" w:bidi="ar-SA"/>
      <w14:ligatures w14:val="standardContextual"/>
    </w:rPr>
  </w:style>
  <w:style w:type="paragraph" w:styleId="Heading9">
    <w:name w:val="heading 9"/>
    <w:basedOn w:val="Normal"/>
    <w:next w:val="Normal"/>
    <w:link w:val="Heading9Char"/>
    <w:uiPriority w:val="9"/>
    <w:semiHidden/>
    <w:unhideWhenUsed/>
    <w:qFormat/>
    <w:rsid w:val="003947C5"/>
    <w:pPr>
      <w:keepNext/>
      <w:keepLines/>
      <w:spacing w:line="278" w:lineRule="auto"/>
      <w:outlineLvl w:val="8"/>
    </w:pPr>
    <w:rPr>
      <w:rFonts w:asciiTheme="minorHAnsi" w:eastAsiaTheme="majorEastAsia" w:hAnsiTheme="minorHAnsi" w:cstheme="majorBidi"/>
      <w:color w:val="272727" w:themeColor="text1" w:themeTint="D8"/>
      <w:kern w:val="2"/>
      <w:sz w:val="24"/>
      <w:szCs w:val="24"/>
      <w:lang w:val="en-IN" w:eastAsia="en-US" w:bidi="ar-SA"/>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47C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947C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947C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947C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947C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947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47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47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47C5"/>
    <w:rPr>
      <w:rFonts w:eastAsiaTheme="majorEastAsia" w:cstheme="majorBidi"/>
      <w:color w:val="272727" w:themeColor="text1" w:themeTint="D8"/>
    </w:rPr>
  </w:style>
  <w:style w:type="paragraph" w:styleId="Title">
    <w:name w:val="Title"/>
    <w:basedOn w:val="Normal"/>
    <w:next w:val="Normal"/>
    <w:link w:val="TitleChar"/>
    <w:uiPriority w:val="10"/>
    <w:qFormat/>
    <w:rsid w:val="003947C5"/>
    <w:pPr>
      <w:spacing w:after="80" w:line="240" w:lineRule="auto"/>
      <w:contextualSpacing/>
    </w:pPr>
    <w:rPr>
      <w:rFonts w:asciiTheme="majorHAnsi" w:eastAsiaTheme="majorEastAsia" w:hAnsiTheme="majorHAnsi" w:cstheme="majorBidi"/>
      <w:spacing w:val="-10"/>
      <w:kern w:val="28"/>
      <w:sz w:val="56"/>
      <w:szCs w:val="56"/>
      <w:lang w:val="en-IN" w:eastAsia="en-US" w:bidi="ar-SA"/>
      <w14:ligatures w14:val="standardContextual"/>
    </w:rPr>
  </w:style>
  <w:style w:type="character" w:customStyle="1" w:styleId="TitleChar">
    <w:name w:val="Title Char"/>
    <w:basedOn w:val="DefaultParagraphFont"/>
    <w:link w:val="Title"/>
    <w:uiPriority w:val="10"/>
    <w:rsid w:val="003947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47C5"/>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IN" w:eastAsia="en-US" w:bidi="ar-SA"/>
      <w14:ligatures w14:val="standardContextual"/>
    </w:rPr>
  </w:style>
  <w:style w:type="character" w:customStyle="1" w:styleId="SubtitleChar">
    <w:name w:val="Subtitle Char"/>
    <w:basedOn w:val="DefaultParagraphFont"/>
    <w:link w:val="Subtitle"/>
    <w:uiPriority w:val="11"/>
    <w:rsid w:val="003947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47C5"/>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en-IN" w:eastAsia="en-US" w:bidi="ar-SA"/>
      <w14:ligatures w14:val="standardContextual"/>
    </w:rPr>
  </w:style>
  <w:style w:type="character" w:customStyle="1" w:styleId="QuoteChar">
    <w:name w:val="Quote Char"/>
    <w:basedOn w:val="DefaultParagraphFont"/>
    <w:link w:val="Quote"/>
    <w:uiPriority w:val="29"/>
    <w:rsid w:val="003947C5"/>
    <w:rPr>
      <w:i/>
      <w:iCs/>
      <w:color w:val="404040" w:themeColor="text1" w:themeTint="BF"/>
    </w:rPr>
  </w:style>
  <w:style w:type="paragraph" w:styleId="ListParagraph">
    <w:name w:val="List Paragraph"/>
    <w:basedOn w:val="Normal"/>
    <w:uiPriority w:val="34"/>
    <w:qFormat/>
    <w:rsid w:val="003947C5"/>
    <w:pPr>
      <w:spacing w:after="160" w:line="278" w:lineRule="auto"/>
      <w:ind w:left="720"/>
      <w:contextualSpacing/>
    </w:pPr>
    <w:rPr>
      <w:rFonts w:asciiTheme="minorHAnsi" w:eastAsiaTheme="minorHAnsi" w:hAnsiTheme="minorHAnsi" w:cstheme="minorBidi"/>
      <w:kern w:val="2"/>
      <w:sz w:val="24"/>
      <w:szCs w:val="24"/>
      <w:lang w:val="en-IN" w:eastAsia="en-US" w:bidi="ar-SA"/>
      <w14:ligatures w14:val="standardContextual"/>
    </w:rPr>
  </w:style>
  <w:style w:type="character" w:styleId="IntenseEmphasis">
    <w:name w:val="Intense Emphasis"/>
    <w:basedOn w:val="DefaultParagraphFont"/>
    <w:uiPriority w:val="21"/>
    <w:qFormat/>
    <w:rsid w:val="003947C5"/>
    <w:rPr>
      <w:i/>
      <w:iCs/>
      <w:color w:val="0F4761" w:themeColor="accent1" w:themeShade="BF"/>
    </w:rPr>
  </w:style>
  <w:style w:type="paragraph" w:styleId="IntenseQuote">
    <w:name w:val="Intense Quote"/>
    <w:basedOn w:val="Normal"/>
    <w:next w:val="Normal"/>
    <w:link w:val="IntenseQuoteChar"/>
    <w:uiPriority w:val="30"/>
    <w:qFormat/>
    <w:rsid w:val="003947C5"/>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en-IN" w:eastAsia="en-US" w:bidi="ar-SA"/>
      <w14:ligatures w14:val="standardContextual"/>
    </w:rPr>
  </w:style>
  <w:style w:type="character" w:customStyle="1" w:styleId="IntenseQuoteChar">
    <w:name w:val="Intense Quote Char"/>
    <w:basedOn w:val="DefaultParagraphFont"/>
    <w:link w:val="IntenseQuote"/>
    <w:uiPriority w:val="30"/>
    <w:rsid w:val="003947C5"/>
    <w:rPr>
      <w:i/>
      <w:iCs/>
      <w:color w:val="0F4761" w:themeColor="accent1" w:themeShade="BF"/>
    </w:rPr>
  </w:style>
  <w:style w:type="character" w:styleId="IntenseReference">
    <w:name w:val="Intense Reference"/>
    <w:basedOn w:val="DefaultParagraphFont"/>
    <w:uiPriority w:val="32"/>
    <w:qFormat/>
    <w:rsid w:val="003947C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546</Words>
  <Characters>3118</Characters>
  <Application>Microsoft Office Word</Application>
  <DocSecurity>0</DocSecurity>
  <Lines>25</Lines>
  <Paragraphs>7</Paragraphs>
  <ScaleCrop>false</ScaleCrop>
  <Company/>
  <LinksUpToDate>false</LinksUpToDate>
  <CharactersWithSpaces>3657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Pradeep Gaikwad</dc:creator>
  <cp:keywords/>
  <dc:description/>
  <cp:lastModifiedBy>Pradeep Gaikwad</cp:lastModifiedBy>
  <cp:revision>1</cp:revision>
  <dcterms:created xsi:type="dcterms:W3CDTF">2026-08-04T12:45:00Z</dcterms:created>
  <dcterms:modified xsi:type="dcterms:W3CDTF">2026-08-04T12:45:00Z</dcterms:modified>
</cp:coreProperties>
</file>