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7C4C" w14:textId="77777777" w:rsidR="00E2680B" w:rsidRPr="007C65CF" w:rsidRDefault="00266A71">
      <w:pPr>
        <w:jc w:val="center"/>
        <w:rPr>
          <w:rFonts w:ascii="Times New Roman" w:hAnsi="Times New Roman" w:cs="Times New Roman"/>
        </w:rPr>
      </w:pPr>
      <w:r w:rsidRPr="007C65CF">
        <w:rPr>
          <w:rFonts w:ascii="Times New Roman" w:hAnsi="Times New Roman" w:cs="Times New Roman"/>
          <w:b/>
        </w:rPr>
        <w:t>Supplementary Tables</w:t>
      </w:r>
    </w:p>
    <w:p w14:paraId="520D2ABA" w14:textId="77777777" w:rsidR="00E2680B" w:rsidRPr="007C65CF" w:rsidRDefault="00266A71">
      <w:pPr>
        <w:rPr>
          <w:rFonts w:ascii="Times New Roman" w:hAnsi="Times New Roman" w:cs="Times New Roman"/>
        </w:rPr>
      </w:pPr>
      <w:r w:rsidRPr="007C65CF">
        <w:rPr>
          <w:rFonts w:ascii="Times New Roman" w:hAnsi="Times New Roman" w:cs="Times New Roman"/>
        </w:rPr>
        <w:t>These tables are referred to in the main manuscript as Supplementary Table S1 and Supplementary Table S2.</w:t>
      </w:r>
    </w:p>
    <w:p w14:paraId="023DC41C" w14:textId="76A81A17" w:rsidR="00E2680B" w:rsidRPr="007C65CF" w:rsidRDefault="00266A71">
      <w:pPr>
        <w:rPr>
          <w:rFonts w:ascii="Times New Roman" w:hAnsi="Times New Roman" w:cs="Times New Roman"/>
        </w:rPr>
      </w:pPr>
      <w:r w:rsidRPr="007C65CF">
        <w:rPr>
          <w:rFonts w:ascii="Times New Roman" w:hAnsi="Times New Roman" w:cs="Times New Roman"/>
        </w:rPr>
        <w:t>Supplementary Table S1. Count models of national CIPE demonstration-course recognition</w:t>
      </w:r>
    </w:p>
    <w:tbl>
      <w:tblPr>
        <w:tblW w:w="1051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851"/>
        <w:gridCol w:w="708"/>
        <w:gridCol w:w="1134"/>
        <w:gridCol w:w="851"/>
        <w:gridCol w:w="757"/>
        <w:gridCol w:w="613"/>
        <w:gridCol w:w="854"/>
        <w:gridCol w:w="777"/>
        <w:gridCol w:w="996"/>
      </w:tblGrid>
      <w:tr w:rsidR="009E6E91" w:rsidRPr="007C65CF" w14:paraId="51126FC5" w14:textId="77777777" w:rsidTr="009E6E91">
        <w:trPr>
          <w:jc w:val="center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6991DF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Model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B207F7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Term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8C752D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Coef.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1C30FE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IRR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345D12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95% CI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874D26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Robust SE</w:t>
            </w:r>
          </w:p>
        </w:tc>
        <w:tc>
          <w:tcPr>
            <w:tcW w:w="757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4B7A29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p-value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3E5530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N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7FAFC52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AIC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152C5D0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Pseudo R2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61FA0EB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Pearson disp.</w:t>
            </w:r>
          </w:p>
        </w:tc>
      </w:tr>
      <w:tr w:rsidR="009E6E91" w:rsidRPr="007C65CF" w14:paraId="7578DEDB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6BFB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Baseline Poisson, no scale 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6BA6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091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-2.457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7BBB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98D4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0.07-0.10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E04A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0.094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8FE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1244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1,412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D87FD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1110.9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AD5E1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5FF129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0.931</w:t>
            </w:r>
          </w:p>
        </w:tc>
      </w:tr>
      <w:tr w:rsidR="009E6E91" w:rsidRPr="007C65CF" w14:paraId="169BD17C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A5F2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Baseline Poisson, no scale 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1001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DFAB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1.609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9EA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5.00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A57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3.16-7.92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7C5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0.235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381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D68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1,412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3F8CE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1110.9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0E58A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76C08D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0.931</w:t>
            </w:r>
          </w:p>
        </w:tc>
      </w:tr>
      <w:tr w:rsidR="009E6E91" w:rsidRPr="007C65CF" w14:paraId="4FA1B718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0506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Baseline Poisson, no scale 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A18E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Double First-Class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FFE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1.446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4FE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D5A7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2.64-6.82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0DA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0.242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712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AADB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1,412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067F4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1110.9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4D72B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33627C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0.931</w:t>
            </w:r>
          </w:p>
        </w:tc>
      </w:tr>
      <w:tr w:rsidR="009E6E91" w:rsidRPr="007C65CF" w14:paraId="17E34B12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9E27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covariate (preferred)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202C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0E5A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-3.442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635D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B752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0.02-0.06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A5E6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0.292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3FA8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E922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19470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1016.6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C7544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6F8F53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0.899</w:t>
            </w:r>
          </w:p>
        </w:tc>
      </w:tr>
      <w:tr w:rsidR="009E6E91" w:rsidRPr="007C65CF" w14:paraId="090780FF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C3A51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covariate (preferred)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A13BF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877AE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1.733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82E4E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5.66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937A6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3.49-9.15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CBCC7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0.246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6709B3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28FE2C0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EC974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1016.6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73A31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234429E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0.899</w:t>
            </w:r>
          </w:p>
        </w:tc>
      </w:tr>
      <w:tr w:rsidR="009E6E91" w:rsidRPr="007C65CF" w14:paraId="26466F7F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EC6B7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covariate (preferred)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E369E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Double First-Class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61B8A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F699D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7C00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2.18-5.88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0E322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0.253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24A777D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47ADFD7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E200E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1016.6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49274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E74EA1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0.899</w:t>
            </w:r>
          </w:p>
        </w:tc>
      </w:tr>
      <w:tr w:rsidR="009E6E91" w:rsidRPr="007C65CF" w14:paraId="257BE47E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30128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covariate (preferred)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42E7F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ln(majors)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CA719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7536F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9FAD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1.14-1.55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A8FFE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0.080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1C6DBC5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38DF791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359AF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1016.6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8691E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C98302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0.899</w:t>
            </w:r>
          </w:p>
        </w:tc>
      </w:tr>
      <w:tr w:rsidR="009E6E91" w:rsidRPr="007C65CF" w14:paraId="2087C979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F982B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+ joint covariate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18E1F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A112F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-3.420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60CEC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A056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0.02-0.06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DE417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0.280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B81840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42B2398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5528F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997.5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104A9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C096C2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0.896</w:t>
            </w:r>
          </w:p>
        </w:tc>
      </w:tr>
      <w:tr w:rsidR="009E6E91" w:rsidRPr="007C65CF" w14:paraId="526CADE5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48F99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+ joint covariate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9C703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89138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BF8C1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6F45D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5.68-14.84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D66AD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0.245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9CDCD5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774B599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B9180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997.5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DA948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781322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0.896</w:t>
            </w:r>
          </w:p>
        </w:tc>
      </w:tr>
      <w:tr w:rsidR="009E6E91" w:rsidRPr="007C65CF" w14:paraId="3897C6C3" w14:textId="77777777" w:rsidTr="009E6E9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5813D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+ joint covariate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FDFD4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Ministry-province joint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EAE61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1.693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89AA8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5.44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60541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2.83-10.44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86B5D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1FFA0D5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56DF549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BE153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997.5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4043A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76F6C3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0.896</w:t>
            </w:r>
          </w:p>
        </w:tc>
      </w:tr>
      <w:tr w:rsidR="001775E5" w:rsidRPr="007C65CF" w14:paraId="3BD84848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B0EA9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+ joint covariate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23EB0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Double First-Class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FC85B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A3C35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970A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1.40-3.64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B3187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0.244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ABEB79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51957D5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F70F0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997.5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08933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F04F28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0.896</w:t>
            </w:r>
          </w:p>
        </w:tc>
      </w:tr>
      <w:tr w:rsidR="001775E5" w:rsidRPr="007C65CF" w14:paraId="1B46C326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59D0F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+ joint covariate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B17EC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ln(majors)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5947D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271CF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EF93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1.12-1.51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FC53E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0.077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02BAE5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36CC2F4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3D767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997.5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F60F9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0.335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CBFF5D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0.896</w:t>
            </w:r>
          </w:p>
        </w:tc>
      </w:tr>
      <w:tr w:rsidR="001775E5" w:rsidRPr="007C65CF" w14:paraId="166CED24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B9497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offset check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4511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E6D62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-6.078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B2CCB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638E6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0.0019-0.0028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5BA34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0.095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293666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1BCC838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DF245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1055.1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82FED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2767B8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1.038</w:t>
            </w:r>
          </w:p>
        </w:tc>
      </w:tr>
      <w:tr w:rsidR="001775E5" w:rsidRPr="007C65CF" w14:paraId="0DB57CD3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D2396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offset check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F1CFA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B9325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1.872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CCC4E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6.50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AB1D4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3.89-10.86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8EDF3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0.262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1164A8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14:paraId="0F36C99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E0221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1055.1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8962D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9A2983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1.038</w:t>
            </w:r>
          </w:p>
        </w:tc>
      </w:tr>
      <w:tr w:rsidR="001775E5" w:rsidRPr="007C65CF" w14:paraId="639942C2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82692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Poisson, ln(majors) offset check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0876A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Double First-Class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BC9FB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47E80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2.73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9E19E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1.62-4.60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53C0C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0.267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18602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&lt;0.001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2E60D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1,309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44C37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1055.1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0B4CA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0.289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89554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1.038</w:t>
            </w:r>
          </w:p>
        </w:tc>
      </w:tr>
    </w:tbl>
    <w:p w14:paraId="6B8718A1" w14:textId="77777777" w:rsidR="00D73F18" w:rsidRDefault="00D73F18">
      <w:pPr>
        <w:rPr>
          <w:rFonts w:ascii="Times New Roman" w:hAnsi="Times New Roman" w:cs="Times New Roman"/>
        </w:rPr>
      </w:pPr>
    </w:p>
    <w:p w14:paraId="0A61E4BE" w14:textId="77777777" w:rsidR="00D73F18" w:rsidRDefault="00D73F18">
      <w:pPr>
        <w:rPr>
          <w:rFonts w:ascii="Times New Roman" w:hAnsi="Times New Roman" w:cs="Times New Roman"/>
        </w:rPr>
      </w:pPr>
    </w:p>
    <w:p w14:paraId="1FDB0882" w14:textId="77777777" w:rsidR="00D73F18" w:rsidRDefault="00D73F18">
      <w:pPr>
        <w:rPr>
          <w:rFonts w:ascii="Times New Roman" w:hAnsi="Times New Roman" w:cs="Times New Roman"/>
        </w:rPr>
      </w:pPr>
    </w:p>
    <w:p w14:paraId="6E739334" w14:textId="77777777" w:rsidR="00D73F18" w:rsidRDefault="00D73F18">
      <w:pPr>
        <w:rPr>
          <w:rFonts w:ascii="Times New Roman" w:hAnsi="Times New Roman" w:cs="Times New Roman"/>
        </w:rPr>
      </w:pPr>
    </w:p>
    <w:p w14:paraId="08F75926" w14:textId="30E2235E" w:rsidR="00D73F18" w:rsidRPr="007C65CF" w:rsidRDefault="00D73F18">
      <w:pPr>
        <w:rPr>
          <w:rFonts w:ascii="Times New Roman" w:hAnsi="Times New Roman" w:cs="Times New Roman"/>
        </w:rPr>
      </w:pPr>
      <w:r w:rsidRPr="007C65CF">
        <w:rPr>
          <w:rFonts w:ascii="Times New Roman" w:hAnsi="Times New Roman" w:cs="Times New Roman"/>
        </w:rPr>
        <w:lastRenderedPageBreak/>
        <w:t>Supplementary Table S2. Data checks, robustness checks and reproducibility information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8"/>
        <w:gridCol w:w="3253"/>
        <w:gridCol w:w="2879"/>
      </w:tblGrid>
      <w:tr w:rsidR="00650B1D" w:rsidRPr="007C65CF" w14:paraId="735A4FC8" w14:textId="77777777" w:rsidTr="00D73F18">
        <w:trPr>
          <w:jc w:val="center"/>
        </w:trPr>
        <w:tc>
          <w:tcPr>
            <w:tcW w:w="2528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AA994B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Item</w:t>
            </w:r>
          </w:p>
        </w:tc>
        <w:tc>
          <w:tcPr>
            <w:tcW w:w="325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6BC195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Result</w:t>
            </w:r>
          </w:p>
        </w:tc>
        <w:tc>
          <w:tcPr>
            <w:tcW w:w="2879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924C9B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b/>
                <w:sz w:val="14"/>
              </w:rPr>
              <w:t>Treatment in article</w:t>
            </w:r>
          </w:p>
        </w:tc>
      </w:tr>
      <w:tr w:rsidR="00650B1D" w:rsidRPr="007C65CF" w14:paraId="4F8902D1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AC9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CIPE demonstration courses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A76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300/300 matched to standard undergraduate institution names; 300 is 42.9% of the 699 first-batch demonstration courses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EEB6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Main dependent variable</w:t>
            </w:r>
          </w:p>
        </w:tc>
      </w:tr>
      <w:tr w:rsidR="00650B1D" w:rsidRPr="007C65CF" w14:paraId="2067ABD7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DDB3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Teaching teams and centres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141D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Teaching teams are paired with demonstration courses; 15 centres matched in the undergraduate denominator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3552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Reported descriptively; not pooled into main count</w:t>
            </w:r>
          </w:p>
        </w:tc>
      </w:tr>
      <w:tr w:rsidR="00650B1D" w:rsidRPr="007C65CF" w14:paraId="75494453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20AF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First-class undergraduate courses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C1A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6"/>
              </w:rPr>
              <w:t>5,644/5,750 included in ordinary-undergraduate denominator; 106 excluded; matched items cover 767 institutions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E29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Academic-recognition comparison</w:t>
            </w:r>
          </w:p>
        </w:tc>
      </w:tr>
      <w:tr w:rsidR="00650B1D" w:rsidRPr="007C65CF" w14:paraId="40EA1EBA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133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Major-count coverage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04680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Cleaned undergraduate major count available for 1309/1,412 institutions; 103 excluded from major-count models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4E1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Excluded cases include 20 CIPE-recognised institutions holding 33 recognitions; central=18, Double First-Class=18, both=16</w:t>
            </w:r>
          </w:p>
        </w:tc>
      </w:tr>
      <w:tr w:rsidR="00650B1D" w:rsidRPr="007C65CF" w14:paraId="3A165EFE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992F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Ministry-province joint universities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8264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14 institutions; 10 hold CIPE recognitions, total=16; mean=1.143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917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Reported separately and included as robustness covariate; joint IRR=5.44 (2.83-10.44)</w:t>
            </w:r>
          </w:p>
        </w:tc>
      </w:tr>
      <w:tr w:rsidR="00A81469" w:rsidRPr="007C65CF" w14:paraId="7E30F1CA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07470B2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Maximum CIPE count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B84512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Only Qinghai Normal University has three demonstration courses; it is local, non-Double First-Class and not ministry-province joint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2E29370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Original list provides institution names but not enough nomination-channel detail to identify the additional channel</w:t>
            </w:r>
          </w:p>
        </w:tc>
      </w:tr>
      <w:tr w:rsidR="00A81469" w:rsidRPr="007C65CF" w14:paraId="78096567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36B8C1F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Major-count minimum check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68F572F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Thirteen records with count=1 were treated as missing after manual inspection; examples include Zhejiang University and Shandong Normal University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2B47AECB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Prevents obvious CHSI parsing errors from driving scale estimates</w:t>
            </w:r>
          </w:p>
        </w:tc>
      </w:tr>
      <w:tr w:rsidR="00A81469" w:rsidRPr="007C65CF" w14:paraId="711F5CB7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1B842172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Preferred scale model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703E42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ln majors elasticity=0.284 (SE=0.080); central-subordinate IRR=5.66; Double First-Class IRR=3.58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2B54D941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Used for headline regression interpretation</w:t>
            </w:r>
          </w:p>
        </w:tc>
      </w:tr>
      <w:tr w:rsidR="00A81469" w:rsidRPr="007C65CF" w14:paraId="582DD9E9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5B34CAF8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Offset restriction test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35B7AE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Unit elasticity rejected: Wald z=-8.96, p&lt;0.001; LR=40.49, p=2e-10; delta AIC=38.49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37872F4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Offset treated as strict robustness check, not preferred model</w:t>
            </w:r>
          </w:p>
        </w:tc>
      </w:tr>
      <w:tr w:rsidR="00341C08" w:rsidRPr="007C65CF" w14:paraId="5A7237B4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720DAA0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Offset exposure check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1413F2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 IRR=6.50 (3.89-10.86); Double First-Class IRR=2.73 (1.62-4.60)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0F200526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Core hierarchy result remains positive and significant</w:t>
            </w:r>
          </w:p>
        </w:tc>
      </w:tr>
      <w:tr w:rsidR="001775E5" w:rsidRPr="007C65CF" w14:paraId="1659937E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6ACFD75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Any-recognition logit check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2862F54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Central-subordinate OR=31.03 (13.20-72.91); Double First-Class OR=8.75 (4.91-15.60)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30D27EDC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Result does not depend only on count specification</w:t>
            </w:r>
          </w:p>
        </w:tc>
      </w:tr>
      <w:tr w:rsidR="001775E5" w:rsidRPr="007C65CF" w14:paraId="1398B5DF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057C0CE3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NB dispersion diagnostic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307183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No-scale alpha=0.0000017, theta≈588121; offset alpha=0.0000007, theta≈1448347; LR tests do not reject Poisson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4238AED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No over-dispersion signal; NB adds little beyond robust Poisson</w:t>
            </w:r>
          </w:p>
        </w:tc>
      </w:tr>
      <w:tr w:rsidR="001775E5" w:rsidRPr="007C65CF" w14:paraId="7C0FC1FB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6485D9DE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Zero-inflated NB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E03F9C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Attempted but not retained because the fitted model did not converge reliably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79924937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Specification boundary rather than substantive evidence</w:t>
            </w:r>
          </w:p>
        </w:tc>
      </w:tr>
      <w:tr w:rsidR="001775E5" w:rsidRPr="007C65CF" w14:paraId="2D9FD543" w14:textId="77777777" w:rsidTr="00D73F18">
        <w:trPr>
          <w:jc w:val="center"/>
        </w:trPr>
        <w:tc>
          <w:tcPr>
            <w:tcW w:w="25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91B5E5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Matching vintage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FBC17A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Recognition lists are 2021/2023; institutional denominator uses the 2026 MOE list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3A0A09" w14:textId="77777777" w:rsidR="001775E5" w:rsidRPr="007C65CF" w:rsidRDefault="00266A71">
            <w:pPr>
              <w:rPr>
                <w:rFonts w:ascii="Times New Roman" w:hAnsi="Times New Roman" w:cs="Times New Roman"/>
              </w:rPr>
            </w:pPr>
            <w:r w:rsidRPr="007C65CF">
              <w:rPr>
                <w:rFonts w:ascii="Times New Roman" w:eastAsia="Times New Roman" w:hAnsi="Times New Roman" w:cs="Times New Roman"/>
                <w:sz w:val="14"/>
              </w:rPr>
              <w:t>Reported as a denominator limitation</w:t>
            </w:r>
          </w:p>
        </w:tc>
      </w:tr>
    </w:tbl>
    <w:p w14:paraId="62E32BB9" w14:textId="77777777" w:rsidR="00D73F18" w:rsidRDefault="00D73F18" w:rsidP="00D73F18">
      <w:pPr>
        <w:ind w:firstLineChars="200" w:firstLine="440"/>
        <w:jc w:val="both"/>
        <w:rPr>
          <w:rFonts w:ascii="Times New Roman" w:hAnsi="Times New Roman" w:cs="Times New Roman"/>
        </w:rPr>
      </w:pPr>
      <w:r w:rsidRPr="007C65CF">
        <w:rPr>
          <w:rFonts w:ascii="Times New Roman" w:hAnsi="Times New Roman" w:cs="Times New Roman"/>
        </w:rPr>
        <w:t xml:space="preserve">Note on model diagnostics. The Poisson specifications use HC1 robust standard errors. AIC is reported for model transparency; McFadden pseudo R2 and the Pearson dispersion ratio are included as diagnostics. The Pearson ratio should not be confused with the negative-binomial alpha parameter: alpha close to zero indicates that NB collapses toward Poisson, while Pearson ratios near one indicate little evidence of over-dispersion. Two ratios are below one, suggesting mild under-dispersion rather than over-dispersion; robust Poisson standard errors are therefore a conservative choice. AIC values are comparable only between models estimated on the same sample. The meaningful AIC comparison is between the offset and free-covariate specifications, </w:t>
      </w:r>
      <w:r w:rsidRPr="007C65CF">
        <w:rPr>
          <w:rFonts w:ascii="Times New Roman" w:hAnsi="Times New Roman" w:cs="Times New Roman"/>
        </w:rPr>
        <w:lastRenderedPageBreak/>
        <w:t>both estimated on the cleaned major-count sample; the no-scale model is included only as a descriptive baseline.</w:t>
      </w:r>
    </w:p>
    <w:p w14:paraId="67C52495" w14:textId="77777777" w:rsidR="00266A71" w:rsidRPr="007C65CF" w:rsidRDefault="00266A71">
      <w:pPr>
        <w:rPr>
          <w:rFonts w:ascii="Times New Roman" w:hAnsi="Times New Roman" w:cs="Times New Roman"/>
        </w:rPr>
      </w:pPr>
    </w:p>
    <w:sectPr w:rsidR="00266A71" w:rsidRPr="007C65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9CEA" w14:textId="77777777" w:rsidR="008F2CBD" w:rsidRDefault="008F2CBD" w:rsidP="007C65CF">
      <w:pPr>
        <w:spacing w:after="0" w:line="240" w:lineRule="auto"/>
      </w:pPr>
      <w:r>
        <w:separator/>
      </w:r>
    </w:p>
  </w:endnote>
  <w:endnote w:type="continuationSeparator" w:id="0">
    <w:p w14:paraId="7B7A2F9A" w14:textId="77777777" w:rsidR="008F2CBD" w:rsidRDefault="008F2CBD" w:rsidP="007C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0C02" w14:textId="77777777" w:rsidR="008F2CBD" w:rsidRDefault="008F2CBD" w:rsidP="007C65CF">
      <w:pPr>
        <w:spacing w:after="0" w:line="240" w:lineRule="auto"/>
      </w:pPr>
      <w:r>
        <w:separator/>
      </w:r>
    </w:p>
  </w:footnote>
  <w:footnote w:type="continuationSeparator" w:id="0">
    <w:p w14:paraId="741E0BB8" w14:textId="77777777" w:rsidR="008F2CBD" w:rsidRDefault="008F2CBD" w:rsidP="007C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A71"/>
    <w:rsid w:val="0029639D"/>
    <w:rsid w:val="00326F90"/>
    <w:rsid w:val="007C65CF"/>
    <w:rsid w:val="008F2CBD"/>
    <w:rsid w:val="00AA1D8D"/>
    <w:rsid w:val="00B47730"/>
    <w:rsid w:val="00CB0664"/>
    <w:rsid w:val="00D73F18"/>
    <w:rsid w:val="00E268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0CFECF"/>
  <w14:defaultImageDpi w14:val="300"/>
  <w15:docId w15:val="{FE938DFB-9F4E-4D25-BDF0-9065B725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4789</Characters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2026-06-29T09:50:00Z</dcterms:modified>
  <cp:category/>
</cp:coreProperties>
</file>