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Supplementary material</w:t>
      </w:r>
    </w:p>
    <w:p>
      <w:r>
        <w:rPr>
          <w:rFonts w:ascii="Times New Roman" w:hAnsi="Times New Roman"/>
          <w:b/>
          <w:sz w:val="24"/>
        </w:rPr>
        <w:t>SOFA-2 versus SOFA for mortality risk assessment in ICU patients with acute cholangitis</w:t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S1. MIMIC-IV first-admission phenotype by TG18-like grade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376"/>
        <w:gridCol w:w="2376"/>
        <w:gridCol w:w="2376"/>
        <w:gridCol w:w="2376"/>
        <w:gridCol w:w="2376"/>
        <w:gridCol w:w="2376"/>
      </w:tblGrid>
      <w:tr>
        <w:trPr>
          <w:tblHeader w:val="true"/>
        </w:trP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Variable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Overall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Grade I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Grade II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Grade III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P value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N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1562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440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316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806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Age, years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69.0 (57.0, 80.0)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63.0 (53.0, 70.2)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78.5 (67.8, 86.0)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70.0 (58.0, 81.0)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Hospital LOS, days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5.7 (3.6, 9.8)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4.6 (2.8, 6.9)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5.3 (3.5, 8.3)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6.8 (4.2, 11.7)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Female, n (%)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689 (44.1)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204 (46.4)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159 (50.3)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326 (40.4)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0.006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WBC, K/uL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12.4 (9.1, 16.8)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10.9 (7.6, 13.6)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13.6 (11.3, 17.3)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13.1 (8.8, 18.8)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Platelet, K/uL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186.5 (129.0, 263.8)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220.0 (161.8, 290.0)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215.0 (164.8, 291.0)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156.0 (96.0, 236.0)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Creatinine, mg/dL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0.9 (0.7, 1.3)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 (0.7, 1.0)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0.9 (0.7, 1.1)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1.1 (0.8, 1.8)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Total bilirubin, mg/dL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3.3 (1.7, 5.8)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2.0 (0.9, 3.3)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4.8 (2.2, 7.2)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3.9 (2.1, 7.0)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ICU admission during hospitalization, n (%)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644 (41.2)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71 (16.1)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101 (32.0)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472 (58.6)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In-hospital death, n (%)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118 (7.6)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 (1.6)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 (3.2)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101 (12.5)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28-day mortality, n (%)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199 (12.7)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21 (4.8)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25 (7.9)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153 (19.0)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Acute kidney injury, n (%)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487 (31.2)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55 (12.5)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63 (19.9)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369 (45.8)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Sepsis, n (%)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695 (44.5)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111 (25.2)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101 (32.0)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483 (59.9)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Liver disease, n (%)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374 (23.9)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77 (17.5)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43 (13.6)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254 (31.5)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&lt;0.001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Malignant cancer, n (%)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537 (34.4)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144 (32.7)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96 (30.4)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297 (36.8)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0.084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S2. eICU intensive care mortality across SOFA-2 strata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564"/>
        <w:gridCol w:w="3564"/>
        <w:gridCol w:w="3564"/>
        <w:gridCol w:w="3564"/>
      </w:tblGrid>
      <w:tr>
        <w:trPr>
          <w:tblHeader w:val="true"/>
        </w:trPr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SOFA-2 stratum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ICU deaths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ICU mortality</w:t>
            </w:r>
          </w:p>
        </w:tc>
      </w:tr>
      <w:tr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0-2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80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1.2%</w:t>
            </w:r>
          </w:p>
        </w:tc>
      </w:tr>
      <w:tr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3-5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93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1.1%</w:t>
            </w:r>
          </w:p>
        </w:tc>
      </w:tr>
      <w:tr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6-8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68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5.9%</w:t>
            </w:r>
          </w:p>
        </w:tc>
      </w:tr>
      <w:tr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&gt;=9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48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11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22.9%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S3. Availability of eICU score-component inputs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752"/>
        <w:gridCol w:w="4752"/>
        <w:gridCol w:w="4752"/>
      </w:tblGrid>
      <w:tr>
        <w:trPr>
          <w:tblHeader w:val="true"/>
        </w:trP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Component input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Available/N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Availability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Time-matched PaO2/FiO2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91/289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31.5%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Platelets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282/289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97.6%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Bilirubin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272/289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94.1%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Mean arterial pressure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289/289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100.0%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Glasgow Coma Scale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195/289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67.5%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Creatinine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281/289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97.2%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Urine output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253/289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87.5%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S4. Discrimination of SOFA-2 organ components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584"/>
        <w:gridCol w:w="1584"/>
        <w:gridCol w:w="1584"/>
        <w:gridCol w:w="1584"/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Database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SOFA-2 component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N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ICU deaths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AUROC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95% CI lower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95% CI upper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Median in survivors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Median in deaths</w:t>
            </w:r>
          </w:p>
        </w:tc>
      </w:tr>
      <w:t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Total SOFA-2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71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0.834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0.777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0.883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6.0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13.0</w:t>
            </w:r>
          </w:p>
        </w:tc>
      </w:tr>
      <w:t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Brain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71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0.781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0.728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0.834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1.0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3.0</w:t>
            </w:r>
          </w:p>
        </w:tc>
      </w:tr>
      <w:t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Respiratory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71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0.714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0.651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0.776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2.0</w:t>
            </w:r>
          </w:p>
        </w:tc>
      </w:tr>
      <w:t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Cardiovascular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71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0.71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0.644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0.778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1.0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3.0</w:t>
            </w:r>
          </w:p>
        </w:tc>
      </w:tr>
      <w:t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Liver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71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0.638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0.565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0.708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2.0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3.0</w:t>
            </w:r>
          </w:p>
        </w:tc>
      </w:tr>
      <w:t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Kidney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71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0.715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0.65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0.776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1.0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3.0</w:t>
            </w:r>
          </w:p>
        </w:tc>
      </w:tr>
      <w:t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Haemostasis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71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0.583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0.512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0.653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1.0</w:t>
            </w:r>
          </w:p>
        </w:tc>
      </w:tr>
      <w:t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Total SOFA-2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17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0.833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0.713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0.934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4.0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10.0</w:t>
            </w:r>
          </w:p>
        </w:tc>
      </w:tr>
      <w:t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Brain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17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0.738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0.591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0.867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2.0</w:t>
            </w:r>
          </w:p>
        </w:tc>
      </w:tr>
      <w:t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Respiratory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17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0.726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0.591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0.847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2.0</w:t>
            </w:r>
          </w:p>
        </w:tc>
      </w:tr>
      <w:t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Cardiovascular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17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0.722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0.627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0.822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1.0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1.0</w:t>
            </w:r>
          </w:p>
        </w:tc>
      </w:tr>
      <w:t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Liver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17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0.68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0.54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0.815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1.0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2.0</w:t>
            </w:r>
          </w:p>
        </w:tc>
      </w:tr>
      <w:t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Kidney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17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0.719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0.589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0.837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1.0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2.0</w:t>
            </w:r>
          </w:p>
        </w:tc>
      </w:tr>
      <w:tr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Haemostasis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17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0.659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0.515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0.797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  <w:tc>
          <w:tcPr>
            <w:tcW w:type="dxa" w:w="158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1.0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S5. Exploratory MIMIC-IV subgroup analyses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</w:tblGrid>
      <w:tr>
        <w:trPr>
          <w:tblHeader w:val="true"/>
        </w:trP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Subgroup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Level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N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ICU deaths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SOFA-2 AUROC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SOFA AUROC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AUROC difference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95% CI lower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95% CI upper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P value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Analysis status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Age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&lt;65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204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0.818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0.823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-0.005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-0.021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0.011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0.531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Age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65-74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151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17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0.878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0.863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0.015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-0.013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0.053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0.401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Age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&gt;=75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289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29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0.812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0.833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-0.021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-0.056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0.002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0.089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Sex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F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284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22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0.806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0.813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-0.007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-0.025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0.009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0.386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Sex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M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360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49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0.839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0.844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-0.005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-0.026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0.015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0.66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TG18-like severity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Grade I-II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172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8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0.833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0.839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-0.006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-0.023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0.007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0.353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TG18-like severity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Grade III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472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63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0.805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0.806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-0.001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-0.02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0.017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0.926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S6. Calibration estimates with bootstrap uncertainty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782"/>
        <w:gridCol w:w="1782"/>
        <w:gridCol w:w="1782"/>
        <w:gridCol w:w="1782"/>
        <w:gridCol w:w="1782"/>
        <w:gridCol w:w="1782"/>
        <w:gridCol w:w="1782"/>
        <w:gridCol w:w="1782"/>
      </w:tblGrid>
      <w:tr>
        <w:trPr>
          <w:tblHeader w:val="true"/>
        </w:trP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Database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Model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N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ICU deaths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Calibration intercept (95% CI)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Calibration slope (95% CI)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Brier score (95% CI)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Validation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SOFA-2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71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-0.020 (-0.511 to 0.521)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0.989 (0.788 to 1.244)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0.081 (0.066 to 0.096)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10-fold cross-validated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SOFA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71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-0.019 (-0.492 to 0.486)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0.989 (0.787 to 1.236)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0.079 (0.065 to 0.095)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10-fold cross-validated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SOFA-2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17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0.475 (-0.805 to 1.777)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1.200 (0.761 to 1.812)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0.045 (0.026 to 0.065)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 risk mapping transported to eICU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SOFA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17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0.316 (-0.771 to 1.468)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1.137 (0.739 to 1.729)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0.045 (0.026 to 0.066)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 risk mapping transported to eICU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S7. eICU component-completeness sensitivity analyses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376"/>
        <w:gridCol w:w="2376"/>
        <w:gridCol w:w="2376"/>
        <w:gridCol w:w="2376"/>
        <w:gridCol w:w="2376"/>
        <w:gridCol w:w="2376"/>
      </w:tblGrid>
      <w:tr>
        <w:trPr>
          <w:tblHeader w:val="true"/>
        </w:trP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Analysis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ICU deaths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SOFA-2 AUROC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 AUROC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Difference (95% CI)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Primary analysis: all patients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289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17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0.833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0.835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-0.002 (-0.034 to 0.037)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At least 5 of 6 organ components observed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206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15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0.857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0.873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-0.017 (-0.044 to 0.006)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All 6 organ components observed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72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0.802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0.815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-0.013 (-0.059 to 0.029)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Diagnosis-defined broader cohort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558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22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0.858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0.857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0.001 (-0.032 to 0.037)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S8. Primary and 24-hour landmark analyses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037"/>
        <w:gridCol w:w="2037"/>
        <w:gridCol w:w="2037"/>
        <w:gridCol w:w="2037"/>
        <w:gridCol w:w="2037"/>
        <w:gridCol w:w="2037"/>
        <w:gridCol w:w="2037"/>
      </w:tblGrid>
      <w:tr>
        <w:trPr>
          <w:tblHeader w:val="true"/>
        </w:trP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Analysis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Type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ICU deaths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SOFA-2 AUROC (95% CI)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 AUROC (95% CI)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Difference (95% CI); P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 primary first-day analysis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Primary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644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0.834 (0.777-0.883)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0.838 (0.784-0.886)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-0.005 (-0.020 to 0.010); p=0.514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 primary first-day analysis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Primary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289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17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0.833 (0.709-0.933)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0.835 (0.712-0.936)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-0.002 (-0.033 to 0.036); p=0.896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 alive and still in ICU at 24 h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24-h landmark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520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44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0.787 (0.714-0.855)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0.793 (0.724-0.859)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-0.006 (-0.031 to 0.016); p=0.644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 alive and still in ICU at 24 h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24-h landmark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211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15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0.831 (0.687-0.943)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0.838 (0.702-0.945)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-0.007 (-0.024 to 0.008); p=0.363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S9. eICU strict-phenotype and hospital-cluster analyses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782"/>
        <w:gridCol w:w="1782"/>
        <w:gridCol w:w="1782"/>
        <w:gridCol w:w="1782"/>
        <w:gridCol w:w="1782"/>
        <w:gridCol w:w="1782"/>
        <w:gridCol w:w="1782"/>
        <w:gridCol w:w="1782"/>
      </w:tblGrid>
      <w:tr>
        <w:trPr>
          <w:tblHeader w:val="true"/>
        </w:trP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Analysis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Uncertainty method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N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ICU deaths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Hospitals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SOFA-2 AUROC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SOFA AUROC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Difference (95% CI); P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Strict diagnosis-supported phenotype excluding acute pancreatitis and cholangiocarcinoma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Patient bootstrap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144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0.783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0.787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-0.004 (-0.044 to 0.045); p=0.780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Ambiguous surgical-label-only cohort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Patient bootstrap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128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0.946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0.952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-0.006 (-0.031 to 0.016); p=0.705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 hospital-cluster bootstrap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Hospital-cluster bootstrap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17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105.0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0.833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0.835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-0.002 (-0.044 to 0.039); p=0.879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Strict eICU phenotype hospital-cluster bootstrap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Hospital-cluster bootstrap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144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69.0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0.783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0.787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-0.004 (-0.058 to 0.064); p=0.803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S10. Component availability according to ICU outcome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037"/>
        <w:gridCol w:w="2037"/>
        <w:gridCol w:w="2037"/>
        <w:gridCol w:w="2037"/>
        <w:gridCol w:w="2037"/>
        <w:gridCol w:w="2037"/>
        <w:gridCol w:w="2037"/>
      </w:tblGrid>
      <w:tr>
        <w:trPr>
          <w:tblHeader w:val="true"/>
        </w:trP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database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component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outcome_group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available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availability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missingness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Brain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Survived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571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573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99.7%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0.3%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Brain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Died in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70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98.6%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1.4%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Respiratory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Survived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140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573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24.4%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75.6%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Respiratory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Died in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47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66.2%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33.8%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Cardiovascular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Survived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572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573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99.8%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0.2%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Cardiovascular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Died in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100.0%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0.0%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Liver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Survived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554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573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96.7%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3.3%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Liver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Died in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69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97.2%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2.8%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Kidney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Survived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572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573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99.8%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0.2%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Kidney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Died in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70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98.6%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1.4%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Haemostasis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Survived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566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573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98.8%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1.2%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Haemostasis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Died in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70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98.6%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1.4%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Brain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Survived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181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272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66.5%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33.5%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Brain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Died in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14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17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82.4%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17.6%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Respiratory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Survived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79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272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29.0%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71.0%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Respiratory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Died in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17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70.6%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29.4%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Cardiovascular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Survived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272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272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100.0%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0.0%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Cardiovascular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Died in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17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17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100.0%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0.0%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Liver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Survived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257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272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94.5%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5.5%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Liver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Died in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15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17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88.2%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11.8%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Kidney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Survived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271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272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99.6%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0.4%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Kidney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Died in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17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17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100.0%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0.0%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Haemostasis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Survived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266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272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97.8%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2.2%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Haemostasis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Died in 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16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17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94.1%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5.9%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S11. Patient-level agreement between SOFA-2 and SOFA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</w:tblGrid>
      <w:tr>
        <w:trPr>
          <w:tblHeader w:val="true"/>
        </w:trPr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database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n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pearson_r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spearman_rho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delta_median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delta_q1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delta_q3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sofa2_higher_n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equal_n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sofa2_lower_n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exact_agreement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within_one_point</w:t>
            </w:r>
          </w:p>
        </w:tc>
      </w:tr>
      <w:tr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MIMIC-IV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644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0.96383260428596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0.9470876226891092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-1.0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120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263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261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0.4083850931677019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0.7732919254658385</w:t>
            </w:r>
          </w:p>
        </w:tc>
      </w:tr>
      <w:tr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eICU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289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0.9718233967133972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0.9632785780946984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-1.0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30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159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100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0.5501730103806228</w:t>
            </w:r>
          </w:p>
        </w:tc>
        <w:tc>
          <w:tcPr>
            <w:tcW w:type="dxa" w:w="118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0.8546712802768166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S12. Direction and frequency of organ-component changes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782"/>
        <w:gridCol w:w="1782"/>
        <w:gridCol w:w="1782"/>
        <w:gridCol w:w="1782"/>
        <w:gridCol w:w="1782"/>
        <w:gridCol w:w="1782"/>
        <w:gridCol w:w="1782"/>
        <w:gridCol w:w="1782"/>
      </w:tblGrid>
      <w:tr>
        <w:trPr>
          <w:tblHeader w:val="true"/>
        </w:trP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database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component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n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changed_n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sofa2_higher_n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sofa2_lower_n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mean_change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median_change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Brain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-0.031055900621118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Respiratory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85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85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-0.1319875776397515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Cardiovascular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178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26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152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-0.281055900621118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Liver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125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125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-0.1940993788819875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Kidney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185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105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80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0.1614906832298136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Haemostasis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644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99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99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0.1537267080745341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Brain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-0.0311418685121107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Respiratory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54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54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-0.1868512110726643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Cardiovascular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-0.0657439446366782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Liver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41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41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-0.1418685121107266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Kidney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31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0.0692041522491349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Haemostasis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289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0.0622837370242214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S13. Total, non-liver and liver-only discrimination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037"/>
        <w:gridCol w:w="2037"/>
        <w:gridCol w:w="2037"/>
        <w:gridCol w:w="2037"/>
        <w:gridCol w:w="2037"/>
        <w:gridCol w:w="2037"/>
        <w:gridCol w:w="2037"/>
      </w:tblGrid>
      <w:tr>
        <w:trPr>
          <w:tblHeader w:val="true"/>
        </w:trP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Database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ICU deaths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Total SOFA-2 AUROC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Non-liver SOFA-2 AUROC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Liver component AUROC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Total minus non-liver (95% CI); P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644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0.834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0.826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0.638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0.008 (-0.008 to 0.023); p=0.326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289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17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0.833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0.844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0.68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-0.010 (-0.044 to 0.020); p=0.536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S14. Coded therapeutic biliary-procedure proxy analyses in MIMIC-IV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782"/>
        <w:gridCol w:w="1782"/>
        <w:gridCol w:w="1782"/>
        <w:gridCol w:w="1782"/>
        <w:gridCol w:w="1782"/>
        <w:gridCol w:w="1782"/>
        <w:gridCol w:w="1782"/>
        <w:gridCol w:w="1782"/>
      </w:tblGrid>
      <w:tr>
        <w:trPr>
          <w:tblHeader w:val="true"/>
        </w:trP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Result type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Group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N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ICU deaths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ICU mortality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SOFA-2 AUROC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SOFA AUROC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Difference (95% CI); P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Timing summary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After ICU admission date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139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5.8%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Timing summary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Before ICU admission date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34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6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17.6%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Timing summary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No coded therapeutic biliary-procedure proxy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233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44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18.9%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Timing summary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On ICU admission date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238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5.5%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Performance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No coded therapeutic biliary-procedure proxy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233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44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0.868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0.865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0.003 (-0.011 to 0.021); p=0.762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Performance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Any coded therapeutic biliary-procedure proxy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411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27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0.801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0.822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-0.021 (-0.055 to 0.004); p=0.116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S15. Decision-curve estimates with bootstrap uncertainty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851"/>
        <w:gridCol w:w="2851"/>
        <w:gridCol w:w="2851"/>
        <w:gridCol w:w="2851"/>
        <w:gridCol w:w="2851"/>
      </w:tblGrid>
      <w:tr>
        <w:trPr>
          <w:tblHeader w:val="true"/>
        </w:trP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Database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Threshold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SOFA-2 net benefit (95% CI)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 net benefit (95% CI)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Difference (95% CI)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5%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0.079 (0.056 to 0.104)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0.080 (0.056 to 0.104)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-0.000 (-0.006 to 0.007)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10%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0.066 (0.044 to 0.089)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0.066 (0.044 to 0.089)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-0.000 (-0.007 to 0.006)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15%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0.053 (0.033 to 0.075)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0.054 (0.033 to 0.075)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-0.001 (-0.008 to 0.006)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MIMIC-IV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20%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0.037 (0.017 to 0.057)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0.043 (0.022 to 0.064)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-0.005 (-0.014 to 0.001)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5%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0.032 (0.010 to 0.057)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0.038 (0.015 to 0.064)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-0.006 (-0.014 to -0.002)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10%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0.020 (0.002 to 0.044)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0.022 (0.002 to 0.047)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-0.002 (-0.010 to 0.003)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15%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0.016 (-0.000 to 0.037)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0.016 (-0.001 to 0.038)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0.000 (-0.009 to 0.006)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eICU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20%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0.011 (-0.004 to 0.030)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0.013 (-0.004 to 0.033)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-0.002 (-0.010 to 0.004)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S16. Exploratory data-defined SOFA-2 trajectory groups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</w:tblGrid>
      <w:tr>
        <w:trPr>
          <w:tblHeader w:val="true"/>
        </w:trP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Trajectory group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N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ICU deaths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ICU mortality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Day-1 median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Day-2 median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Day-3 median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Delta day-3 median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Database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ICU mortality 95% CI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1"/>
              </w:rPr>
              <w:t>Analysis status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high_persistent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18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16.7%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14.0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14.0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14.5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-1.0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MIMIC-IV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5.8%-39.2%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Exploratory; data-defined groups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improving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102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9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8.8%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11.5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8.0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7.0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-4.0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MIMIC-IV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4.7%-15.9%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Exploratory; data-defined groups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low_stable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4.0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MIMIC-IV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-0.0%-11.4%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Exploratory; data-defined groups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stable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17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5.9%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7.0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7.0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7.0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MIMIC-IV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1.0%-27.0%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Exploratory; data-defined groups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worsening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26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12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46.2%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9.5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12.0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12.0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MIMIC-IV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28.8%-64.5%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Exploratory; data-defined groups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high_persistent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12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25.0%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12.0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10.5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12.0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eICU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8.9%-53.2%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Exploratory; data-defined groups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improving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8.6%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8.0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6.0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5.0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-5.0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eICU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3.0%-22.4%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Exploratory; data-defined groups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low_stable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24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4.2%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4.0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-1.0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eICU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0.7%-20.2%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Exploratory; data-defined groups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stable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7.0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7.0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6.5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-0.5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eICU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0.0%-65.8%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Exploratory; data-defined groups</w:t>
            </w:r>
          </w:p>
        </w:tc>
      </w:tr>
      <w:tr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worsening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6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16.7%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6.0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7.0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8.0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2.0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eICU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3.0%-56.4%</w:t>
            </w:r>
          </w:p>
        </w:tc>
        <w:tc>
          <w:tcPr>
            <w:tcW w:type="dxa" w:w="129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1"/>
              </w:rPr>
              <w:t>Exploratory; data-defined groups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S17. Additional MIMIC-IV phenotype and clinical sensitivity analyses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376"/>
        <w:gridCol w:w="2376"/>
        <w:gridCol w:w="2376"/>
        <w:gridCol w:w="2376"/>
        <w:gridCol w:w="2376"/>
        <w:gridCol w:w="2376"/>
      </w:tblGrid>
      <w:tr>
        <w:trPr>
          <w:tblHeader w:val="true"/>
        </w:trP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Analysis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ICU deaths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SOFA-2 AUROC (95% CI)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 AUROC (95% CI)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Difference (95% CI); P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Primary ICU cohort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644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71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0.834 (0.777-0.883)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0.838 (0.784-0.886)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-0.005 (-0.020 to 0.010); p=0.514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Explicit cholangitis-code sensitivity (K80.4x/K83.1 sole-code rule; no patients excluded)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644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71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0.834 (0.777-0.883)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0.838 (0.784-0.886)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-0.005 (-0.020 to 0.010); p=0.514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Non-bilirubin hepatobiliary-criterion sensitivity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575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65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0.824 (0.763-0.880)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0.830 (0.770-0.884)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-0.006 (-0.023 to 0.009); p=0.452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No recorded chronic liver disease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478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37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0.825 (0.736-0.897)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0.840 (0.755-0.910)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-0.015 (-0.041 to 0.009); p=0.222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No invasive ventilation/ECMO in first-day score window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445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24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0.818 (0.687-0.925)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0.820 (0.702-0.921)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-0.002 (-0.030 to 0.030); p=0.809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S18. Audit of potentially non-specific biliary diagnosis co-codes in MIMIC-IV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7128"/>
        <w:gridCol w:w="7128"/>
      </w:tblGrid>
      <w:tr>
        <w:trPr>
          <w:tblHeader w:val="true"/>
        </w:trPr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ICD-code audit item</w:t>
            </w:r>
          </w:p>
        </w:tc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</w:t>
            </w:r>
          </w:p>
        </w:tc>
      </w:tr>
      <w:tr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Explicit cholangitis code</w:t>
            </w:r>
          </w:p>
        </w:tc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644</w:t>
            </w:r>
          </w:p>
        </w:tc>
      </w:tr>
      <w:tr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K80.4x co-code</w:t>
            </w:r>
          </w:p>
        </w:tc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</w:t>
            </w:r>
          </w:p>
        </w:tc>
      </w:tr>
      <w:tr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K83.1 co-code</w:t>
            </w:r>
          </w:p>
        </w:tc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76</w:t>
            </w:r>
          </w:p>
        </w:tc>
      </w:tr>
      <w:tr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K80.4x or K83.1 without explicit cholangitis code</w:t>
            </w:r>
          </w:p>
        </w:tc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S19. Hour-resolved ERCP workflow records relative to ICU admission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037"/>
        <w:gridCol w:w="2037"/>
        <w:gridCol w:w="2037"/>
        <w:gridCol w:w="2037"/>
        <w:gridCol w:w="2037"/>
        <w:gridCol w:w="2037"/>
        <w:gridCol w:w="2037"/>
      </w:tblGrid>
      <w:tr>
        <w:trPr>
          <w:tblHeader w:val="true"/>
        </w:trP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ERCP workflow timing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ICU deaths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ICU mortality (95% CI)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Median day-1 SOFA-2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ERCP done-in-unit records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Generic percutaneous-drain records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0-12 h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122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5.7% (2.8%-11.4%)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6.5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12-24 h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56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3.6% (1.0%-12.1%)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7.0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&gt;24 h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24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4.2% (0.7%-20.2%)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7.5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No exact ERCP workflow record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442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13.8% (10.9%-17.3%)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7.0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15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S20. Early blood-culture findings and exploratory score performance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037"/>
        <w:gridCol w:w="2037"/>
        <w:gridCol w:w="2037"/>
        <w:gridCol w:w="2037"/>
        <w:gridCol w:w="2037"/>
        <w:gridCol w:w="2037"/>
        <w:gridCol w:w="2037"/>
      </w:tblGrid>
      <w:tr>
        <w:trPr>
          <w:tblHeader w:val="true"/>
        </w:trP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Early blood-culture group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ICU deaths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ICU mortality (95% CI)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SOFA-2 AUROC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 AUROC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Difference (95% CI)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No blood culture in window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182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21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11.5% (7.7%-17.0%)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0.938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0.922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0.016 (-0.006 to 0.045)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Gram-negative blood culture positive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57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10.5% (4.9%-21.1%)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0.853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0.866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-0.013 (-0.051 to 0.023)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Blood culture negative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386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10.9% (8.2%-14.4%)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0.798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0.814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-0.015 (-0.038 to 0.002)</w:t>
            </w:r>
          </w:p>
        </w:tc>
      </w:tr>
      <w:tr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Other blood culture positive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19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10.5% (2.9%-31.4%)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0.544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0.529</w:t>
            </w:r>
          </w:p>
        </w:tc>
        <w:tc>
          <w:tcPr>
            <w:tcW w:type="dxa" w:w="2037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0.015 (0.000 to 0.067)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S21. Admission and first-ICU context in MIMIC-IV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851"/>
        <w:gridCol w:w="2851"/>
        <w:gridCol w:w="2851"/>
        <w:gridCol w:w="2851"/>
        <w:gridCol w:w="2851"/>
      </w:tblGrid>
      <w:tr>
        <w:trPr>
          <w:tblHeader w:val="true"/>
        </w:trP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Context type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Context group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ICU deaths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ICU mortality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Admission type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DIRECT OBSERVATION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Admission type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URGENT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139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13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9.4%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Admission type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OBSERVATION ADMIT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78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12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15.4%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Admission type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EU OBSERVATION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33.3%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Admission type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ELECTIVE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25.0%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Admission type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DIRECT EMER.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27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22.2%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Admission type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SURGICAL SAME DAY ADMISSION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8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Admission type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EW EMER.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384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38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9.9%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First ICU care unit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Medical Intensive Care Unit (MICU)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93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16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17.2%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First ICU care unit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Surgical Intensive Care Unit (SICU)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61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3.3%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First ICU care unit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Coronary Care Unit (CCU)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30.0%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First ICU care unit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Trauma SICU (TSICU)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44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15.9%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First ICU care unit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Medical/Surgical Intensive Care Unit (MICU/SICU)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430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43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10.0%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First ICU care unit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Neuro Intermediate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First ICU care unit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Cardiac Vascular Intensive Care Unit (CVICU)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Surgical-service flag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536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66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12.3%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Surgical-service flag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108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4.6%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S22. Sensitivity analysis restricted to emergency or urgent admissions without a surgical-service flag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376"/>
        <w:gridCol w:w="2376"/>
        <w:gridCol w:w="2376"/>
        <w:gridCol w:w="2376"/>
        <w:gridCol w:w="2376"/>
        <w:gridCol w:w="2376"/>
      </w:tblGrid>
      <w:tr>
        <w:trPr>
          <w:tblHeader w:val="true"/>
        </w:trP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Sensitivity cohort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ICU deaths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SOFA-2 AUROC (95% CI)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 AUROC (95% CI)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Difference (95% CI); P</w:t>
            </w:r>
          </w:p>
        </w:tc>
      </w:tr>
      <w:tr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Emergency/urgent admission without surgical-service flag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463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54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0.842 (0.774-0.900)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0.840 (0.773-0.897)</w:t>
            </w:r>
          </w:p>
        </w:tc>
        <w:tc>
          <w:tcPr>
            <w:tcW w:type="dxa" w:w="2376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0.002 (-0.011 to 0.017); p=0.814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S23. Reconstructed APACHE II contextual comparison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851"/>
        <w:gridCol w:w="2851"/>
        <w:gridCol w:w="2851"/>
        <w:gridCol w:w="2851"/>
        <w:gridCol w:w="2851"/>
      </w:tblGrid>
      <w:tr>
        <w:trPr>
          <w:tblHeader w:val="true"/>
        </w:trP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Outcome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Events/N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SOFA-2 AUROC (95% CI)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Reconstructed APACHE II AUROC (95% CI)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Difference (95% CI); P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ICU mortality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71/644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0.834 (0.777-0.883)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0.857 (0.813-0.898)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-0.024 (-0.066 to 0.015); p=0.238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In-hospital mortality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102/644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0.786 (0.734-0.833)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0.797 (0.747-0.845)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-0.012 (-0.054 to 0.030); p=0.548</w:t>
            </w:r>
          </w:p>
        </w:tc>
      </w:tr>
      <w:tr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28-day mortality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133/644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0.760 (0.714-0.804)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0.759 (0.711-0.803)</w:t>
            </w:r>
          </w:p>
        </w:tc>
        <w:tc>
          <w:tcPr>
            <w:tcW w:type="dxa" w:w="2851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0.001 (-0.035 to 0.039); p=0.962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S24. APACHE II reconstruction component availability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752"/>
        <w:gridCol w:w="4752"/>
        <w:gridCol w:w="4752"/>
      </w:tblGrid>
      <w:tr>
        <w:trPr>
          <w:tblHeader w:val="true"/>
        </w:trP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APACHE II component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Available/N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Availability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Temperature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638/644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99.1%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Mean arterial pressure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643/644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99.8%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Heart rate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643/644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99.8%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Respiratory rate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643/644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99.8%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Oxygenation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349/644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54.2%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Arterial pH or bicarbonate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637/644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98.9%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Sodium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636/644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98.8%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Potassium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636/644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98.8%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Creatinine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636/644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98.8%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Haematocrit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636/644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98.8%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White blood cell count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636/644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98.8%</w:t>
            </w:r>
          </w:p>
        </w:tc>
      </w:tr>
      <w:tr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Glasgow Coma Scale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641/644</w:t>
            </w:r>
          </w:p>
        </w:tc>
        <w:tc>
          <w:tcPr>
            <w:tcW w:type="dxa" w:w="475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99.5%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S25. APACHE II reconstruction summary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7128"/>
        <w:gridCol w:w="7128"/>
      </w:tblGrid>
      <w:tr>
        <w:trPr>
          <w:tblHeader w:val="true"/>
        </w:trPr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Reconstruction item</w:t>
            </w:r>
          </w:p>
        </w:tc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Value</w:t>
            </w:r>
          </w:p>
        </w:tc>
      </w:tr>
      <w:tr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N</w:t>
            </w:r>
          </w:p>
        </w:tc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644</w:t>
            </w:r>
          </w:p>
        </w:tc>
      </w:tr>
      <w:tr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ICU deaths</w:t>
            </w:r>
          </w:p>
        </w:tc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71</w:t>
            </w:r>
          </w:p>
        </w:tc>
      </w:tr>
      <w:tr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Median APACHE II</w:t>
            </w:r>
          </w:p>
        </w:tc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19</w:t>
            </w:r>
          </w:p>
        </w:tc>
      </w:tr>
      <w:tr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IQR lower</w:t>
            </w:r>
          </w:p>
        </w:tc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15</w:t>
            </w:r>
          </w:p>
        </w:tc>
      </w:tr>
      <w:tr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IQR upper</w:t>
            </w:r>
          </w:p>
        </w:tc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27</w:t>
            </w:r>
          </w:p>
        </w:tc>
      </w:tr>
      <w:tr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High-FiO2 ABG pairs with PaCO2 available</w:t>
            </w:r>
          </w:p>
        </w:tc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142</w:t>
            </w:r>
          </w:p>
        </w:tc>
      </w:tr>
      <w:tr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High-FiO2 ABG rows lacking PaCO2</w:t>
            </w:r>
          </w:p>
        </w:tc>
        <w:tc>
          <w:tcPr>
            <w:tcW w:type="dxa" w:w="7128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S26. Exploratory dynamic SOFA-2 analyses in landmark cohorts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782"/>
        <w:gridCol w:w="1782"/>
        <w:gridCol w:w="1782"/>
        <w:gridCol w:w="1782"/>
        <w:gridCol w:w="1782"/>
        <w:gridCol w:w="1782"/>
        <w:gridCol w:w="1782"/>
        <w:gridCol w:w="1782"/>
      </w:tblGrid>
      <w:tr>
        <w:trPr>
          <w:tblHeader w:val="true"/>
        </w:trP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Database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Landmark cohort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Score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N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ICU deaths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ICU mortality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AUROC (95% CI)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3"/>
              </w:rPr>
              <w:t>Analysis status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24-hour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Day-1 SOFA-2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520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8.5%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0.787 (0.714-0.855)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24-hour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Day-2 SOFA-2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521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45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8.6%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0.832 (0.765-0.895)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24-hour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Delta day 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521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45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8.6%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0.681 (0.582-0.775)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72-hour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Day-1 SOFA-2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193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13.0%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0.654 (0.540-0.754)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72-hour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Day-2 SOFA-2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193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13.0%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0.765 (0.668-0.850)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72-hour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Day-3 SOFA-2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193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13.0%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0.809 (0.730-0.873)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72-hour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Delta day 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193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13.0%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0.726 (0.605-0.837)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72-hour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Maximum SOFA-2, 72 h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193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13.0%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0.746 (0.643-0.832)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MIMIC-IV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72-hour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Mean SOFA-2, 72 h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193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25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13.0%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0.766 (0.671-0.845)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72-hour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Day-1 SOFA-2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10.1%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0.789 (0.603-0.930)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72-hour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Day-2 SOFA-2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10.1%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0.818 (0.621-0.951)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72-hour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Day-3 SOFA-2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10.1%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0.846 (0.686-0.959)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72-hour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Delta day 3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10.1%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0.614 (0.399-0.818)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72-hour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Maximum SOFA-2, 72 h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10.1%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0.782 (0.582-0.930)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  <w:tr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eICU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72-hour landmark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Mean SOFA-2, 72 h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79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8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10.1%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0.834 (0.654-0.959)</w:t>
            </w:r>
          </w:p>
        </w:tc>
        <w:tc>
          <w:tcPr>
            <w:tcW w:type="dxa" w:w="1782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3"/>
              </w:rPr>
              <w:t>Exploratory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Table S27. Secondary outcome head-to-head comparison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3564"/>
        <w:gridCol w:w="3564"/>
        <w:gridCol w:w="3564"/>
        <w:gridCol w:w="3564"/>
      </w:tblGrid>
      <w:tr>
        <w:trPr>
          <w:tblHeader w:val="true"/>
        </w:trPr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Outcome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SOFA-2 AUROC (95% CI)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SOFA AUROC (95% CI)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Difference (95% CI); P</w:t>
            </w:r>
          </w:p>
        </w:tc>
      </w:tr>
      <w:tr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ICU mortality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0.834 (0.777-0.883)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r>
              <w:rPr>
                <w:rFonts w:ascii="Times New Roman" w:hAnsi="Times New Roman"/>
                <w:sz w:val="20"/>
              </w:rPr>
              <w:t>0.838 (0.784-0.886)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-0.005 (-0.020 to 0.010); p=0.514</w:t>
            </w:r>
          </w:p>
        </w:tc>
      </w:tr>
      <w:tr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In-hospital mortality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0.786 (0.734-0.833)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0.784 (0.731-0.831)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0.002 (-0.012 to 0.015); p=0.821</w:t>
            </w:r>
          </w:p>
        </w:tc>
      </w:tr>
      <w:tr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28-day mortality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0.760 (0.714-0.804)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0.756 (0.711-0.801)</w:t>
            </w:r>
          </w:p>
        </w:tc>
        <w:tc>
          <w:tcPr>
            <w:tcW w:type="dxa" w:w="3564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4"/>
              </w:rPr>
              <w:t>0.005 (-0.010 to 0.020); p=0.524</w:t>
            </w:r>
          </w:p>
        </w:tc>
      </w:tr>
    </w:tbl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Figure S1. Exploratory dynamic SOFA-2 analyses</w:t>
      </w:r>
    </w:p>
    <w:p>
      <w:r>
        <w:drawing>
          <wp:inline xmlns:a="http://schemas.openxmlformats.org/drawingml/2006/main" xmlns:pic="http://schemas.openxmlformats.org/drawingml/2006/picture">
            <wp:extent cx="8412480" cy="428159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1_external_calibration_dca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42815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Times New Roman"/>
          <w:b w:val="0"/>
          <w:sz w:val="18"/>
        </w:rPr>
        <w:t>Day-specific, delta, maximum, mean and simple trajectory analyses are shown for landmark cohorts.</w:t>
      </w:r>
    </w:p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Figure S2. Extended sensitivity and component analyses</w:t>
      </w:r>
    </w:p>
    <w:p>
      <w:r>
        <w:drawing>
          <wp:inline xmlns:a="http://schemas.openxmlformats.org/drawingml/2006/main" xmlns:pic="http://schemas.openxmlformats.org/drawingml/2006/picture">
            <wp:extent cx="8412480" cy="438892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2_mimic_calibration_dca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43889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Times New Roman"/>
          <w:b w:val="0"/>
          <w:sz w:val="18"/>
        </w:rPr>
        <w:t>Additional sensitivity, component and agreement analyses are shown for the primary and cross-database cohorts.</w:t>
      </w:r>
    </w:p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  <w:t>Figure S3. Time-dependent cumulative AUC analyses in MIMIC-IV</w:t>
      </w:r>
    </w:p>
    <w:p>
      <w:r>
        <w:drawing>
          <wp:inline xmlns:a="http://schemas.openxmlformats.org/drawingml/2006/main" xmlns:pic="http://schemas.openxmlformats.org/drawingml/2006/picture">
            <wp:extent cx="7132320" cy="582819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3_dynamic_sofa2_natur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32320" cy="5828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Times New Roman"/>
          <w:b w:val="0"/>
          <w:sz w:val="18"/>
        </w:rPr>
        <w:t>Cumulative AUC curves compare day-1 SOFA-2 with SOFA from day 1 to day 28, and exploratory 72-hour landmark curves compare maximum 72-hour SOFA-2 with day-1 SOFA-2 from day 4 to day 28. Shaded areas show 95% bootstrap confidence intervals.</w:t>
      </w:r>
    </w:p>
    <w:p>
      <w:r>
        <w:br w:type="page"/>
      </w:r>
    </w:p>
    <w:p>
      <w:pPr>
        <w:keepNext/>
        <w:spacing w:before="120" w:after="80"/>
      </w:pPr>
      <w:r>
        <w:rPr>
          <w:rFonts w:ascii="Times New Roman" w:hAnsi="Times New Roman" w:eastAsia="Times New Roman"/>
          <w:b/>
          <w:sz w:val="21"/>
        </w:rPr>
      </w:r>
    </w:p>
    <w:p>
      <w:r>
        <w:drawing>
          <wp:inline xmlns:a="http://schemas.openxmlformats.org/drawingml/2006/main" xmlns:pic="http://schemas.openxmlformats.org/drawingml/2006/picture">
            <wp:extent cx="7132320" cy="58682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4_extended_analyses_natur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32320" cy="5868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eastAsia="Times New Roman"/>
          <w:b w:val="0"/>
          <w:sz w:val="18"/>
        </w:rPr>
      </w:r>
    </w:p>
    <w:p>
      <w:r>
        <w:rPr>
          <w:rFonts w:ascii="Times New Roman" w:hAnsi="Times New Roman"/>
          <w:sz w:val="20"/>
        </w:rPr>
        <w:t>For Table S17, the K80.4x/K83.1 sole-code exclusion rule removed no patients because no patient qualified solely through these codes.</w:t>
      </w:r>
    </w:p>
    <w:sectPr w:rsidR="00FC693F" w:rsidRPr="0006063C" w:rsidSect="00034616">
      <w:footerReference w:type="default" r:id="rId9"/>
      <w:pgSz w:w="15840" w:h="12240" w:orient="landscape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