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Supplementary File 1. English translation of study-specific questionnaire items used in the present analysis</w:t>
      </w:r>
    </w:p>
    <w:p>
      <w:pPr>
        <w:spacing w:after="120"/>
      </w:pPr>
      <w:r>
        <w:t>This supplementary file provides an English translation of the study-specific questionnaire items from the 2025 Health Survey for VDT Workers that were used in the present analysis. The field questionnaire was administered in Chinese as part of the 2025 Occupational Health Protection Action program in Shenzhen, China.</w:t>
      </w:r>
    </w:p>
    <w:p>
      <w:pPr>
        <w:spacing w:after="120"/>
      </w:pPr>
      <w:r>
        <w:t>The overall survey questionnaire was developed for this occupational health program and has not been published as a standalone instrument. The present analysis also incorporated previously published instruments: the Ocular Surface Disease Index (OSDI), the Neck Disability Index (NDI), and the 22-item Job Content Questionnaire (JCQ-22), which are cited in the main manuscript. The item wording and scoring of these published instruments followed their source instruments; the study-specific items are translated below.</w:t>
      </w:r>
    </w:p>
    <w:p>
      <w:pPr>
        <w:pStyle w:val="Heading1"/>
      </w:pPr>
      <w:r>
        <w:t>Informed consent item</w:t>
      </w:r>
    </w:p>
    <w:p>
      <w:pPr>
        <w:spacing w:after="120"/>
      </w:pPr>
      <w:r>
        <w:t>Have you understood the basic information about this project and are you willing to participate in this survey?</w:t>
      </w:r>
    </w:p>
    <w:p>
      <w:pPr>
        <w:pStyle w:val="ListBullet"/>
      </w:pPr>
      <w:r>
        <w:t>Yes</w:t>
      </w:r>
    </w:p>
    <w:p>
      <w:pPr>
        <w:pStyle w:val="ListBullet"/>
      </w:pPr>
      <w:r>
        <w:t>No</w:t>
      </w:r>
    </w:p>
    <w:p>
      <w:pPr>
        <w:pStyle w:val="Heading1"/>
      </w:pPr>
      <w:r>
        <w:t>Participant identification and demographic items</w:t>
      </w:r>
    </w:p>
    <w:p>
      <w:pPr>
        <w:spacing w:after="120"/>
      </w:pPr>
      <w:r>
        <w:t>The following identifiers were collected for record linkage with occupational health examination records and were not used for public reporting.</w:t>
      </w:r>
    </w:p>
    <w:p>
      <w:pPr>
        <w:pStyle w:val="ListBullet"/>
      </w:pPr>
      <w:r>
        <w:t>Name (open text field)</w:t>
      </w:r>
    </w:p>
    <w:p>
      <w:pPr>
        <w:pStyle w:val="ListBullet"/>
      </w:pPr>
      <w:r>
        <w:t>Mobile phone number (open text field)</w:t>
      </w:r>
    </w:p>
    <w:p>
      <w:pPr>
        <w:pStyle w:val="ListBullet"/>
      </w:pPr>
      <w:r>
        <w:t>Sex: female; male</w:t>
      </w:r>
    </w:p>
    <w:p>
      <w:pPr>
        <w:pStyle w:val="ListBullet"/>
      </w:pPr>
      <w:r>
        <w:t>Religious belief: none; Taoism; Buddhism; Christianity; Islam; other</w:t>
      </w:r>
    </w:p>
    <w:p>
      <w:pPr>
        <w:pStyle w:val="ListBullet"/>
      </w:pPr>
      <w:r>
        <w:t>Educational level: junior high school or below; senior high school/technical secondary school; junior college; undergraduate; postgraduate or above</w:t>
      </w:r>
    </w:p>
    <w:p>
      <w:pPr>
        <w:pStyle w:val="Heading1"/>
      </w:pPr>
      <w:r>
        <w:t>Occupational and VDT-work items</w:t>
      </w:r>
    </w:p>
    <w:p>
      <w:pPr>
        <w:pStyle w:val="ListBullet"/>
      </w:pPr>
      <w:r>
        <w:t>Current workplace/company name (open text field)</w:t>
      </w:r>
    </w:p>
    <w:p>
      <w:pPr>
        <w:pStyle w:val="ListBullet"/>
      </w:pPr>
      <w:r>
        <w:t>Current job position (open text field)</w:t>
      </w:r>
    </w:p>
    <w:p>
      <w:pPr>
        <w:pStyle w:val="ListBullet"/>
      </w:pPr>
      <w:r>
        <w:t>Duration in the current job: ___ years and ___ months</w:t>
      </w:r>
    </w:p>
    <w:p>
      <w:pPr>
        <w:pStyle w:val="ListBullet"/>
      </w:pPr>
      <w:r>
        <w:t>During the past year, including overtime, how many hours did you work per week? ___ hours/week</w:t>
      </w:r>
    </w:p>
    <w:p>
      <w:pPr>
        <w:pStyle w:val="ListBullet"/>
      </w:pPr>
      <w:r>
        <w:t>Do you engage in shift work? yes; no</w:t>
      </w:r>
    </w:p>
    <w:p>
      <w:pPr>
        <w:pStyle w:val="ListBullet"/>
      </w:pPr>
      <w:r>
        <w:t>On average, how many hours per day do you use a computer? ___ hours/day</w:t>
      </w:r>
    </w:p>
    <w:p>
      <w:pPr>
        <w:pStyle w:val="ListBullet"/>
      </w:pPr>
      <w:r>
        <w:t>How do you perceive the lighting conditions in your workplace? excessive lighting; appropriate lighting; insufficient lighting</w:t>
      </w:r>
    </w:p>
    <w:p>
      <w:pPr>
        <w:pStyle w:val="Heading1"/>
      </w:pPr>
      <w:r>
        <w:t>Sedentary behavior item</w:t>
      </w:r>
    </w:p>
    <w:p>
      <w:pPr>
        <w:spacing w:after="120"/>
      </w:pPr>
      <w:r>
        <w:t>The following question referred to time spent sitting or lying down at work, at home, during transportation, or with friends, including time sitting at a desk, sitting with friends, traveling by car/bus/train, reading, playing cards, or watching television, but excluding sleep time.</w:t>
      </w:r>
    </w:p>
    <w:p>
      <w:pPr>
        <w:spacing w:after="120"/>
      </w:pPr>
      <w:r>
        <w:t>In general, how much time per day do you spend sitting or lying down, excluding sleep time? ___ hours and ___ minutes per day</w:t>
      </w:r>
    </w:p>
    <w:p>
      <w:pPr>
        <w:pStyle w:val="Heading1"/>
      </w:pPr>
      <w:r>
        <w:t>Ocular symptoms module</w:t>
      </w:r>
    </w:p>
    <w:p>
      <w:pPr>
        <w:spacing w:after="120"/>
      </w:pPr>
      <w:r>
        <w:t>Ocular symptoms were assessed using the published Ocular Surface Disease Index (OSDI), as cited in the main manuscript. The Chinese field questionnaire included the standard OSDI domains for symptoms, vision-related function, and environmental triggers during the previous week. Response options followed the OSDI format: all of the time, most of the time, half of the time, some of the time, none of the time; for activity/environment items, a not-applicable option was available when the participant had not performed the activity or had not been in the environment during the previous week.</w:t>
      </w:r>
    </w:p>
    <w:p>
      <w:pPr>
        <w:spacing w:after="120"/>
      </w:pPr>
      <w:r>
        <w:t>Domains/items covered: light sensitivity; gritty sensation; painful or sore eyes; blurred vision; poor vision; reading; driving at night; using a computer; watching television; windy conditions; low-humidity/dry places; air-conditioned places.</w:t>
      </w:r>
    </w:p>
    <w:p>
      <w:pPr>
        <w:pStyle w:val="Heading1"/>
      </w:pPr>
      <w:r>
        <w:t>Cervical function module</w:t>
      </w:r>
    </w:p>
    <w:p>
      <w:pPr>
        <w:spacing w:after="120"/>
      </w:pPr>
      <w:r>
        <w:t>Cervical function was assessed using the published Neck Disability Index (NDI), as cited in the main manuscript. The Chinese field questionnaire included the standard NDI domains: pain intensity, personal care, lifting, reading, headache, concentration, work, sleep, driving, and recreation. Each item was scored from 0 to 5 according to the standard NDI scoring approach. For the driving item, an additional response option indicated that the participant did not drive or rarely drove; this was treated as non-applicable for scoring as described in the main manuscript.</w:t>
      </w:r>
    </w:p>
    <w:p>
      <w:pPr>
        <w:pStyle w:val="Heading1"/>
      </w:pPr>
      <w:r>
        <w:t>Additional musculoskeletal items</w:t>
      </w:r>
    </w:p>
    <w:p>
      <w:pPr>
        <w:pStyle w:val="ListBullet"/>
      </w:pPr>
      <w:r>
        <w:t>During the past year, in which of the following body regions have you experienced pain or discomfort? neck; shoulder; back; elbow; low back/waist; wrist; hip/buttock; knee; ankle/foot; none</w:t>
      </w:r>
    </w:p>
    <w:p>
      <w:pPr>
        <w:pStyle w:val="ListBullet"/>
      </w:pPr>
      <w:r>
        <w:t>Have you taken leave because of pain in the following body regions? neck; shoulder; back; elbow; low back/waist; wrist; hip/buttock; knee; ankle/foot; none. Response options: yes; no</w:t>
      </w:r>
    </w:p>
    <w:p>
      <w:pPr>
        <w:pStyle w:val="Heading1"/>
      </w:pPr>
      <w:r>
        <w:t>Occupational stress module</w:t>
      </w:r>
    </w:p>
    <w:p>
      <w:pPr>
        <w:spacing w:after="120"/>
      </w:pPr>
      <w:r>
        <w:t>Occupational stress was assessed using the published 22-item Job Content Questionnaire (JCQ-22), as cited in the main manuscript. The Chinese field questionnaire followed the JCQ-22 response format. Response options were: strongly disagree, disagree, agree, strongly agree. Items relating to supervisor support included an additional option indicating that the participant had no supervisor.</w:t>
      </w:r>
    </w:p>
    <w:p>
      <w:pPr>
        <w:spacing w:after="120"/>
      </w:pPr>
      <w:r>
        <w:t>The module covered psychological job demands, job control/decision latitude, skill discretion, supervisor support, and coworker support. The demand/control ratio was calculated as described in the main manuscript.</w:t>
      </w:r>
    </w:p>
    <w:p>
      <w:pPr>
        <w:pStyle w:val="Heading1"/>
      </w:pPr>
      <w:r>
        <w:t>Disease history item</w:t>
      </w:r>
    </w:p>
    <w:p>
      <w:pPr>
        <w:spacing w:after="120"/>
      </w:pPr>
      <w:r>
        <w:t>Participants were asked to report current physician- or hospital-diagnosed diseases using a multiple-choice item. These data were collected in the field questionnaire but were not central variables in the present analysis.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