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A75B" w14:textId="77777777" w:rsidR="00B9036F" w:rsidRPr="00750C73" w:rsidRDefault="00B9036F" w:rsidP="00B9036F">
      <w:pPr>
        <w:rPr>
          <w:rFonts w:asciiTheme="majorBidi" w:eastAsia="Aptos" w:hAnsiTheme="majorBidi" w:cstheme="majorBidi"/>
        </w:rPr>
      </w:pPr>
      <w:r w:rsidRPr="00750C73">
        <w:rPr>
          <w:rFonts w:asciiTheme="majorBidi" w:eastAsia="Aptos" w:hAnsiTheme="majorBidi" w:cstheme="majorBidi"/>
        </w:rPr>
        <w:t>Table 1: Baseline characteristics of the study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765"/>
        <w:gridCol w:w="1870"/>
        <w:gridCol w:w="1870"/>
        <w:gridCol w:w="1870"/>
      </w:tblGrid>
      <w:tr w:rsidR="00B9036F" w:rsidRPr="008612EB" w14:paraId="17A31C40" w14:textId="77777777" w:rsidTr="00FA018B">
        <w:tc>
          <w:tcPr>
            <w:tcW w:w="1975" w:type="dxa"/>
          </w:tcPr>
          <w:p w14:paraId="4F8721E7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</w:p>
        </w:tc>
        <w:tc>
          <w:tcPr>
            <w:tcW w:w="1765" w:type="dxa"/>
          </w:tcPr>
          <w:p w14:paraId="0E2C7E93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</w:p>
        </w:tc>
        <w:tc>
          <w:tcPr>
            <w:tcW w:w="1870" w:type="dxa"/>
          </w:tcPr>
          <w:p w14:paraId="5C009735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Early loading</w:t>
            </w:r>
          </w:p>
          <w:p w14:paraId="1DB5A2E0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(n=11)</w:t>
            </w:r>
          </w:p>
        </w:tc>
        <w:tc>
          <w:tcPr>
            <w:tcW w:w="1870" w:type="dxa"/>
          </w:tcPr>
          <w:p w14:paraId="5C361DF3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Conventional loading</w:t>
            </w:r>
          </w:p>
          <w:p w14:paraId="2327E46C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(n=11)</w:t>
            </w:r>
          </w:p>
        </w:tc>
        <w:tc>
          <w:tcPr>
            <w:tcW w:w="1870" w:type="dxa"/>
          </w:tcPr>
          <w:p w14:paraId="4C72C159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Test</w:t>
            </w:r>
          </w:p>
          <w:p w14:paraId="6970636C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(</w:t>
            </w:r>
            <w:r w:rsidRPr="008612EB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p </w:t>
            </w:r>
            <w:r w:rsidRPr="008612EB">
              <w:rPr>
                <w:rFonts w:asciiTheme="majorBidi" w:hAnsiTheme="majorBidi" w:cstheme="majorBidi"/>
                <w:b/>
                <w:bCs/>
              </w:rPr>
              <w:t>value)</w:t>
            </w:r>
          </w:p>
        </w:tc>
      </w:tr>
      <w:tr w:rsidR="00B9036F" w:rsidRPr="008612EB" w14:paraId="592170F1" w14:textId="77777777" w:rsidTr="00FA018B">
        <w:tc>
          <w:tcPr>
            <w:tcW w:w="1975" w:type="dxa"/>
            <w:vAlign w:val="center"/>
          </w:tcPr>
          <w:p w14:paraId="677F79F2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Age in years</w:t>
            </w:r>
          </w:p>
        </w:tc>
        <w:tc>
          <w:tcPr>
            <w:tcW w:w="1765" w:type="dxa"/>
            <w:vAlign w:val="center"/>
          </w:tcPr>
          <w:p w14:paraId="207629AF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Mean ±SD</w:t>
            </w:r>
          </w:p>
        </w:tc>
        <w:tc>
          <w:tcPr>
            <w:tcW w:w="1870" w:type="dxa"/>
            <w:vAlign w:val="center"/>
          </w:tcPr>
          <w:p w14:paraId="7029E035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40.36 ±10.22</w:t>
            </w:r>
          </w:p>
        </w:tc>
        <w:tc>
          <w:tcPr>
            <w:tcW w:w="1870" w:type="dxa"/>
            <w:vAlign w:val="center"/>
          </w:tcPr>
          <w:p w14:paraId="118B55F4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43.00 ±13.15</w:t>
            </w:r>
          </w:p>
        </w:tc>
        <w:tc>
          <w:tcPr>
            <w:tcW w:w="1870" w:type="dxa"/>
            <w:vAlign w:val="center"/>
          </w:tcPr>
          <w:p w14:paraId="296D3F7E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0.525</w:t>
            </w:r>
            <w:r w:rsidRPr="008612EB">
              <w:rPr>
                <w:rFonts w:asciiTheme="majorBidi" w:hAnsiTheme="majorBidi" w:cstheme="majorBidi"/>
                <w:b/>
                <w:bCs/>
                <w:vertAlign w:val="superscript"/>
              </w:rPr>
              <w:t>§</w:t>
            </w:r>
          </w:p>
          <w:p w14:paraId="5F29940C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12EB">
              <w:rPr>
                <w:rFonts w:asciiTheme="majorBidi" w:hAnsiTheme="majorBidi" w:cstheme="majorBidi"/>
                <w:b/>
                <w:bCs/>
              </w:rPr>
              <w:t>(0.605)</w:t>
            </w:r>
          </w:p>
        </w:tc>
      </w:tr>
      <w:tr w:rsidR="00B9036F" w:rsidRPr="008612EB" w14:paraId="2B639351" w14:textId="77777777" w:rsidTr="00FA018B">
        <w:tc>
          <w:tcPr>
            <w:tcW w:w="1975" w:type="dxa"/>
            <w:vMerge w:val="restart"/>
          </w:tcPr>
          <w:p w14:paraId="72F6AC8F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Gender: n (%)</w:t>
            </w:r>
          </w:p>
        </w:tc>
        <w:tc>
          <w:tcPr>
            <w:tcW w:w="1765" w:type="dxa"/>
          </w:tcPr>
          <w:p w14:paraId="7C46D013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Males</w:t>
            </w:r>
          </w:p>
        </w:tc>
        <w:tc>
          <w:tcPr>
            <w:tcW w:w="1870" w:type="dxa"/>
          </w:tcPr>
          <w:p w14:paraId="43A958EC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5 (45%)</w:t>
            </w:r>
          </w:p>
        </w:tc>
        <w:tc>
          <w:tcPr>
            <w:tcW w:w="1870" w:type="dxa"/>
          </w:tcPr>
          <w:p w14:paraId="52C51E7D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5 (45%)</w:t>
            </w:r>
          </w:p>
        </w:tc>
        <w:tc>
          <w:tcPr>
            <w:tcW w:w="1870" w:type="dxa"/>
            <w:vMerge w:val="restart"/>
          </w:tcPr>
          <w:p w14:paraId="6F2F898F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0.00</w:t>
            </w:r>
            <w:r w:rsidRPr="008612EB">
              <w:rPr>
                <w:rFonts w:asciiTheme="majorBidi" w:hAnsiTheme="majorBidi" w:cstheme="majorBidi"/>
                <w:vertAlign w:val="superscript"/>
              </w:rPr>
              <w:t>¥</w:t>
            </w:r>
          </w:p>
          <w:p w14:paraId="0DBD1F39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(1.00)</w:t>
            </w:r>
          </w:p>
        </w:tc>
      </w:tr>
      <w:tr w:rsidR="00B9036F" w:rsidRPr="008612EB" w14:paraId="2C897B37" w14:textId="77777777" w:rsidTr="00FA018B">
        <w:tc>
          <w:tcPr>
            <w:tcW w:w="1975" w:type="dxa"/>
            <w:vMerge/>
          </w:tcPr>
          <w:p w14:paraId="26175A73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</w:p>
        </w:tc>
        <w:tc>
          <w:tcPr>
            <w:tcW w:w="1765" w:type="dxa"/>
          </w:tcPr>
          <w:p w14:paraId="68F5C751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Females</w:t>
            </w:r>
          </w:p>
        </w:tc>
        <w:tc>
          <w:tcPr>
            <w:tcW w:w="1870" w:type="dxa"/>
          </w:tcPr>
          <w:p w14:paraId="37EC4A97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6 (54.5%)</w:t>
            </w:r>
          </w:p>
        </w:tc>
        <w:tc>
          <w:tcPr>
            <w:tcW w:w="1870" w:type="dxa"/>
          </w:tcPr>
          <w:p w14:paraId="7EF6465D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6 (54.5%)</w:t>
            </w:r>
          </w:p>
        </w:tc>
        <w:tc>
          <w:tcPr>
            <w:tcW w:w="1870" w:type="dxa"/>
            <w:vMerge/>
          </w:tcPr>
          <w:p w14:paraId="48F650E0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</w:p>
        </w:tc>
      </w:tr>
      <w:tr w:rsidR="00B9036F" w:rsidRPr="008612EB" w14:paraId="58C301A8" w14:textId="77777777" w:rsidTr="00FA018B">
        <w:tc>
          <w:tcPr>
            <w:tcW w:w="1975" w:type="dxa"/>
            <w:vMerge w:val="restart"/>
          </w:tcPr>
          <w:p w14:paraId="3148BEA7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Sides: n (%)</w:t>
            </w:r>
          </w:p>
        </w:tc>
        <w:tc>
          <w:tcPr>
            <w:tcW w:w="1765" w:type="dxa"/>
          </w:tcPr>
          <w:p w14:paraId="4EC6E60F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Right</w:t>
            </w:r>
          </w:p>
        </w:tc>
        <w:tc>
          <w:tcPr>
            <w:tcW w:w="1870" w:type="dxa"/>
          </w:tcPr>
          <w:p w14:paraId="3F749BAD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5 (45.5%)</w:t>
            </w:r>
          </w:p>
        </w:tc>
        <w:tc>
          <w:tcPr>
            <w:tcW w:w="1870" w:type="dxa"/>
          </w:tcPr>
          <w:p w14:paraId="77850799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6 (54.5%)</w:t>
            </w:r>
          </w:p>
        </w:tc>
        <w:tc>
          <w:tcPr>
            <w:tcW w:w="1870" w:type="dxa"/>
            <w:vMerge w:val="restart"/>
          </w:tcPr>
          <w:p w14:paraId="45816AEC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0.182</w:t>
            </w:r>
            <w:r w:rsidRPr="008612EB">
              <w:rPr>
                <w:rFonts w:asciiTheme="majorBidi" w:hAnsiTheme="majorBidi" w:cstheme="majorBidi"/>
                <w:vertAlign w:val="superscript"/>
              </w:rPr>
              <w:t>¥</w:t>
            </w:r>
          </w:p>
          <w:p w14:paraId="10EFC0C5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(0.670)</w:t>
            </w:r>
          </w:p>
        </w:tc>
      </w:tr>
      <w:tr w:rsidR="00B9036F" w:rsidRPr="008612EB" w14:paraId="323F9C15" w14:textId="77777777" w:rsidTr="00FA018B">
        <w:tc>
          <w:tcPr>
            <w:tcW w:w="1975" w:type="dxa"/>
            <w:vMerge/>
          </w:tcPr>
          <w:p w14:paraId="4C237DCC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</w:p>
        </w:tc>
        <w:tc>
          <w:tcPr>
            <w:tcW w:w="1765" w:type="dxa"/>
          </w:tcPr>
          <w:p w14:paraId="089DC6F1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Left</w:t>
            </w:r>
          </w:p>
        </w:tc>
        <w:tc>
          <w:tcPr>
            <w:tcW w:w="1870" w:type="dxa"/>
          </w:tcPr>
          <w:p w14:paraId="27E5B823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6 (54.5%)</w:t>
            </w:r>
          </w:p>
        </w:tc>
        <w:tc>
          <w:tcPr>
            <w:tcW w:w="1870" w:type="dxa"/>
          </w:tcPr>
          <w:p w14:paraId="32D5CD1D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5 (45.5%)</w:t>
            </w:r>
          </w:p>
        </w:tc>
        <w:tc>
          <w:tcPr>
            <w:tcW w:w="1870" w:type="dxa"/>
            <w:vMerge/>
          </w:tcPr>
          <w:p w14:paraId="4F2AA66E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</w:p>
        </w:tc>
      </w:tr>
      <w:tr w:rsidR="00B9036F" w:rsidRPr="008612EB" w14:paraId="24E64D25" w14:textId="77777777" w:rsidTr="00FA018B">
        <w:tc>
          <w:tcPr>
            <w:tcW w:w="1975" w:type="dxa"/>
            <w:vMerge w:val="restart"/>
          </w:tcPr>
          <w:p w14:paraId="4D53AE77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Tooth type: n (%)</w:t>
            </w:r>
          </w:p>
        </w:tc>
        <w:tc>
          <w:tcPr>
            <w:tcW w:w="1765" w:type="dxa"/>
          </w:tcPr>
          <w:p w14:paraId="1E58E718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2</w:t>
            </w:r>
            <w:r w:rsidRPr="008612EB">
              <w:rPr>
                <w:rFonts w:asciiTheme="majorBidi" w:hAnsiTheme="majorBidi" w:cstheme="majorBidi"/>
                <w:vertAlign w:val="superscript"/>
              </w:rPr>
              <w:t>nd</w:t>
            </w:r>
            <w:r w:rsidRPr="008612EB">
              <w:rPr>
                <w:rFonts w:asciiTheme="majorBidi" w:hAnsiTheme="majorBidi" w:cstheme="majorBidi"/>
              </w:rPr>
              <w:t xml:space="preserve"> premolar</w:t>
            </w:r>
          </w:p>
        </w:tc>
        <w:tc>
          <w:tcPr>
            <w:tcW w:w="1870" w:type="dxa"/>
          </w:tcPr>
          <w:p w14:paraId="53A651B8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3 (27.3%)</w:t>
            </w:r>
          </w:p>
        </w:tc>
        <w:tc>
          <w:tcPr>
            <w:tcW w:w="1870" w:type="dxa"/>
          </w:tcPr>
          <w:p w14:paraId="2E99DD0E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3 (27.3%)</w:t>
            </w:r>
          </w:p>
        </w:tc>
        <w:tc>
          <w:tcPr>
            <w:tcW w:w="1870" w:type="dxa"/>
            <w:vMerge w:val="restart"/>
          </w:tcPr>
          <w:p w14:paraId="5FC23A6D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0.291</w:t>
            </w:r>
            <w:r w:rsidRPr="008612EB">
              <w:rPr>
                <w:rFonts w:asciiTheme="majorBidi" w:hAnsiTheme="majorBidi" w:cstheme="majorBidi"/>
                <w:vertAlign w:val="superscript"/>
              </w:rPr>
              <w:t>¥</w:t>
            </w:r>
          </w:p>
          <w:p w14:paraId="3948475B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(0.865)</w:t>
            </w:r>
          </w:p>
        </w:tc>
      </w:tr>
      <w:tr w:rsidR="00B9036F" w:rsidRPr="008612EB" w14:paraId="2AE57885" w14:textId="77777777" w:rsidTr="00FA018B">
        <w:tc>
          <w:tcPr>
            <w:tcW w:w="1975" w:type="dxa"/>
            <w:vMerge/>
          </w:tcPr>
          <w:p w14:paraId="322A4B2D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</w:p>
        </w:tc>
        <w:tc>
          <w:tcPr>
            <w:tcW w:w="1765" w:type="dxa"/>
          </w:tcPr>
          <w:p w14:paraId="1B92C2CF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1</w:t>
            </w:r>
            <w:r w:rsidRPr="008612EB">
              <w:rPr>
                <w:rFonts w:asciiTheme="majorBidi" w:hAnsiTheme="majorBidi" w:cstheme="majorBidi"/>
                <w:vertAlign w:val="superscript"/>
              </w:rPr>
              <w:t>st</w:t>
            </w:r>
            <w:r w:rsidRPr="008612EB">
              <w:rPr>
                <w:rFonts w:asciiTheme="majorBidi" w:hAnsiTheme="majorBidi" w:cstheme="majorBidi"/>
              </w:rPr>
              <w:t xml:space="preserve"> molar</w:t>
            </w:r>
          </w:p>
        </w:tc>
        <w:tc>
          <w:tcPr>
            <w:tcW w:w="1870" w:type="dxa"/>
          </w:tcPr>
          <w:p w14:paraId="68484149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6 (54.5%)</w:t>
            </w:r>
          </w:p>
        </w:tc>
        <w:tc>
          <w:tcPr>
            <w:tcW w:w="1870" w:type="dxa"/>
          </w:tcPr>
          <w:p w14:paraId="36FD6F4D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5 (45.5%)</w:t>
            </w:r>
          </w:p>
        </w:tc>
        <w:tc>
          <w:tcPr>
            <w:tcW w:w="1870" w:type="dxa"/>
            <w:vMerge/>
          </w:tcPr>
          <w:p w14:paraId="33A3B863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</w:p>
        </w:tc>
      </w:tr>
      <w:tr w:rsidR="00B9036F" w:rsidRPr="008612EB" w14:paraId="7C146BB9" w14:textId="77777777" w:rsidTr="00FA018B">
        <w:tc>
          <w:tcPr>
            <w:tcW w:w="1975" w:type="dxa"/>
            <w:vMerge/>
          </w:tcPr>
          <w:p w14:paraId="404D55E4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</w:p>
        </w:tc>
        <w:tc>
          <w:tcPr>
            <w:tcW w:w="1765" w:type="dxa"/>
          </w:tcPr>
          <w:p w14:paraId="71E4E1EB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2</w:t>
            </w:r>
            <w:r w:rsidRPr="008612EB">
              <w:rPr>
                <w:rFonts w:asciiTheme="majorBidi" w:hAnsiTheme="majorBidi" w:cstheme="majorBidi"/>
                <w:vertAlign w:val="superscript"/>
              </w:rPr>
              <w:t>nd</w:t>
            </w:r>
            <w:r w:rsidRPr="008612EB">
              <w:rPr>
                <w:rFonts w:asciiTheme="majorBidi" w:hAnsiTheme="majorBidi" w:cstheme="majorBidi"/>
              </w:rPr>
              <w:t xml:space="preserve"> molar</w:t>
            </w:r>
          </w:p>
        </w:tc>
        <w:tc>
          <w:tcPr>
            <w:tcW w:w="1870" w:type="dxa"/>
          </w:tcPr>
          <w:p w14:paraId="74BBE942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2 (18.2%)</w:t>
            </w:r>
          </w:p>
        </w:tc>
        <w:tc>
          <w:tcPr>
            <w:tcW w:w="1870" w:type="dxa"/>
          </w:tcPr>
          <w:p w14:paraId="67F0709A" w14:textId="77777777" w:rsidR="00B9036F" w:rsidRPr="008612EB" w:rsidRDefault="00B9036F" w:rsidP="00FA018B">
            <w:pPr>
              <w:spacing w:before="80" w:after="40"/>
              <w:jc w:val="center"/>
              <w:rPr>
                <w:rFonts w:asciiTheme="majorBidi" w:hAnsiTheme="majorBidi" w:cstheme="majorBidi"/>
              </w:rPr>
            </w:pPr>
            <w:r w:rsidRPr="008612EB">
              <w:rPr>
                <w:rFonts w:asciiTheme="majorBidi" w:hAnsiTheme="majorBidi" w:cstheme="majorBidi"/>
              </w:rPr>
              <w:t>3 (27.3%)</w:t>
            </w:r>
          </w:p>
        </w:tc>
        <w:tc>
          <w:tcPr>
            <w:tcW w:w="1870" w:type="dxa"/>
            <w:vMerge/>
          </w:tcPr>
          <w:p w14:paraId="0E1CA5E1" w14:textId="77777777" w:rsidR="00B9036F" w:rsidRPr="008612EB" w:rsidRDefault="00B9036F" w:rsidP="00FA018B">
            <w:pPr>
              <w:spacing w:before="80" w:after="40"/>
              <w:rPr>
                <w:rFonts w:asciiTheme="majorBidi" w:hAnsiTheme="majorBidi" w:cstheme="majorBidi"/>
              </w:rPr>
            </w:pPr>
          </w:p>
        </w:tc>
      </w:tr>
    </w:tbl>
    <w:p w14:paraId="367580E2" w14:textId="77777777" w:rsidR="00B9036F" w:rsidRPr="008612EB" w:rsidRDefault="00B9036F" w:rsidP="00B9036F">
      <w:pPr>
        <w:spacing w:before="120"/>
        <w:rPr>
          <w:rFonts w:asciiTheme="majorBidi" w:hAnsiTheme="majorBidi" w:cstheme="majorBidi"/>
          <w:sz w:val="20"/>
          <w:szCs w:val="20"/>
        </w:rPr>
      </w:pPr>
      <w:r w:rsidRPr="008612EB">
        <w:rPr>
          <w:rFonts w:asciiTheme="majorBidi" w:hAnsiTheme="majorBidi" w:cstheme="majorBidi"/>
          <w:sz w:val="20"/>
          <w:szCs w:val="20"/>
        </w:rPr>
        <w:t>§Independent t test, ¥Pearson Chi Squared test</w:t>
      </w:r>
    </w:p>
    <w:p w14:paraId="54DE2E80" w14:textId="77777777" w:rsidR="00B9036F" w:rsidRDefault="00B9036F" w:rsidP="00B9036F">
      <w:pPr>
        <w:rPr>
          <w:rFonts w:asciiTheme="majorBidi" w:hAnsiTheme="majorBidi" w:cstheme="majorBidi"/>
        </w:rPr>
      </w:pPr>
    </w:p>
    <w:p w14:paraId="66F3BFF8" w14:textId="77777777" w:rsidR="00567068" w:rsidRDefault="00567068"/>
    <w:p w14:paraId="710F3076" w14:textId="77777777" w:rsidR="00B9036F" w:rsidRDefault="00B9036F"/>
    <w:p w14:paraId="4DB447FD" w14:textId="77777777" w:rsidR="00B9036F" w:rsidRDefault="00B9036F"/>
    <w:p w14:paraId="1977ADF1" w14:textId="77777777" w:rsidR="00B9036F" w:rsidRDefault="00B9036F"/>
    <w:p w14:paraId="29E6C48A" w14:textId="77777777" w:rsidR="00B9036F" w:rsidRDefault="00B9036F"/>
    <w:p w14:paraId="714E1120" w14:textId="77777777" w:rsidR="00B9036F" w:rsidRDefault="00B9036F"/>
    <w:p w14:paraId="5C8C6F89" w14:textId="77777777" w:rsidR="00B9036F" w:rsidRDefault="00B9036F"/>
    <w:p w14:paraId="188F406B" w14:textId="77777777" w:rsidR="00B9036F" w:rsidRDefault="00B9036F"/>
    <w:p w14:paraId="04484734" w14:textId="77777777" w:rsidR="00B9036F" w:rsidRDefault="00B9036F"/>
    <w:p w14:paraId="3073B56A" w14:textId="77777777" w:rsidR="00B9036F" w:rsidRDefault="00B9036F"/>
    <w:p w14:paraId="384ECF23" w14:textId="77777777" w:rsidR="00B9036F" w:rsidRDefault="00B9036F"/>
    <w:p w14:paraId="76123717" w14:textId="77777777" w:rsidR="00B9036F" w:rsidRDefault="00B9036F"/>
    <w:p w14:paraId="110F775A" w14:textId="77777777" w:rsidR="00B9036F" w:rsidRDefault="00B9036F"/>
    <w:p w14:paraId="70B05D67" w14:textId="77777777" w:rsidR="00B9036F" w:rsidRDefault="00B9036F"/>
    <w:p w14:paraId="3D06F51A" w14:textId="77777777" w:rsidR="00B9036F" w:rsidRDefault="00B9036F"/>
    <w:p w14:paraId="42D63999" w14:textId="77777777" w:rsidR="00B9036F" w:rsidRDefault="00B9036F"/>
    <w:p w14:paraId="72695053" w14:textId="77777777" w:rsidR="00B9036F" w:rsidRDefault="00B9036F"/>
    <w:p w14:paraId="583DD83C" w14:textId="77777777" w:rsidR="00B9036F" w:rsidRPr="00750C73" w:rsidRDefault="00B9036F" w:rsidP="00B9036F">
      <w:pPr>
        <w:spacing w:before="120" w:after="120"/>
        <w:ind w:left="1134" w:hanging="1134"/>
        <w:jc w:val="both"/>
        <w:rPr>
          <w:rFonts w:asciiTheme="majorBidi" w:hAnsiTheme="majorBidi" w:cstheme="majorBidi"/>
        </w:rPr>
      </w:pPr>
      <w:r w:rsidRPr="00750C73">
        <w:rPr>
          <w:rFonts w:asciiTheme="majorBidi" w:hAnsiTheme="majorBidi" w:cstheme="majorBidi"/>
        </w:rPr>
        <w:lastRenderedPageBreak/>
        <w:t xml:space="preserve">Table </w:t>
      </w:r>
      <w:r>
        <w:rPr>
          <w:rFonts w:asciiTheme="majorBidi" w:hAnsiTheme="majorBidi" w:cstheme="majorBidi"/>
        </w:rPr>
        <w:t>2</w:t>
      </w:r>
      <w:r w:rsidRPr="00750C73">
        <w:rPr>
          <w:rFonts w:asciiTheme="majorBidi" w:hAnsiTheme="majorBidi" w:cstheme="majorBidi"/>
        </w:rPr>
        <w:t xml:space="preserve">: </w:t>
      </w:r>
      <w:r w:rsidRPr="00750C73">
        <w:rPr>
          <w:rFonts w:asciiTheme="majorBidi" w:hAnsiTheme="majorBidi" w:cstheme="majorBidi"/>
        </w:rPr>
        <w:tab/>
        <w:t>Comparison of implant stability between early loading and conventional loading groups at different time intervals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92"/>
        <w:gridCol w:w="3221"/>
        <w:gridCol w:w="3453"/>
        <w:gridCol w:w="2400"/>
      </w:tblGrid>
      <w:tr w:rsidR="00B9036F" w:rsidRPr="00FD270A" w14:paraId="6292CA97" w14:textId="77777777" w:rsidTr="00FA018B">
        <w:tc>
          <w:tcPr>
            <w:tcW w:w="1008" w:type="pct"/>
            <w:vMerge w:val="restart"/>
          </w:tcPr>
          <w:p w14:paraId="579D552E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pct"/>
          </w:tcPr>
          <w:p w14:paraId="49D9A851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Early loading</w:t>
            </w:r>
          </w:p>
          <w:p w14:paraId="3E1B06C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(n=11)</w:t>
            </w:r>
          </w:p>
        </w:tc>
        <w:tc>
          <w:tcPr>
            <w:tcW w:w="1519" w:type="pct"/>
          </w:tcPr>
          <w:p w14:paraId="2DDF50CA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Conventional loading</w:t>
            </w:r>
          </w:p>
          <w:p w14:paraId="6B2B2913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(n=11)</w:t>
            </w:r>
          </w:p>
        </w:tc>
        <w:tc>
          <w:tcPr>
            <w:tcW w:w="1056" w:type="pct"/>
            <w:vMerge w:val="restart"/>
          </w:tcPr>
          <w:p w14:paraId="71D3B9F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FD270A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B9036F" w:rsidRPr="00FD270A" w14:paraId="44ACB859" w14:textId="77777777" w:rsidTr="00FA018B">
        <w:tc>
          <w:tcPr>
            <w:tcW w:w="1008" w:type="pct"/>
            <w:vMerge/>
          </w:tcPr>
          <w:p w14:paraId="3472FF2A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36" w:type="pct"/>
            <w:gridSpan w:val="2"/>
          </w:tcPr>
          <w:p w14:paraId="3AB3AED9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Mean ±SD</w:t>
            </w:r>
          </w:p>
        </w:tc>
        <w:tc>
          <w:tcPr>
            <w:tcW w:w="1056" w:type="pct"/>
            <w:vMerge/>
          </w:tcPr>
          <w:p w14:paraId="1A47845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6F" w:rsidRPr="00FD270A" w14:paraId="634CAB5E" w14:textId="77777777" w:rsidTr="00FA018B">
        <w:tc>
          <w:tcPr>
            <w:tcW w:w="1008" w:type="pct"/>
          </w:tcPr>
          <w:p w14:paraId="312917C2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17" w:type="pct"/>
          </w:tcPr>
          <w:p w14:paraId="108136C2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81.00 ±4.96</w:t>
            </w:r>
          </w:p>
        </w:tc>
        <w:tc>
          <w:tcPr>
            <w:tcW w:w="1519" w:type="pct"/>
          </w:tcPr>
          <w:p w14:paraId="481E7CAE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81.55 ±5.63</w:t>
            </w:r>
          </w:p>
        </w:tc>
        <w:tc>
          <w:tcPr>
            <w:tcW w:w="1056" w:type="pct"/>
          </w:tcPr>
          <w:p w14:paraId="54A1EEA2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0.812</w:t>
            </w:r>
          </w:p>
        </w:tc>
      </w:tr>
      <w:tr w:rsidR="00B9036F" w:rsidRPr="00FD270A" w14:paraId="757B950B" w14:textId="77777777" w:rsidTr="00FA018B">
        <w:tc>
          <w:tcPr>
            <w:tcW w:w="1008" w:type="pct"/>
          </w:tcPr>
          <w:p w14:paraId="0F573248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 weeks</w:t>
            </w:r>
          </w:p>
        </w:tc>
        <w:tc>
          <w:tcPr>
            <w:tcW w:w="1417" w:type="pct"/>
          </w:tcPr>
          <w:p w14:paraId="1F30B4AC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81.73 ±5.00</w:t>
            </w:r>
          </w:p>
        </w:tc>
        <w:tc>
          <w:tcPr>
            <w:tcW w:w="1519" w:type="pct"/>
          </w:tcPr>
          <w:p w14:paraId="2A8FED06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82.00 ±5.78</w:t>
            </w:r>
          </w:p>
        </w:tc>
        <w:tc>
          <w:tcPr>
            <w:tcW w:w="1056" w:type="pct"/>
          </w:tcPr>
          <w:p w14:paraId="6E84BE0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0.907</w:t>
            </w:r>
          </w:p>
        </w:tc>
      </w:tr>
      <w:tr w:rsidR="00B9036F" w:rsidRPr="00FD270A" w14:paraId="1E191126" w14:textId="77777777" w:rsidTr="00FA018B">
        <w:tc>
          <w:tcPr>
            <w:tcW w:w="1008" w:type="pct"/>
          </w:tcPr>
          <w:p w14:paraId="2111BA50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4 weeks</w:t>
            </w:r>
          </w:p>
        </w:tc>
        <w:tc>
          <w:tcPr>
            <w:tcW w:w="1417" w:type="pct"/>
          </w:tcPr>
          <w:p w14:paraId="40255785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82.73 ±4.90</w:t>
            </w:r>
          </w:p>
        </w:tc>
        <w:tc>
          <w:tcPr>
            <w:tcW w:w="1519" w:type="pct"/>
          </w:tcPr>
          <w:p w14:paraId="739B559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83.09 ±5.65</w:t>
            </w:r>
          </w:p>
        </w:tc>
        <w:tc>
          <w:tcPr>
            <w:tcW w:w="1056" w:type="pct"/>
          </w:tcPr>
          <w:p w14:paraId="292F7E9D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0.873</w:t>
            </w:r>
          </w:p>
        </w:tc>
      </w:tr>
      <w:tr w:rsidR="00B9036F" w:rsidRPr="00FD270A" w14:paraId="7B9F6740" w14:textId="77777777" w:rsidTr="00FA018B">
        <w:tc>
          <w:tcPr>
            <w:tcW w:w="1008" w:type="pct"/>
          </w:tcPr>
          <w:p w14:paraId="42B3968D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12 weeks</w:t>
            </w:r>
          </w:p>
        </w:tc>
        <w:tc>
          <w:tcPr>
            <w:tcW w:w="1417" w:type="pct"/>
          </w:tcPr>
          <w:p w14:paraId="7EA37E7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84.36 ±4.90</w:t>
            </w:r>
          </w:p>
        </w:tc>
        <w:tc>
          <w:tcPr>
            <w:tcW w:w="1519" w:type="pct"/>
          </w:tcPr>
          <w:p w14:paraId="6137232C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84.09 ±5.43</w:t>
            </w:r>
          </w:p>
        </w:tc>
        <w:tc>
          <w:tcPr>
            <w:tcW w:w="1056" w:type="pct"/>
          </w:tcPr>
          <w:p w14:paraId="1B4D32B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0.903</w:t>
            </w:r>
          </w:p>
        </w:tc>
      </w:tr>
      <w:tr w:rsidR="00B9036F" w:rsidRPr="00FD270A" w14:paraId="5B25D971" w14:textId="77777777" w:rsidTr="00FA018B">
        <w:tc>
          <w:tcPr>
            <w:tcW w:w="1008" w:type="pct"/>
          </w:tcPr>
          <w:p w14:paraId="2D48FB1C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24 weeks</w:t>
            </w:r>
          </w:p>
        </w:tc>
        <w:tc>
          <w:tcPr>
            <w:tcW w:w="1417" w:type="pct"/>
          </w:tcPr>
          <w:p w14:paraId="63D63A8F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85.09 ±5.82</w:t>
            </w:r>
          </w:p>
        </w:tc>
        <w:tc>
          <w:tcPr>
            <w:tcW w:w="1519" w:type="pct"/>
          </w:tcPr>
          <w:p w14:paraId="2C91748A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84.73 ±5.22</w:t>
            </w:r>
          </w:p>
        </w:tc>
        <w:tc>
          <w:tcPr>
            <w:tcW w:w="1056" w:type="pct"/>
          </w:tcPr>
          <w:p w14:paraId="63309DE2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0.879</w:t>
            </w:r>
          </w:p>
        </w:tc>
      </w:tr>
    </w:tbl>
    <w:p w14:paraId="7A6546AB" w14:textId="77777777" w:rsidR="00B9036F" w:rsidRDefault="00B9036F"/>
    <w:p w14:paraId="59ECB792" w14:textId="77777777" w:rsidR="00B9036F" w:rsidRDefault="00B9036F"/>
    <w:p w14:paraId="09723B78" w14:textId="77777777" w:rsidR="00B9036F" w:rsidRDefault="00B9036F"/>
    <w:p w14:paraId="4865CA99" w14:textId="77777777" w:rsidR="00B9036F" w:rsidRDefault="00B9036F"/>
    <w:p w14:paraId="7C7FD136" w14:textId="77777777" w:rsidR="00B9036F" w:rsidRDefault="00B9036F"/>
    <w:p w14:paraId="1EC28B3B" w14:textId="77777777" w:rsidR="00B9036F" w:rsidRDefault="00B9036F"/>
    <w:p w14:paraId="2197D8EA" w14:textId="77777777" w:rsidR="00B9036F" w:rsidRDefault="00B9036F"/>
    <w:p w14:paraId="354AD255" w14:textId="77777777" w:rsidR="00B9036F" w:rsidRDefault="00B9036F"/>
    <w:p w14:paraId="00953AA2" w14:textId="77777777" w:rsidR="00B9036F" w:rsidRDefault="00B9036F"/>
    <w:p w14:paraId="5DAECC85" w14:textId="77777777" w:rsidR="00B9036F" w:rsidRDefault="00B9036F"/>
    <w:p w14:paraId="2628FA4E" w14:textId="77777777" w:rsidR="00B9036F" w:rsidRDefault="00B9036F"/>
    <w:p w14:paraId="4F867214" w14:textId="77777777" w:rsidR="00B9036F" w:rsidRDefault="00B9036F"/>
    <w:p w14:paraId="0A213BBA" w14:textId="77777777" w:rsidR="00B9036F" w:rsidRDefault="00B9036F"/>
    <w:p w14:paraId="004FD785" w14:textId="77777777" w:rsidR="00B9036F" w:rsidRDefault="00B9036F"/>
    <w:p w14:paraId="64CCE6A5" w14:textId="77777777" w:rsidR="00B9036F" w:rsidRDefault="00B9036F"/>
    <w:p w14:paraId="13FFE4F7" w14:textId="77777777" w:rsidR="00B9036F" w:rsidRDefault="00B9036F"/>
    <w:p w14:paraId="178C6D70" w14:textId="77777777" w:rsidR="00B9036F" w:rsidRDefault="00B9036F"/>
    <w:p w14:paraId="55137997" w14:textId="77777777" w:rsidR="00B9036F" w:rsidRDefault="00B9036F"/>
    <w:p w14:paraId="2DA389DD" w14:textId="77777777" w:rsidR="00B9036F" w:rsidRDefault="00B9036F"/>
    <w:p w14:paraId="13FE1EDF" w14:textId="77777777" w:rsidR="00B9036F" w:rsidRDefault="00B9036F"/>
    <w:p w14:paraId="064A66B4" w14:textId="77777777" w:rsidR="00B9036F" w:rsidRDefault="00B9036F"/>
    <w:p w14:paraId="5444E368" w14:textId="77777777" w:rsidR="00B9036F" w:rsidRDefault="00B9036F"/>
    <w:p w14:paraId="2CB25964" w14:textId="77777777" w:rsidR="00B9036F" w:rsidRPr="00750C73" w:rsidRDefault="00B9036F" w:rsidP="00B9036F">
      <w:pPr>
        <w:spacing w:before="120" w:after="120"/>
        <w:ind w:left="1134" w:hanging="1134"/>
        <w:jc w:val="both"/>
      </w:pPr>
      <w:r w:rsidRPr="00750C73">
        <w:lastRenderedPageBreak/>
        <w:t xml:space="preserve">Table </w:t>
      </w:r>
      <w:r>
        <w:t>3</w:t>
      </w:r>
      <w:r w:rsidRPr="00750C73">
        <w:t>: Pairwise comparison of implant stability across time intervals within each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1658"/>
        <w:gridCol w:w="1710"/>
        <w:gridCol w:w="1620"/>
        <w:gridCol w:w="1695"/>
        <w:gridCol w:w="1450"/>
      </w:tblGrid>
      <w:tr w:rsidR="00B9036F" w:rsidRPr="00FD270A" w14:paraId="5DF23190" w14:textId="77777777" w:rsidTr="00FA018B">
        <w:tc>
          <w:tcPr>
            <w:tcW w:w="1217" w:type="dxa"/>
            <w:vMerge w:val="restart"/>
            <w:vAlign w:val="center"/>
          </w:tcPr>
          <w:p w14:paraId="511C0BD9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Time point</w:t>
            </w:r>
          </w:p>
        </w:tc>
        <w:tc>
          <w:tcPr>
            <w:tcW w:w="1658" w:type="dxa"/>
            <w:vMerge w:val="restart"/>
            <w:vAlign w:val="center"/>
          </w:tcPr>
          <w:p w14:paraId="3BFF585A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Compared to</w:t>
            </w:r>
          </w:p>
        </w:tc>
        <w:tc>
          <w:tcPr>
            <w:tcW w:w="3330" w:type="dxa"/>
            <w:gridSpan w:val="2"/>
            <w:vAlign w:val="center"/>
          </w:tcPr>
          <w:p w14:paraId="4DED4A56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Early loading</w:t>
            </w:r>
          </w:p>
        </w:tc>
        <w:tc>
          <w:tcPr>
            <w:tcW w:w="3145" w:type="dxa"/>
            <w:gridSpan w:val="2"/>
            <w:vAlign w:val="center"/>
          </w:tcPr>
          <w:p w14:paraId="2349B6B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Conventional loading</w:t>
            </w:r>
          </w:p>
        </w:tc>
      </w:tr>
      <w:tr w:rsidR="00B9036F" w:rsidRPr="00FD270A" w14:paraId="112D4AF3" w14:textId="77777777" w:rsidTr="00FA018B">
        <w:tc>
          <w:tcPr>
            <w:tcW w:w="1217" w:type="dxa"/>
            <w:vMerge/>
            <w:vAlign w:val="center"/>
          </w:tcPr>
          <w:p w14:paraId="2F6440EC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vMerge/>
            <w:vAlign w:val="center"/>
          </w:tcPr>
          <w:p w14:paraId="341B6EE2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1B79A31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Mean difference</w:t>
            </w:r>
          </w:p>
        </w:tc>
        <w:tc>
          <w:tcPr>
            <w:tcW w:w="1620" w:type="dxa"/>
            <w:vAlign w:val="center"/>
          </w:tcPr>
          <w:p w14:paraId="2471FAFA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FD270A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1695" w:type="dxa"/>
            <w:vAlign w:val="center"/>
          </w:tcPr>
          <w:p w14:paraId="43B611F3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Mean difference</w:t>
            </w:r>
          </w:p>
        </w:tc>
        <w:tc>
          <w:tcPr>
            <w:tcW w:w="1450" w:type="dxa"/>
            <w:vAlign w:val="center"/>
          </w:tcPr>
          <w:p w14:paraId="3ADB7BE8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FD270A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B9036F" w:rsidRPr="00FD270A" w14:paraId="4679CB62" w14:textId="77777777" w:rsidTr="00FA018B">
        <w:tc>
          <w:tcPr>
            <w:tcW w:w="1217" w:type="dxa"/>
            <w:vMerge w:val="restart"/>
            <w:vAlign w:val="center"/>
          </w:tcPr>
          <w:p w14:paraId="11A113B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658" w:type="dxa"/>
            <w:vAlign w:val="center"/>
          </w:tcPr>
          <w:p w14:paraId="6B7CFE62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 weeks</w:t>
            </w:r>
          </w:p>
        </w:tc>
        <w:tc>
          <w:tcPr>
            <w:tcW w:w="1710" w:type="dxa"/>
            <w:vAlign w:val="center"/>
          </w:tcPr>
          <w:p w14:paraId="3537DF5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-0.73</w:t>
            </w:r>
          </w:p>
        </w:tc>
        <w:tc>
          <w:tcPr>
            <w:tcW w:w="1620" w:type="dxa"/>
            <w:vAlign w:val="center"/>
          </w:tcPr>
          <w:p w14:paraId="3B7F5862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0.747</w:t>
            </w:r>
          </w:p>
        </w:tc>
        <w:tc>
          <w:tcPr>
            <w:tcW w:w="1695" w:type="dxa"/>
            <w:vAlign w:val="center"/>
          </w:tcPr>
          <w:p w14:paraId="1F6E6A4A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-0.46</w:t>
            </w:r>
          </w:p>
        </w:tc>
        <w:tc>
          <w:tcPr>
            <w:tcW w:w="1450" w:type="dxa"/>
            <w:vAlign w:val="center"/>
          </w:tcPr>
          <w:p w14:paraId="69F065AF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1.00</w:t>
            </w:r>
          </w:p>
        </w:tc>
      </w:tr>
      <w:tr w:rsidR="00B9036F" w:rsidRPr="00FD270A" w14:paraId="293BD1F4" w14:textId="77777777" w:rsidTr="00FA018B">
        <w:tc>
          <w:tcPr>
            <w:tcW w:w="1217" w:type="dxa"/>
            <w:vMerge/>
            <w:vAlign w:val="center"/>
          </w:tcPr>
          <w:p w14:paraId="497C3C2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vAlign w:val="center"/>
          </w:tcPr>
          <w:p w14:paraId="3E1C7DEF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4 weeks</w:t>
            </w:r>
          </w:p>
        </w:tc>
        <w:tc>
          <w:tcPr>
            <w:tcW w:w="1710" w:type="dxa"/>
            <w:vAlign w:val="center"/>
          </w:tcPr>
          <w:p w14:paraId="6618048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-1.73</w:t>
            </w:r>
          </w:p>
        </w:tc>
        <w:tc>
          <w:tcPr>
            <w:tcW w:w="1620" w:type="dxa"/>
            <w:vAlign w:val="center"/>
          </w:tcPr>
          <w:p w14:paraId="42728C8E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1695" w:type="dxa"/>
            <w:vAlign w:val="center"/>
          </w:tcPr>
          <w:p w14:paraId="3F86F17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-1.55</w:t>
            </w:r>
          </w:p>
        </w:tc>
        <w:tc>
          <w:tcPr>
            <w:tcW w:w="1450" w:type="dxa"/>
            <w:vAlign w:val="center"/>
          </w:tcPr>
          <w:p w14:paraId="36E924F6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0.143</w:t>
            </w:r>
          </w:p>
        </w:tc>
      </w:tr>
      <w:tr w:rsidR="00B9036F" w:rsidRPr="00FD270A" w14:paraId="0DBDA9FD" w14:textId="77777777" w:rsidTr="00FA018B">
        <w:tc>
          <w:tcPr>
            <w:tcW w:w="1217" w:type="dxa"/>
            <w:vMerge/>
            <w:vAlign w:val="center"/>
          </w:tcPr>
          <w:p w14:paraId="76F23649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vAlign w:val="center"/>
          </w:tcPr>
          <w:p w14:paraId="451974A6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12 weeks</w:t>
            </w:r>
          </w:p>
        </w:tc>
        <w:tc>
          <w:tcPr>
            <w:tcW w:w="1710" w:type="dxa"/>
            <w:vAlign w:val="center"/>
          </w:tcPr>
          <w:p w14:paraId="7C9CCDF5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-3.36</w:t>
            </w:r>
          </w:p>
        </w:tc>
        <w:tc>
          <w:tcPr>
            <w:tcW w:w="1620" w:type="dxa"/>
            <w:vAlign w:val="center"/>
          </w:tcPr>
          <w:p w14:paraId="26961F0D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0.003*</w:t>
            </w:r>
          </w:p>
        </w:tc>
        <w:tc>
          <w:tcPr>
            <w:tcW w:w="1695" w:type="dxa"/>
            <w:vAlign w:val="center"/>
          </w:tcPr>
          <w:p w14:paraId="6831F0B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-2.55</w:t>
            </w:r>
          </w:p>
        </w:tc>
        <w:tc>
          <w:tcPr>
            <w:tcW w:w="1450" w:type="dxa"/>
            <w:vAlign w:val="center"/>
          </w:tcPr>
          <w:p w14:paraId="5EEB8E4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0.038*</w:t>
            </w:r>
          </w:p>
        </w:tc>
      </w:tr>
      <w:tr w:rsidR="00B9036F" w:rsidRPr="00FD270A" w14:paraId="79405A1E" w14:textId="77777777" w:rsidTr="00FA018B">
        <w:tc>
          <w:tcPr>
            <w:tcW w:w="1217" w:type="dxa"/>
            <w:vMerge/>
            <w:vAlign w:val="center"/>
          </w:tcPr>
          <w:p w14:paraId="402EF5E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vAlign w:val="center"/>
          </w:tcPr>
          <w:p w14:paraId="649B573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24 weeks</w:t>
            </w:r>
          </w:p>
        </w:tc>
        <w:tc>
          <w:tcPr>
            <w:tcW w:w="1710" w:type="dxa"/>
            <w:vAlign w:val="center"/>
          </w:tcPr>
          <w:p w14:paraId="366E6FDD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-4.09</w:t>
            </w:r>
          </w:p>
        </w:tc>
        <w:tc>
          <w:tcPr>
            <w:tcW w:w="1620" w:type="dxa"/>
            <w:vAlign w:val="center"/>
          </w:tcPr>
          <w:p w14:paraId="45C64DAC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0.002*</w:t>
            </w:r>
          </w:p>
        </w:tc>
        <w:tc>
          <w:tcPr>
            <w:tcW w:w="1695" w:type="dxa"/>
            <w:vAlign w:val="center"/>
          </w:tcPr>
          <w:p w14:paraId="639E97E6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-3.18</w:t>
            </w:r>
          </w:p>
        </w:tc>
        <w:tc>
          <w:tcPr>
            <w:tcW w:w="1450" w:type="dxa"/>
            <w:vAlign w:val="center"/>
          </w:tcPr>
          <w:p w14:paraId="56363948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0.023*</w:t>
            </w:r>
          </w:p>
        </w:tc>
      </w:tr>
      <w:tr w:rsidR="00B9036F" w:rsidRPr="00FD270A" w14:paraId="1AC5F9F8" w14:textId="77777777" w:rsidTr="00FA018B">
        <w:tc>
          <w:tcPr>
            <w:tcW w:w="1217" w:type="dxa"/>
            <w:vMerge w:val="restart"/>
            <w:vAlign w:val="center"/>
          </w:tcPr>
          <w:p w14:paraId="34CE1E5F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 weeks</w:t>
            </w:r>
          </w:p>
        </w:tc>
        <w:tc>
          <w:tcPr>
            <w:tcW w:w="1658" w:type="dxa"/>
            <w:vAlign w:val="center"/>
          </w:tcPr>
          <w:p w14:paraId="626FE486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4 weeks</w:t>
            </w:r>
          </w:p>
        </w:tc>
        <w:tc>
          <w:tcPr>
            <w:tcW w:w="1710" w:type="dxa"/>
            <w:vAlign w:val="center"/>
          </w:tcPr>
          <w:p w14:paraId="799EC37D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-1.00</w:t>
            </w:r>
          </w:p>
        </w:tc>
        <w:tc>
          <w:tcPr>
            <w:tcW w:w="1620" w:type="dxa"/>
            <w:vAlign w:val="center"/>
          </w:tcPr>
          <w:p w14:paraId="5ABE984E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0.018*</w:t>
            </w:r>
          </w:p>
        </w:tc>
        <w:tc>
          <w:tcPr>
            <w:tcW w:w="1695" w:type="dxa"/>
            <w:vAlign w:val="center"/>
          </w:tcPr>
          <w:p w14:paraId="5CE5D8F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450" w:type="dxa"/>
            <w:vAlign w:val="center"/>
          </w:tcPr>
          <w:p w14:paraId="78C0E2B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0.008*</w:t>
            </w:r>
          </w:p>
        </w:tc>
      </w:tr>
      <w:tr w:rsidR="00B9036F" w:rsidRPr="00FD270A" w14:paraId="045F6D55" w14:textId="77777777" w:rsidTr="00FA018B">
        <w:tc>
          <w:tcPr>
            <w:tcW w:w="1217" w:type="dxa"/>
            <w:vMerge/>
            <w:vAlign w:val="center"/>
          </w:tcPr>
          <w:p w14:paraId="38136C32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vAlign w:val="center"/>
          </w:tcPr>
          <w:p w14:paraId="5C2A907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12 weeks</w:t>
            </w:r>
          </w:p>
        </w:tc>
        <w:tc>
          <w:tcPr>
            <w:tcW w:w="1710" w:type="dxa"/>
            <w:vAlign w:val="center"/>
          </w:tcPr>
          <w:p w14:paraId="67F5A21C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-2.64</w:t>
            </w:r>
          </w:p>
        </w:tc>
        <w:tc>
          <w:tcPr>
            <w:tcW w:w="1620" w:type="dxa"/>
            <w:vAlign w:val="center"/>
          </w:tcPr>
          <w:p w14:paraId="55590DCC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1695" w:type="dxa"/>
            <w:vAlign w:val="center"/>
          </w:tcPr>
          <w:p w14:paraId="54732E1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-2.09</w:t>
            </w:r>
          </w:p>
        </w:tc>
        <w:tc>
          <w:tcPr>
            <w:tcW w:w="1450" w:type="dxa"/>
            <w:vAlign w:val="center"/>
          </w:tcPr>
          <w:p w14:paraId="61BC002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0.007*</w:t>
            </w:r>
          </w:p>
        </w:tc>
      </w:tr>
      <w:tr w:rsidR="00B9036F" w:rsidRPr="00FD270A" w14:paraId="3501632A" w14:textId="77777777" w:rsidTr="00FA018B">
        <w:tc>
          <w:tcPr>
            <w:tcW w:w="1217" w:type="dxa"/>
            <w:vMerge/>
            <w:vAlign w:val="center"/>
          </w:tcPr>
          <w:p w14:paraId="5BF20515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vAlign w:val="center"/>
          </w:tcPr>
          <w:p w14:paraId="6EB9E119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24 weeks</w:t>
            </w:r>
          </w:p>
        </w:tc>
        <w:tc>
          <w:tcPr>
            <w:tcW w:w="1710" w:type="dxa"/>
            <w:vAlign w:val="center"/>
          </w:tcPr>
          <w:p w14:paraId="6BFD808E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-3.36</w:t>
            </w:r>
          </w:p>
        </w:tc>
        <w:tc>
          <w:tcPr>
            <w:tcW w:w="1620" w:type="dxa"/>
            <w:vAlign w:val="center"/>
          </w:tcPr>
          <w:p w14:paraId="7739A6D1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&lt;0.001*</w:t>
            </w:r>
          </w:p>
        </w:tc>
        <w:tc>
          <w:tcPr>
            <w:tcW w:w="1695" w:type="dxa"/>
            <w:vAlign w:val="center"/>
          </w:tcPr>
          <w:p w14:paraId="79C19B08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-2.73</w:t>
            </w:r>
          </w:p>
        </w:tc>
        <w:tc>
          <w:tcPr>
            <w:tcW w:w="1450" w:type="dxa"/>
            <w:vAlign w:val="center"/>
          </w:tcPr>
          <w:p w14:paraId="13656C88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0.004*</w:t>
            </w:r>
          </w:p>
        </w:tc>
      </w:tr>
      <w:tr w:rsidR="00B9036F" w:rsidRPr="00FD270A" w14:paraId="48F81EEC" w14:textId="77777777" w:rsidTr="00FA018B">
        <w:tc>
          <w:tcPr>
            <w:tcW w:w="1217" w:type="dxa"/>
            <w:vMerge w:val="restart"/>
            <w:vAlign w:val="center"/>
          </w:tcPr>
          <w:p w14:paraId="11462039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4 weeks</w:t>
            </w:r>
          </w:p>
        </w:tc>
        <w:tc>
          <w:tcPr>
            <w:tcW w:w="1658" w:type="dxa"/>
            <w:vAlign w:val="center"/>
          </w:tcPr>
          <w:p w14:paraId="4A4ED5A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12 weeks</w:t>
            </w:r>
          </w:p>
        </w:tc>
        <w:tc>
          <w:tcPr>
            <w:tcW w:w="1710" w:type="dxa"/>
            <w:vAlign w:val="center"/>
          </w:tcPr>
          <w:p w14:paraId="4D66D17D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-1.64</w:t>
            </w:r>
          </w:p>
        </w:tc>
        <w:tc>
          <w:tcPr>
            <w:tcW w:w="1620" w:type="dxa"/>
            <w:vAlign w:val="center"/>
          </w:tcPr>
          <w:p w14:paraId="7C7F8B3D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1695" w:type="dxa"/>
            <w:vAlign w:val="center"/>
          </w:tcPr>
          <w:p w14:paraId="440D936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-1.00</w:t>
            </w:r>
          </w:p>
        </w:tc>
        <w:tc>
          <w:tcPr>
            <w:tcW w:w="1450" w:type="dxa"/>
            <w:vAlign w:val="center"/>
          </w:tcPr>
          <w:p w14:paraId="57DCB42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0.072</w:t>
            </w:r>
          </w:p>
        </w:tc>
      </w:tr>
      <w:tr w:rsidR="00B9036F" w:rsidRPr="00FD270A" w14:paraId="047344B2" w14:textId="77777777" w:rsidTr="00FA018B">
        <w:tc>
          <w:tcPr>
            <w:tcW w:w="1217" w:type="dxa"/>
            <w:vMerge/>
            <w:vAlign w:val="center"/>
          </w:tcPr>
          <w:p w14:paraId="71C72D02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vAlign w:val="center"/>
          </w:tcPr>
          <w:p w14:paraId="0116877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24 weeks</w:t>
            </w:r>
          </w:p>
        </w:tc>
        <w:tc>
          <w:tcPr>
            <w:tcW w:w="1710" w:type="dxa"/>
            <w:vAlign w:val="center"/>
          </w:tcPr>
          <w:p w14:paraId="585681C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-2.36</w:t>
            </w:r>
          </w:p>
        </w:tc>
        <w:tc>
          <w:tcPr>
            <w:tcW w:w="1620" w:type="dxa"/>
            <w:vAlign w:val="center"/>
          </w:tcPr>
          <w:p w14:paraId="09BD313F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&lt;0.001*</w:t>
            </w:r>
          </w:p>
        </w:tc>
        <w:tc>
          <w:tcPr>
            <w:tcW w:w="1695" w:type="dxa"/>
            <w:vAlign w:val="center"/>
          </w:tcPr>
          <w:p w14:paraId="3A16F23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-1.64</w:t>
            </w:r>
          </w:p>
        </w:tc>
        <w:tc>
          <w:tcPr>
            <w:tcW w:w="1450" w:type="dxa"/>
            <w:vAlign w:val="center"/>
          </w:tcPr>
          <w:p w14:paraId="1D55ED09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0.009*</w:t>
            </w:r>
          </w:p>
        </w:tc>
      </w:tr>
      <w:tr w:rsidR="00B9036F" w:rsidRPr="00FD270A" w14:paraId="4ED23077" w14:textId="77777777" w:rsidTr="00FA018B">
        <w:tc>
          <w:tcPr>
            <w:tcW w:w="1217" w:type="dxa"/>
            <w:vAlign w:val="center"/>
          </w:tcPr>
          <w:p w14:paraId="551F0CA5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12 weeks</w:t>
            </w:r>
          </w:p>
        </w:tc>
        <w:tc>
          <w:tcPr>
            <w:tcW w:w="1658" w:type="dxa"/>
            <w:vAlign w:val="center"/>
          </w:tcPr>
          <w:p w14:paraId="233507AF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24 weeks</w:t>
            </w:r>
          </w:p>
        </w:tc>
        <w:tc>
          <w:tcPr>
            <w:tcW w:w="1710" w:type="dxa"/>
            <w:vAlign w:val="center"/>
          </w:tcPr>
          <w:p w14:paraId="44749413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-0.73</w:t>
            </w:r>
          </w:p>
        </w:tc>
        <w:tc>
          <w:tcPr>
            <w:tcW w:w="1620" w:type="dxa"/>
            <w:vAlign w:val="center"/>
          </w:tcPr>
          <w:p w14:paraId="47616C0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1695" w:type="dxa"/>
            <w:vAlign w:val="center"/>
          </w:tcPr>
          <w:p w14:paraId="7F7A1B2F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-0.64</w:t>
            </w:r>
          </w:p>
        </w:tc>
        <w:tc>
          <w:tcPr>
            <w:tcW w:w="1450" w:type="dxa"/>
            <w:vAlign w:val="center"/>
          </w:tcPr>
          <w:p w14:paraId="0A71E7B1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0.413</w:t>
            </w:r>
          </w:p>
        </w:tc>
      </w:tr>
    </w:tbl>
    <w:p w14:paraId="709A23CA" w14:textId="77777777" w:rsidR="00B9036F" w:rsidRPr="00FD270A" w:rsidRDefault="00B9036F" w:rsidP="00B9036F">
      <w:pPr>
        <w:spacing w:before="120"/>
        <w:rPr>
          <w:sz w:val="20"/>
          <w:szCs w:val="20"/>
        </w:rPr>
      </w:pPr>
      <w:r w:rsidRPr="00FD270A">
        <w:rPr>
          <w:sz w:val="20"/>
          <w:szCs w:val="20"/>
        </w:rPr>
        <w:t>*Statistically significant difference at p value&lt;0.05</w:t>
      </w:r>
    </w:p>
    <w:p w14:paraId="645BDF10" w14:textId="77777777" w:rsidR="00B9036F" w:rsidRPr="00FD270A" w:rsidRDefault="00B9036F" w:rsidP="00B9036F">
      <w:pPr>
        <w:rPr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FD270A">
        <w:rPr>
          <w:b/>
          <w:bCs/>
          <w:u w:color="000000"/>
        </w:rPr>
        <w:br w:type="page"/>
      </w:r>
    </w:p>
    <w:p w14:paraId="6E074C80" w14:textId="77777777" w:rsidR="00B9036F" w:rsidRPr="00750C73" w:rsidRDefault="00B9036F" w:rsidP="00B9036F">
      <w:pPr>
        <w:spacing w:before="120" w:after="120"/>
        <w:ind w:left="1134" w:hanging="1134"/>
        <w:jc w:val="both"/>
      </w:pPr>
      <w:r w:rsidRPr="00750C73">
        <w:lastRenderedPageBreak/>
        <w:t>Table 4: Comparison of marginal bone level between early loading and conventional loading groups at different time intervals.</w:t>
      </w: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2287"/>
        <w:gridCol w:w="3221"/>
        <w:gridCol w:w="3453"/>
        <w:gridCol w:w="2405"/>
      </w:tblGrid>
      <w:tr w:rsidR="00B9036F" w:rsidRPr="00FD270A" w14:paraId="24F5BC72" w14:textId="77777777" w:rsidTr="00FA018B">
        <w:tc>
          <w:tcPr>
            <w:tcW w:w="1006" w:type="pct"/>
            <w:vMerge w:val="restart"/>
          </w:tcPr>
          <w:p w14:paraId="290EBC8B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</w:p>
        </w:tc>
        <w:tc>
          <w:tcPr>
            <w:tcW w:w="1417" w:type="pct"/>
          </w:tcPr>
          <w:p w14:paraId="3563E5A8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Early loading</w:t>
            </w:r>
          </w:p>
          <w:p w14:paraId="546E2A9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(n=11)</w:t>
            </w:r>
          </w:p>
        </w:tc>
        <w:tc>
          <w:tcPr>
            <w:tcW w:w="1519" w:type="pct"/>
          </w:tcPr>
          <w:p w14:paraId="21656E9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Conventional loading</w:t>
            </w:r>
          </w:p>
          <w:p w14:paraId="4B4FD751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(n=11)</w:t>
            </w:r>
          </w:p>
        </w:tc>
        <w:tc>
          <w:tcPr>
            <w:tcW w:w="1058" w:type="pct"/>
            <w:vMerge w:val="restart"/>
          </w:tcPr>
          <w:p w14:paraId="51041711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D270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FD270A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B9036F" w:rsidRPr="00FD270A" w14:paraId="1BCC4476" w14:textId="77777777" w:rsidTr="00FA018B">
        <w:tc>
          <w:tcPr>
            <w:tcW w:w="1006" w:type="pct"/>
            <w:vMerge/>
          </w:tcPr>
          <w:p w14:paraId="024B3005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36" w:type="pct"/>
            <w:gridSpan w:val="2"/>
          </w:tcPr>
          <w:p w14:paraId="197DD1B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Mean ±SD</w:t>
            </w:r>
          </w:p>
        </w:tc>
        <w:tc>
          <w:tcPr>
            <w:tcW w:w="1058" w:type="pct"/>
            <w:vMerge/>
          </w:tcPr>
          <w:p w14:paraId="0AE20451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36F" w:rsidRPr="00FD270A" w14:paraId="563954A6" w14:textId="77777777" w:rsidTr="00FA018B">
        <w:tc>
          <w:tcPr>
            <w:tcW w:w="5000" w:type="pct"/>
            <w:gridSpan w:val="4"/>
          </w:tcPr>
          <w:p w14:paraId="066B1CB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Mesial marginal bone loss</w:t>
            </w:r>
            <w:r w:rsidRPr="00FD270A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B9036F" w:rsidRPr="00FD270A" w14:paraId="5651EDDC" w14:textId="77777777" w:rsidTr="00FA018B">
        <w:tc>
          <w:tcPr>
            <w:tcW w:w="1006" w:type="pct"/>
          </w:tcPr>
          <w:p w14:paraId="707138AC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12 weeks</w:t>
            </w:r>
          </w:p>
        </w:tc>
        <w:tc>
          <w:tcPr>
            <w:tcW w:w="1417" w:type="pct"/>
          </w:tcPr>
          <w:p w14:paraId="42980C8E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0.14 ±0.05</w:t>
            </w:r>
          </w:p>
        </w:tc>
        <w:tc>
          <w:tcPr>
            <w:tcW w:w="1519" w:type="pct"/>
          </w:tcPr>
          <w:p w14:paraId="5E2676F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0.11 ±0.02</w:t>
            </w:r>
          </w:p>
        </w:tc>
        <w:tc>
          <w:tcPr>
            <w:tcW w:w="1058" w:type="pct"/>
          </w:tcPr>
          <w:p w14:paraId="04AF5B65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0.095</w:t>
            </w:r>
          </w:p>
        </w:tc>
      </w:tr>
      <w:tr w:rsidR="00B9036F" w:rsidRPr="00FD270A" w14:paraId="680902F5" w14:textId="77777777" w:rsidTr="00FA018B">
        <w:tc>
          <w:tcPr>
            <w:tcW w:w="1006" w:type="pct"/>
          </w:tcPr>
          <w:p w14:paraId="201EE54B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24 weeks</w:t>
            </w:r>
          </w:p>
        </w:tc>
        <w:tc>
          <w:tcPr>
            <w:tcW w:w="1417" w:type="pct"/>
          </w:tcPr>
          <w:p w14:paraId="5C4F35F3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0.21 ±0.06</w:t>
            </w:r>
          </w:p>
        </w:tc>
        <w:tc>
          <w:tcPr>
            <w:tcW w:w="1519" w:type="pct"/>
          </w:tcPr>
          <w:p w14:paraId="65D5A4F5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0.16 ±0.03</w:t>
            </w:r>
          </w:p>
        </w:tc>
        <w:tc>
          <w:tcPr>
            <w:tcW w:w="1058" w:type="pct"/>
          </w:tcPr>
          <w:p w14:paraId="50264A9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0.013*</w:t>
            </w:r>
          </w:p>
        </w:tc>
      </w:tr>
      <w:tr w:rsidR="00B9036F" w:rsidRPr="00FD270A" w14:paraId="2FFA9A04" w14:textId="77777777" w:rsidTr="00FA018B">
        <w:tc>
          <w:tcPr>
            <w:tcW w:w="5000" w:type="pct"/>
            <w:gridSpan w:val="4"/>
          </w:tcPr>
          <w:p w14:paraId="3CC36B5D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Distal marginal bone loss</w:t>
            </w:r>
            <w:r w:rsidRPr="00FD270A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B9036F" w:rsidRPr="00FD270A" w14:paraId="731D7A3E" w14:textId="77777777" w:rsidTr="00FA018B">
        <w:tc>
          <w:tcPr>
            <w:tcW w:w="1006" w:type="pct"/>
          </w:tcPr>
          <w:p w14:paraId="3BF34D04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12 weeks</w:t>
            </w:r>
          </w:p>
        </w:tc>
        <w:tc>
          <w:tcPr>
            <w:tcW w:w="1417" w:type="pct"/>
          </w:tcPr>
          <w:p w14:paraId="7FDE69D1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0.14 ±0.03</w:t>
            </w:r>
          </w:p>
        </w:tc>
        <w:tc>
          <w:tcPr>
            <w:tcW w:w="1519" w:type="pct"/>
          </w:tcPr>
          <w:p w14:paraId="128E6F3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0.11 ±0.02</w:t>
            </w:r>
          </w:p>
        </w:tc>
        <w:tc>
          <w:tcPr>
            <w:tcW w:w="1058" w:type="pct"/>
          </w:tcPr>
          <w:p w14:paraId="7D4C4C71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0.027*</w:t>
            </w:r>
          </w:p>
        </w:tc>
      </w:tr>
      <w:tr w:rsidR="00B9036F" w:rsidRPr="00FD270A" w14:paraId="19C698A0" w14:textId="77777777" w:rsidTr="00FA018B">
        <w:tc>
          <w:tcPr>
            <w:tcW w:w="1006" w:type="pct"/>
          </w:tcPr>
          <w:p w14:paraId="4CE78BA4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24 weeks</w:t>
            </w:r>
          </w:p>
        </w:tc>
        <w:tc>
          <w:tcPr>
            <w:tcW w:w="1417" w:type="pct"/>
          </w:tcPr>
          <w:p w14:paraId="69E4FACD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0.20 ±0.04</w:t>
            </w:r>
          </w:p>
        </w:tc>
        <w:tc>
          <w:tcPr>
            <w:tcW w:w="1519" w:type="pct"/>
          </w:tcPr>
          <w:p w14:paraId="10767DB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0.16 ±0.02</w:t>
            </w:r>
          </w:p>
        </w:tc>
        <w:tc>
          <w:tcPr>
            <w:tcW w:w="1058" w:type="pct"/>
          </w:tcPr>
          <w:p w14:paraId="2CC196E5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0.006*</w:t>
            </w:r>
          </w:p>
        </w:tc>
      </w:tr>
      <w:tr w:rsidR="00B9036F" w:rsidRPr="00FD270A" w14:paraId="2C55961A" w14:textId="77777777" w:rsidTr="00FA018B">
        <w:tc>
          <w:tcPr>
            <w:tcW w:w="5000" w:type="pct"/>
            <w:gridSpan w:val="4"/>
          </w:tcPr>
          <w:p w14:paraId="72D9E5E6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Overall marginal bone loss</w:t>
            </w:r>
          </w:p>
        </w:tc>
      </w:tr>
      <w:tr w:rsidR="00B9036F" w:rsidRPr="00FD270A" w14:paraId="683E43A3" w14:textId="77777777" w:rsidTr="00FA018B">
        <w:tc>
          <w:tcPr>
            <w:tcW w:w="1006" w:type="pct"/>
          </w:tcPr>
          <w:p w14:paraId="6A6C2C80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12 weeks</w:t>
            </w:r>
          </w:p>
        </w:tc>
        <w:tc>
          <w:tcPr>
            <w:tcW w:w="1417" w:type="pct"/>
          </w:tcPr>
          <w:p w14:paraId="52F40829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0.14 ±0.04</w:t>
            </w:r>
          </w:p>
        </w:tc>
        <w:tc>
          <w:tcPr>
            <w:tcW w:w="1519" w:type="pct"/>
          </w:tcPr>
          <w:p w14:paraId="76E9E8AE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0.11 ±0.02</w:t>
            </w:r>
          </w:p>
        </w:tc>
        <w:tc>
          <w:tcPr>
            <w:tcW w:w="1058" w:type="pct"/>
          </w:tcPr>
          <w:p w14:paraId="0690489C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0.044*</w:t>
            </w:r>
          </w:p>
        </w:tc>
      </w:tr>
      <w:tr w:rsidR="00B9036F" w:rsidRPr="00FD270A" w14:paraId="62EBAED4" w14:textId="77777777" w:rsidTr="00FA018B">
        <w:tc>
          <w:tcPr>
            <w:tcW w:w="1006" w:type="pct"/>
          </w:tcPr>
          <w:p w14:paraId="37B5C28B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24 weeks</w:t>
            </w:r>
          </w:p>
        </w:tc>
        <w:tc>
          <w:tcPr>
            <w:tcW w:w="1417" w:type="pct"/>
          </w:tcPr>
          <w:p w14:paraId="52F531C6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0.21 ±0.05</w:t>
            </w:r>
          </w:p>
        </w:tc>
        <w:tc>
          <w:tcPr>
            <w:tcW w:w="1519" w:type="pct"/>
          </w:tcPr>
          <w:p w14:paraId="23836C9F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0.16 ±0.03</w:t>
            </w:r>
          </w:p>
        </w:tc>
        <w:tc>
          <w:tcPr>
            <w:tcW w:w="1058" w:type="pct"/>
          </w:tcPr>
          <w:p w14:paraId="03EAD4A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0.008*</w:t>
            </w:r>
          </w:p>
        </w:tc>
      </w:tr>
    </w:tbl>
    <w:p w14:paraId="069ED768" w14:textId="77777777" w:rsidR="00B9036F" w:rsidRPr="00FD270A" w:rsidRDefault="00B9036F" w:rsidP="00B9036F">
      <w:pPr>
        <w:spacing w:before="120"/>
        <w:rPr>
          <w:sz w:val="20"/>
          <w:szCs w:val="20"/>
        </w:rPr>
      </w:pPr>
      <w:r w:rsidRPr="00FD270A">
        <w:rPr>
          <w:sz w:val="20"/>
          <w:szCs w:val="20"/>
        </w:rPr>
        <w:t>*Statistically significant difference at p value&lt;0.05, #results based on independent t test</w:t>
      </w:r>
    </w:p>
    <w:p w14:paraId="0F1639A5" w14:textId="77777777" w:rsidR="00B9036F" w:rsidRDefault="00B9036F"/>
    <w:p w14:paraId="5D00EF48" w14:textId="77777777" w:rsidR="00B9036F" w:rsidRDefault="00B9036F"/>
    <w:p w14:paraId="7BAE4BDE" w14:textId="77777777" w:rsidR="00B9036F" w:rsidRDefault="00B9036F"/>
    <w:p w14:paraId="150A4E04" w14:textId="77777777" w:rsidR="00B9036F" w:rsidRDefault="00B9036F"/>
    <w:p w14:paraId="3AA6F9E2" w14:textId="77777777" w:rsidR="00B9036F" w:rsidRDefault="00B9036F"/>
    <w:p w14:paraId="04DA445F" w14:textId="77777777" w:rsidR="00B9036F" w:rsidRDefault="00B9036F"/>
    <w:p w14:paraId="24BAFF0E" w14:textId="77777777" w:rsidR="00B9036F" w:rsidRDefault="00B9036F"/>
    <w:p w14:paraId="4C496629" w14:textId="77777777" w:rsidR="00B9036F" w:rsidRDefault="00B9036F"/>
    <w:p w14:paraId="71620919" w14:textId="77777777" w:rsidR="00B9036F" w:rsidRDefault="00B9036F"/>
    <w:p w14:paraId="0798B38D" w14:textId="77777777" w:rsidR="00B9036F" w:rsidRDefault="00B9036F"/>
    <w:p w14:paraId="3E1A3B00" w14:textId="77777777" w:rsidR="00B9036F" w:rsidRDefault="00B9036F"/>
    <w:p w14:paraId="792A34D2" w14:textId="77777777" w:rsidR="00B9036F" w:rsidRDefault="00B9036F"/>
    <w:p w14:paraId="2B30B900" w14:textId="77777777" w:rsidR="00B9036F" w:rsidRDefault="00B9036F"/>
    <w:p w14:paraId="3F29482F" w14:textId="77777777" w:rsidR="00B9036F" w:rsidRDefault="00B9036F"/>
    <w:p w14:paraId="2EA8209F" w14:textId="77777777" w:rsidR="00B9036F" w:rsidRDefault="00B9036F"/>
    <w:p w14:paraId="08789922" w14:textId="77777777" w:rsidR="00B9036F" w:rsidRDefault="00B9036F"/>
    <w:p w14:paraId="6B78ED08" w14:textId="77777777" w:rsidR="00B9036F" w:rsidRDefault="00B9036F"/>
    <w:p w14:paraId="168B929F" w14:textId="77777777" w:rsidR="00B9036F" w:rsidRPr="00750C73" w:rsidRDefault="00B9036F" w:rsidP="00B9036F">
      <w:pPr>
        <w:spacing w:before="120" w:after="120"/>
        <w:ind w:left="1134" w:hanging="1134"/>
        <w:jc w:val="both"/>
      </w:pPr>
      <w:r w:rsidRPr="00750C73">
        <w:lastRenderedPageBreak/>
        <w:t xml:space="preserve">Table </w:t>
      </w:r>
      <w:r>
        <w:t>5</w:t>
      </w:r>
      <w:r w:rsidRPr="00750C73">
        <w:t>: Pairwise comparison of marginal bone loss between 12 and 24 weeks within each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9036F" w:rsidRPr="00FD270A" w14:paraId="713AEFCA" w14:textId="77777777" w:rsidTr="00FA018B">
        <w:tc>
          <w:tcPr>
            <w:tcW w:w="1870" w:type="dxa"/>
            <w:vMerge w:val="restart"/>
          </w:tcPr>
          <w:p w14:paraId="0384A9D1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</w:p>
        </w:tc>
        <w:tc>
          <w:tcPr>
            <w:tcW w:w="3740" w:type="dxa"/>
            <w:gridSpan w:val="2"/>
          </w:tcPr>
          <w:p w14:paraId="1373786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Early loading</w:t>
            </w:r>
          </w:p>
          <w:p w14:paraId="4FDF4AE8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(n=11)</w:t>
            </w:r>
          </w:p>
        </w:tc>
        <w:tc>
          <w:tcPr>
            <w:tcW w:w="3740" w:type="dxa"/>
            <w:gridSpan w:val="2"/>
          </w:tcPr>
          <w:p w14:paraId="44497C4D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Conventional loading</w:t>
            </w:r>
          </w:p>
          <w:p w14:paraId="52325D8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(n=11)</w:t>
            </w:r>
          </w:p>
        </w:tc>
      </w:tr>
      <w:tr w:rsidR="00B9036F" w:rsidRPr="00FD270A" w14:paraId="5F90DFCD" w14:textId="77777777" w:rsidTr="00FA018B">
        <w:tc>
          <w:tcPr>
            <w:tcW w:w="1870" w:type="dxa"/>
            <w:vMerge/>
          </w:tcPr>
          <w:p w14:paraId="7D0DF9DC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1C37794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Mean difference</w:t>
            </w:r>
          </w:p>
        </w:tc>
        <w:tc>
          <w:tcPr>
            <w:tcW w:w="1870" w:type="dxa"/>
          </w:tcPr>
          <w:p w14:paraId="1733E16C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FD270A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1870" w:type="dxa"/>
          </w:tcPr>
          <w:p w14:paraId="3C5BBD28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  <w:b/>
                <w:bCs/>
              </w:rPr>
              <w:t>Mean difference</w:t>
            </w:r>
          </w:p>
        </w:tc>
        <w:tc>
          <w:tcPr>
            <w:tcW w:w="1870" w:type="dxa"/>
          </w:tcPr>
          <w:p w14:paraId="267487F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FD270A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B9036F" w:rsidRPr="00FD270A" w14:paraId="29544C40" w14:textId="77777777" w:rsidTr="00FA018B">
        <w:tc>
          <w:tcPr>
            <w:tcW w:w="1870" w:type="dxa"/>
          </w:tcPr>
          <w:p w14:paraId="53E6A9D7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Mesial</w:t>
            </w:r>
            <w:r w:rsidRPr="00FD270A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1870" w:type="dxa"/>
          </w:tcPr>
          <w:p w14:paraId="530E8C4C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1870" w:type="dxa"/>
          </w:tcPr>
          <w:p w14:paraId="70292EBA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&lt;0.001*</w:t>
            </w:r>
          </w:p>
        </w:tc>
        <w:tc>
          <w:tcPr>
            <w:tcW w:w="1870" w:type="dxa"/>
          </w:tcPr>
          <w:p w14:paraId="76F27DB8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870" w:type="dxa"/>
          </w:tcPr>
          <w:p w14:paraId="4FCDE844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&lt;0.001*</w:t>
            </w:r>
          </w:p>
        </w:tc>
      </w:tr>
      <w:tr w:rsidR="00B9036F" w:rsidRPr="00FD270A" w14:paraId="7B8ADAB6" w14:textId="77777777" w:rsidTr="00FA018B">
        <w:tc>
          <w:tcPr>
            <w:tcW w:w="1870" w:type="dxa"/>
          </w:tcPr>
          <w:p w14:paraId="21FDFB09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Distal</w:t>
            </w:r>
            <w:r w:rsidRPr="00FD270A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1870" w:type="dxa"/>
          </w:tcPr>
          <w:p w14:paraId="27943C32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870" w:type="dxa"/>
          </w:tcPr>
          <w:p w14:paraId="7CD61F47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&lt;0.001*</w:t>
            </w:r>
          </w:p>
        </w:tc>
        <w:tc>
          <w:tcPr>
            <w:tcW w:w="1870" w:type="dxa"/>
          </w:tcPr>
          <w:p w14:paraId="3D7AF42F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870" w:type="dxa"/>
          </w:tcPr>
          <w:p w14:paraId="30F67FA0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&lt;0.001*</w:t>
            </w:r>
          </w:p>
        </w:tc>
      </w:tr>
      <w:tr w:rsidR="00B9036F" w:rsidRPr="00FD270A" w14:paraId="0C72B382" w14:textId="77777777" w:rsidTr="00FA018B">
        <w:tc>
          <w:tcPr>
            <w:tcW w:w="1870" w:type="dxa"/>
          </w:tcPr>
          <w:p w14:paraId="18F58429" w14:textId="77777777" w:rsidR="00B9036F" w:rsidRPr="00FD270A" w:rsidRDefault="00B9036F" w:rsidP="00FA018B">
            <w:pPr>
              <w:spacing w:before="80" w:after="40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Overall</w:t>
            </w:r>
          </w:p>
        </w:tc>
        <w:tc>
          <w:tcPr>
            <w:tcW w:w="1870" w:type="dxa"/>
          </w:tcPr>
          <w:p w14:paraId="1DDBDF1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1870" w:type="dxa"/>
          </w:tcPr>
          <w:p w14:paraId="170AC9DB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&lt;0.001*</w:t>
            </w:r>
          </w:p>
        </w:tc>
        <w:tc>
          <w:tcPr>
            <w:tcW w:w="1870" w:type="dxa"/>
          </w:tcPr>
          <w:p w14:paraId="13EE8F22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870" w:type="dxa"/>
          </w:tcPr>
          <w:p w14:paraId="41F5C426" w14:textId="77777777" w:rsidR="00B9036F" w:rsidRPr="00FD270A" w:rsidRDefault="00B9036F" w:rsidP="00FA018B">
            <w:pPr>
              <w:spacing w:before="80" w:after="40"/>
              <w:jc w:val="center"/>
              <w:rPr>
                <w:rFonts w:ascii="Times New Roman" w:hAnsi="Times New Roman" w:cs="Times New Roman"/>
              </w:rPr>
            </w:pPr>
            <w:r w:rsidRPr="00FD270A">
              <w:rPr>
                <w:rFonts w:ascii="Times New Roman" w:hAnsi="Times New Roman" w:cs="Times New Roman"/>
              </w:rPr>
              <w:t>&lt;0.001*</w:t>
            </w:r>
          </w:p>
        </w:tc>
      </w:tr>
    </w:tbl>
    <w:p w14:paraId="275D4391" w14:textId="77777777" w:rsidR="00B9036F" w:rsidRPr="00FD270A" w:rsidRDefault="00B9036F" w:rsidP="00B9036F">
      <w:pPr>
        <w:spacing w:before="120"/>
        <w:rPr>
          <w:sz w:val="20"/>
          <w:szCs w:val="20"/>
        </w:rPr>
      </w:pPr>
      <w:r w:rsidRPr="00FD270A">
        <w:rPr>
          <w:sz w:val="20"/>
          <w:szCs w:val="20"/>
        </w:rPr>
        <w:t>*Statistically significant difference at p value&lt;0.05, #results based on paired t test</w:t>
      </w:r>
    </w:p>
    <w:p w14:paraId="05A9DBFA" w14:textId="77777777" w:rsidR="00B9036F" w:rsidRDefault="00B9036F"/>
    <w:sectPr w:rsidR="00B9036F" w:rsidSect="00907B31">
      <w:pgSz w:w="12240" w:h="15840"/>
      <w:pgMar w:top="288" w:right="288" w:bottom="288" w:left="288" w:header="0" w:footer="0" w:gutter="28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6F"/>
    <w:rsid w:val="000828C7"/>
    <w:rsid w:val="000E0024"/>
    <w:rsid w:val="003453FA"/>
    <w:rsid w:val="00386BA1"/>
    <w:rsid w:val="00532F33"/>
    <w:rsid w:val="00567068"/>
    <w:rsid w:val="00907B31"/>
    <w:rsid w:val="00A233CF"/>
    <w:rsid w:val="00B5068A"/>
    <w:rsid w:val="00B9036F"/>
    <w:rsid w:val="00E10007"/>
    <w:rsid w:val="00F6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9EF05"/>
  <w15:chartTrackingRefBased/>
  <w15:docId w15:val="{22A19D0A-5601-4FAF-8940-E63EF3B0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6F"/>
    <w:pPr>
      <w:spacing w:after="160" w:line="278" w:lineRule="auto"/>
    </w:pPr>
    <w:rPr>
      <w:rFonts w:asciiTheme="minorHAnsi" w:hAnsiTheme="minorHAnsi" w:cstheme="minorBidi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3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6BA1"/>
    <w:pPr>
      <w:spacing w:line="240" w:lineRule="auto"/>
    </w:pPr>
    <w:rPr>
      <w:b/>
      <w:bCs/>
      <w:i/>
    </w:rPr>
  </w:style>
  <w:style w:type="paragraph" w:styleId="BodyText">
    <w:name w:val="Body Text"/>
    <w:basedOn w:val="Normal"/>
    <w:link w:val="BodyTextChar"/>
    <w:uiPriority w:val="1"/>
    <w:qFormat/>
    <w:rsid w:val="00F63DF7"/>
    <w:pPr>
      <w:widowControl w:val="0"/>
      <w:autoSpaceDE w:val="0"/>
      <w:autoSpaceDN w:val="0"/>
      <w:spacing w:line="240" w:lineRule="auto"/>
    </w:pPr>
    <w:rPr>
      <w:rFonts w:eastAsia="Calibri"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63DF7"/>
    <w:rPr>
      <w:rFonts w:eastAsia="Calibri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9036F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36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36F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36F"/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6F"/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36F"/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6F"/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6F"/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6F"/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90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36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36F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90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36F"/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B903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3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36F"/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9036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9036F"/>
    <w:pPr>
      <w:spacing w:line="240" w:lineRule="auto"/>
    </w:pPr>
    <w:rPr>
      <w:rFonts w:ascii="Aptos" w:eastAsia="Aptos" w:hAnsi="Aptos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9036F"/>
    <w:pPr>
      <w:spacing w:line="240" w:lineRule="auto"/>
    </w:pPr>
    <w:rPr>
      <w:rFonts w:ascii="Aptos" w:eastAsia="Aptos" w:hAnsi="Aptos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mohamed</dc:creator>
  <cp:keywords/>
  <dc:description/>
  <cp:lastModifiedBy>fares mohamed</cp:lastModifiedBy>
  <cp:revision>1</cp:revision>
  <dcterms:created xsi:type="dcterms:W3CDTF">2026-07-04T11:44:00Z</dcterms:created>
  <dcterms:modified xsi:type="dcterms:W3CDTF">2026-07-04T11:45:00Z</dcterms:modified>
</cp:coreProperties>
</file>