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F08D" w14:textId="3440B75A" w:rsidR="00A059C0" w:rsidRDefault="00220EE5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1C6C1CD" wp14:editId="1FA2D30F">
            <wp:extent cx="5943600" cy="7132320"/>
            <wp:effectExtent l="0" t="0" r="0" b="5080"/>
            <wp:docPr id="8561737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73769" name="Picture 8561737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F2F27" w14:textId="77777777" w:rsidR="00025A0A" w:rsidRDefault="00025A0A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02F5DD" w14:textId="5E836EE0" w:rsidR="00025A0A" w:rsidRDefault="00D810E4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3072">
        <w:rPr>
          <w:rFonts w:ascii="Times New Roman" w:hAnsi="Times New Roman" w:cs="Times New Roman"/>
          <w:b/>
        </w:rPr>
        <w:t>Supplementary Figure 1</w:t>
      </w:r>
      <w:r w:rsidRPr="00A23072">
        <w:rPr>
          <w:rFonts w:ascii="Times New Roman" w:hAnsi="Times New Roman" w:cs="Times New Roman"/>
          <w:bCs/>
        </w:rPr>
        <w:t xml:space="preserve">: </w:t>
      </w:r>
      <w:r w:rsidR="003F62E8" w:rsidRPr="003F62E8">
        <w:rPr>
          <w:rFonts w:ascii="Times New Roman" w:hAnsi="Times New Roman" w:cs="Times New Roman"/>
          <w:bCs/>
        </w:rPr>
        <w:t xml:space="preserve">Cytokine and transcription response to stimulation across treatment groups in </w:t>
      </w:r>
      <w:proofErr w:type="spellStart"/>
      <w:r w:rsidR="0066057F">
        <w:rPr>
          <w:rFonts w:ascii="Times New Roman" w:hAnsi="Times New Roman" w:cs="Times New Roman"/>
          <w:color w:val="000000" w:themeColor="text1"/>
        </w:rPr>
        <w:t>amac</w:t>
      </w:r>
      <w:proofErr w:type="spellEnd"/>
    </w:p>
    <w:p w14:paraId="0C8265B9" w14:textId="5E2DA4AF" w:rsidR="00375401" w:rsidRDefault="00375401" w:rsidP="00375401">
      <w:pPr>
        <w:pStyle w:val="NormalWeb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A-</w:t>
      </w:r>
      <w:r w:rsidR="00E2338C">
        <w:rPr>
          <w:color w:val="000000" w:themeColor="text1"/>
        </w:rPr>
        <w:t xml:space="preserve">B: </w:t>
      </w:r>
      <w:r w:rsidR="00E2338C" w:rsidRPr="00F64C9E">
        <w:rPr>
          <w:color w:val="000000" w:themeColor="text1"/>
        </w:rPr>
        <w:t xml:space="preserve">IL-1β and TNF production, essential for activating innate immune training, were measured in </w:t>
      </w:r>
      <w:proofErr w:type="spellStart"/>
      <w:r w:rsidR="002B4340" w:rsidRPr="003F62E8">
        <w:rPr>
          <w:rFonts w:eastAsiaTheme="minorHAnsi"/>
          <w:color w:val="000000" w:themeColor="text1"/>
          <w:kern w:val="2"/>
          <w:lang w:eastAsia="en-US"/>
          <w14:ligatures w14:val="standardContextual"/>
        </w:rPr>
        <w:t>BALc</w:t>
      </w:r>
      <w:proofErr w:type="spellEnd"/>
      <w:r w:rsidR="00A66F5C">
        <w:rPr>
          <w:color w:val="000000" w:themeColor="text1"/>
        </w:rPr>
        <w:t xml:space="preserve">, with or without BCG inoculation, </w:t>
      </w:r>
      <w:r w:rsidR="00E2338C" w:rsidRPr="00F64C9E">
        <w:rPr>
          <w:color w:val="000000" w:themeColor="text1"/>
        </w:rPr>
        <w:t xml:space="preserve">under various stimulations as indicators of immune response strength. </w:t>
      </w:r>
    </w:p>
    <w:p w14:paraId="672B9318" w14:textId="2F6823B8" w:rsidR="00A66F5C" w:rsidRDefault="00375401" w:rsidP="002D5E1A">
      <w:pPr>
        <w:pStyle w:val="NormalWeb"/>
        <w:jc w:val="both"/>
      </w:pPr>
      <w:r>
        <w:rPr>
          <w:color w:val="000000" w:themeColor="text1"/>
        </w:rPr>
        <w:t xml:space="preserve">C-D: </w:t>
      </w:r>
      <w:r w:rsidR="00A66F5C" w:rsidRPr="00F64C9E">
        <w:rPr>
          <w:color w:val="000000" w:themeColor="text1"/>
        </w:rPr>
        <w:t xml:space="preserve">Two-dimensional scatterplots </w:t>
      </w:r>
      <w:r w:rsidR="00A66F5C">
        <w:t xml:space="preserve">illustrating </w:t>
      </w:r>
      <w:proofErr w:type="spellStart"/>
      <w:r w:rsidR="00C017F9">
        <w:rPr>
          <w:rFonts w:eastAsiaTheme="minorEastAsia"/>
          <w:color w:val="000000" w:themeColor="text1"/>
          <w:kern w:val="2"/>
          <w:lang w:eastAsia="en-US"/>
          <w14:ligatures w14:val="standardContextual"/>
        </w:rPr>
        <w:t>amac</w:t>
      </w:r>
      <w:proofErr w:type="spellEnd"/>
      <w:r w:rsidR="002B4340">
        <w:t xml:space="preserve"> </w:t>
      </w:r>
      <w:r w:rsidR="00A66F5C">
        <w:t xml:space="preserve">sample clustering </w:t>
      </w:r>
      <w:r w:rsidR="00A66F5C" w:rsidRPr="00F64C9E">
        <w:rPr>
          <w:color w:val="000000" w:themeColor="text1"/>
        </w:rPr>
        <w:t>based on gene expression similarity</w:t>
      </w:r>
      <w:r w:rsidR="00A66F5C">
        <w:rPr>
          <w:color w:val="000000" w:themeColor="text1"/>
        </w:rPr>
        <w:t xml:space="preserve">, </w:t>
      </w:r>
      <w:r w:rsidR="00A66F5C">
        <w:t>with or without restimulation</w:t>
      </w:r>
      <w:r w:rsidR="002B4340">
        <w:t xml:space="preserve">. </w:t>
      </w:r>
      <w:r w:rsidR="00C017F9">
        <w:t xml:space="preserve"> </w:t>
      </w:r>
      <w:r w:rsidR="00C017F9">
        <w:rPr>
          <w:color w:val="000000" w:themeColor="text1"/>
        </w:rPr>
        <w:t xml:space="preserve">The sample label is composed of an integer (piglet ID), followed by treatment group (B: with BCG inoculation, N: without BCG inoculation), restimulation condition (N: NS, L: LPS, P: </w:t>
      </w:r>
      <w:r w:rsidR="00C017F9">
        <w:t>Pam3CSK4</w:t>
      </w:r>
      <w:r w:rsidR="00C017F9">
        <w:rPr>
          <w:color w:val="000000" w:themeColor="text1"/>
        </w:rPr>
        <w:t xml:space="preserve">), and piglet sex (M: male, F: female).  </w:t>
      </w:r>
      <w:r w:rsidR="00C017F9">
        <w:t>Label colors denote stimulation groups: red for restimulated groups (LPS or Pam) and black for NS.</w:t>
      </w:r>
    </w:p>
    <w:p w14:paraId="5B6E4DF7" w14:textId="45274B30" w:rsidR="00220EE5" w:rsidRDefault="00220EE5" w:rsidP="002D5E1A">
      <w:pPr>
        <w:pStyle w:val="NormalWeb"/>
        <w:jc w:val="both"/>
      </w:pPr>
      <w:r>
        <w:t xml:space="preserve">E-F: Venn diagram illustrating the number of differentially expressed genes (DEGs, adj. p &lt; 0.05), (LPS in E, Pam in F) in </w:t>
      </w:r>
      <w:proofErr w:type="spellStart"/>
      <w:r w:rsidR="003A57F9" w:rsidRPr="003F62E8">
        <w:rPr>
          <w:rFonts w:eastAsiaTheme="minorHAnsi"/>
          <w:color w:val="000000" w:themeColor="text1"/>
          <w:kern w:val="2"/>
          <w:lang w:eastAsia="en-US"/>
          <w14:ligatures w14:val="standardContextual"/>
        </w:rPr>
        <w:t>BALc</w:t>
      </w:r>
      <w:proofErr w:type="spellEnd"/>
      <w:r>
        <w:t xml:space="preserve"> across treatment groups, with overlapping DEGs highlighted. </w:t>
      </w:r>
    </w:p>
    <w:p w14:paraId="657AC230" w14:textId="0DB6E0D4" w:rsidR="00375401" w:rsidRDefault="00375401" w:rsidP="00375401">
      <w:pPr>
        <w:pStyle w:val="NormalWeb"/>
        <w:jc w:val="both"/>
        <w:rPr>
          <w:color w:val="000000" w:themeColor="text1"/>
        </w:rPr>
      </w:pPr>
    </w:p>
    <w:p w14:paraId="1D1F7EE0" w14:textId="77777777" w:rsidR="00F43731" w:rsidRPr="003F62E8" w:rsidRDefault="00F43731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F608E1A" w14:textId="005058AA" w:rsidR="002D45CC" w:rsidRDefault="00025A0A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56630C6" wp14:editId="58C4D283">
            <wp:extent cx="5943600" cy="7132320"/>
            <wp:effectExtent l="0" t="0" r="0" b="5080"/>
            <wp:docPr id="302021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21220" name="Picture 3020212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0137" w14:textId="314AD1FE" w:rsidR="00D810E4" w:rsidRPr="00E413F5" w:rsidRDefault="00D810E4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413F5">
        <w:rPr>
          <w:rFonts w:ascii="Times New Roman" w:hAnsi="Times New Roman" w:cs="Times New Roman"/>
          <w:b/>
        </w:rPr>
        <w:t>Supplementary Figure 2</w:t>
      </w:r>
      <w:r w:rsidRPr="00E413F5">
        <w:rPr>
          <w:rFonts w:ascii="Times New Roman" w:hAnsi="Times New Roman" w:cs="Times New Roman"/>
          <w:bCs/>
        </w:rPr>
        <w:t>:</w:t>
      </w:r>
      <w:r w:rsidR="00E413F5" w:rsidRPr="00E413F5">
        <w:rPr>
          <w:rFonts w:ascii="Times New Roman" w:hAnsi="Times New Roman" w:cs="Times New Roman"/>
          <w:bCs/>
        </w:rPr>
        <w:t xml:space="preserve"> Sex effect </w:t>
      </w:r>
      <w:r w:rsidR="00F474CE">
        <w:rPr>
          <w:rFonts w:ascii="Times New Roman" w:hAnsi="Times New Roman" w:cs="Times New Roman"/>
          <w:bCs/>
        </w:rPr>
        <w:t xml:space="preserve">and outlier piglet 4 </w:t>
      </w:r>
      <w:r w:rsidR="00E413F5" w:rsidRPr="00E413F5">
        <w:rPr>
          <w:rFonts w:ascii="Times New Roman" w:hAnsi="Times New Roman" w:cs="Times New Roman"/>
          <w:bCs/>
        </w:rPr>
        <w:t>w</w:t>
      </w:r>
      <w:r w:rsidR="00F474CE">
        <w:rPr>
          <w:rFonts w:ascii="Times New Roman" w:hAnsi="Times New Roman" w:cs="Times New Roman"/>
          <w:bCs/>
        </w:rPr>
        <w:t>ere</w:t>
      </w:r>
      <w:r w:rsidR="00E413F5" w:rsidRPr="00E413F5">
        <w:rPr>
          <w:rFonts w:ascii="Times New Roman" w:hAnsi="Times New Roman" w:cs="Times New Roman"/>
          <w:bCs/>
        </w:rPr>
        <w:t xml:space="preserve"> observed </w:t>
      </w:r>
    </w:p>
    <w:p w14:paraId="6CC3CEF2" w14:textId="39222ED6" w:rsidR="00E413F5" w:rsidRPr="00F64C9E" w:rsidRDefault="00E413F5" w:rsidP="00E413F5">
      <w:pPr>
        <w:pStyle w:val="Heading3"/>
        <w:spacing w:befor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</w:pPr>
      <w:r w:rsidRPr="00050B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A: </w:t>
      </w:r>
      <w:r w:rsidRPr="00F64C9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A two-dimensional scatterplot visualizing </w:t>
      </w:r>
      <w:r w:rsidR="009549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17 </w:t>
      </w:r>
      <w:r w:rsidRPr="00F64C9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>samples</w:t>
      </w:r>
      <w:r w:rsidR="009549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(9 BCG</w:t>
      </w:r>
      <w:r w:rsidR="00FE717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samples</w:t>
      </w:r>
      <w:r w:rsidR="009549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, 8 </w:t>
      </w:r>
      <w:proofErr w:type="spellStart"/>
      <w:r w:rsidR="009549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>noBCG</w:t>
      </w:r>
      <w:proofErr w:type="spellEnd"/>
      <w:r w:rsidR="00FE717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samples</w:t>
      </w:r>
      <w:r w:rsidR="009549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>)</w:t>
      </w:r>
      <w:r w:rsidRPr="00F64C9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based on chromatin accessibility similarity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across </w:t>
      </w:r>
      <w:r w:rsidR="00050B18" w:rsidRPr="00050B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93,822 consensus </w:t>
      </w:r>
      <w:r w:rsidRPr="00F64C9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peaks for samples collected at week 6. </w:t>
      </w:r>
    </w:p>
    <w:p w14:paraId="0CC00147" w14:textId="2EE7122D" w:rsidR="00E413F5" w:rsidRPr="00E413F5" w:rsidRDefault="00E413F5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A6B6B0" w14:textId="0D8583E4" w:rsidR="00371564" w:rsidRPr="002D45CC" w:rsidRDefault="002D45CC" w:rsidP="00415C8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</w:pPr>
      <w:r w:rsidRPr="00415C84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lastRenderedPageBreak/>
        <w:t xml:space="preserve">B: </w:t>
      </w:r>
      <w:r w:rsidR="00236C5E" w:rsidRPr="00415C84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>Bar plot shows total counts per million (CPM) values summed across 310 ATAC-seq peaks mapping to the Y chromosome for each sample. Green bars indicate samples labeled as female, while red bars indicate samples labeled as male.</w:t>
      </w:r>
    </w:p>
    <w:p w14:paraId="1E14F643" w14:textId="412B6594" w:rsidR="002D45CC" w:rsidRPr="0047726E" w:rsidRDefault="002D45CC" w:rsidP="0047726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</w:pPr>
      <w:r w:rsidRPr="00E413F5">
        <w:rPr>
          <w:rFonts w:ascii="Times New Roman" w:hAnsi="Times New Roman" w:cs="Times New Roman"/>
          <w:color w:val="000000" w:themeColor="text1"/>
        </w:rPr>
        <w:t>C:</w:t>
      </w:r>
      <w:r w:rsidR="00D81EF9">
        <w:rPr>
          <w:rFonts w:ascii="Times New Roman" w:hAnsi="Times New Roman" w:cs="Times New Roman"/>
          <w:color w:val="000000" w:themeColor="text1"/>
        </w:rPr>
        <w:t xml:space="preserve"> </w:t>
      </w:r>
      <w:r w:rsidR="00D81EF9" w:rsidRPr="00415C84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 xml:space="preserve">Bar plot shows total counts per million (CPM) values summed across </w:t>
      </w:r>
      <w:r w:rsidR="00D81EF9" w:rsidRPr="002D45CC">
        <w:rPr>
          <w:rFonts w:ascii="Times New Roman" w:hAnsi="Times New Roman" w:cs="Times New Roman"/>
          <w:color w:val="000000" w:themeColor="text1"/>
        </w:rPr>
        <w:t>1</w:t>
      </w:r>
      <w:r w:rsidR="00D81EF9">
        <w:rPr>
          <w:rFonts w:ascii="Times New Roman" w:hAnsi="Times New Roman" w:cs="Times New Roman"/>
          <w:color w:val="000000" w:themeColor="text1"/>
        </w:rPr>
        <w:t xml:space="preserve">, </w:t>
      </w:r>
      <w:r w:rsidR="00D81EF9" w:rsidRPr="002D45CC">
        <w:rPr>
          <w:rFonts w:ascii="Times New Roman" w:hAnsi="Times New Roman" w:cs="Times New Roman"/>
          <w:color w:val="000000" w:themeColor="text1"/>
        </w:rPr>
        <w:t xml:space="preserve">286 </w:t>
      </w:r>
      <w:r w:rsidR="00D81EF9" w:rsidRPr="00415C84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 xml:space="preserve">ATAC-seq peaks mapping to the </w:t>
      </w:r>
      <w:r w:rsidR="006B5F66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>X</w:t>
      </w:r>
      <w:r w:rsidR="00D81EF9" w:rsidRPr="00415C84">
        <w:rPr>
          <w:rFonts w:ascii="Times New Roman" w:eastAsia="Times New Roman" w:hAnsi="Times New Roman" w:cs="Times New Roman"/>
          <w:color w:val="000000" w:themeColor="text1"/>
          <w:kern w:val="0"/>
          <w:lang w:eastAsia="zh-CN"/>
          <w14:ligatures w14:val="none"/>
        </w:rPr>
        <w:t xml:space="preserve"> chromosome for each sample. Green bars indicate samples labeled as female, while red bars indicate samples labeled as male.</w:t>
      </w:r>
    </w:p>
    <w:p w14:paraId="65DD3561" w14:textId="52158341" w:rsidR="00207952" w:rsidRDefault="00207952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E593E6A" wp14:editId="352718FF">
            <wp:extent cx="5943600" cy="7132320"/>
            <wp:effectExtent l="0" t="0" r="0" b="5080"/>
            <wp:docPr id="9733589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58921" name="Picture 9733589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7FAC" w14:textId="77777777" w:rsidR="00207952" w:rsidRPr="00207952" w:rsidRDefault="00207952" w:rsidP="00207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14:paraId="310C5D69" w14:textId="6AFB1DD5" w:rsidR="00207952" w:rsidRPr="00207952" w:rsidRDefault="00207952" w:rsidP="00EB3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b/>
          <w:bCs/>
          <w:color w:val="000000" w:themeColor="text1"/>
        </w:rPr>
        <w:t>Supplementary Figure</w:t>
      </w:r>
      <w:r w:rsidR="00953B6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6057F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207952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EB3AD5">
        <w:rPr>
          <w:rFonts w:ascii="Times New Roman" w:hAnsi="Times New Roman" w:cs="Times New Roman"/>
          <w:b/>
          <w:bCs/>
          <w:color w:val="000000" w:themeColor="text1"/>
        </w:rPr>
        <w:t>Visualization of DAP</w:t>
      </w:r>
      <w:r w:rsidR="00B04641">
        <w:rPr>
          <w:rFonts w:ascii="Times New Roman" w:hAnsi="Times New Roman" w:cs="Times New Roman"/>
          <w:b/>
          <w:bCs/>
          <w:color w:val="000000" w:themeColor="text1"/>
        </w:rPr>
        <w:t xml:space="preserve"> between BCG and </w:t>
      </w:r>
      <w:proofErr w:type="spellStart"/>
      <w:r w:rsidR="00B04641">
        <w:rPr>
          <w:rFonts w:ascii="Times New Roman" w:hAnsi="Times New Roman" w:cs="Times New Roman"/>
          <w:b/>
          <w:bCs/>
          <w:color w:val="000000" w:themeColor="text1"/>
        </w:rPr>
        <w:t>noBCG</w:t>
      </w:r>
      <w:proofErr w:type="spellEnd"/>
      <w:r w:rsidR="00B04641">
        <w:rPr>
          <w:rFonts w:ascii="Times New Roman" w:hAnsi="Times New Roman" w:cs="Times New Roman"/>
          <w:b/>
          <w:bCs/>
          <w:color w:val="000000" w:themeColor="text1"/>
        </w:rPr>
        <w:t xml:space="preserve"> groups</w:t>
      </w:r>
    </w:p>
    <w:p w14:paraId="4268559E" w14:textId="77777777" w:rsidR="00207952" w:rsidRPr="00207952" w:rsidRDefault="00207952" w:rsidP="00207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color w:val="000000" w:themeColor="text1"/>
        </w:rPr>
        <w:t xml:space="preserve">A: Volcano plot displaying log₂ fold change (FC) between BCG and </w:t>
      </w:r>
      <w:proofErr w:type="spellStart"/>
      <w:r w:rsidRPr="00207952">
        <w:rPr>
          <w:rFonts w:ascii="Times New Roman" w:hAnsi="Times New Roman" w:cs="Times New Roman"/>
          <w:color w:val="000000" w:themeColor="text1"/>
        </w:rPr>
        <w:t>noBCG</w:t>
      </w:r>
      <w:proofErr w:type="spellEnd"/>
      <w:r w:rsidRPr="00207952">
        <w:rPr>
          <w:rFonts w:ascii="Times New Roman" w:hAnsi="Times New Roman" w:cs="Times New Roman"/>
          <w:color w:val="000000" w:themeColor="text1"/>
        </w:rPr>
        <w:t xml:space="preserve"> groups on the x-axis and -log₁₀ p-value on the y-axis. Red dots indicate significantly differentially accessible peaks (p &lt; 0.02, |FC| &gt; 1.25) between groups, with labels corresponding to the nearest genes of matching peaks.</w:t>
      </w:r>
    </w:p>
    <w:p w14:paraId="37A96B63" w14:textId="1AEF3F92" w:rsidR="00207952" w:rsidRPr="00207952" w:rsidRDefault="00207952" w:rsidP="00207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color w:val="000000" w:themeColor="text1"/>
        </w:rPr>
        <w:lastRenderedPageBreak/>
        <w:t xml:space="preserve">B: Heatmap of log2(count) values for 4,805 DAPs across samples. Rows are individual DAP, and columns are each sample. Color indicates </w:t>
      </w:r>
      <w:r w:rsidR="00F238A2">
        <w:rPr>
          <w:rFonts w:ascii="Times New Roman" w:hAnsi="Times New Roman" w:cs="Times New Roman"/>
          <w:color w:val="000000" w:themeColor="text1"/>
        </w:rPr>
        <w:t xml:space="preserve">the </w:t>
      </w:r>
      <w:r w:rsidR="003C6A2E">
        <w:rPr>
          <w:rFonts w:ascii="Times New Roman" w:hAnsi="Times New Roman" w:cs="Times New Roman"/>
          <w:color w:val="000000" w:themeColor="text1"/>
        </w:rPr>
        <w:t>count number</w:t>
      </w:r>
      <w:r w:rsidR="00F238A2">
        <w:rPr>
          <w:rFonts w:ascii="Times New Roman" w:hAnsi="Times New Roman" w:cs="Times New Roman"/>
          <w:color w:val="000000" w:themeColor="text1"/>
        </w:rPr>
        <w:t xml:space="preserve"> at </w:t>
      </w:r>
      <w:r w:rsidRPr="00207952">
        <w:rPr>
          <w:rFonts w:ascii="Times New Roman" w:hAnsi="Times New Roman" w:cs="Times New Roman"/>
          <w:color w:val="000000" w:themeColor="text1"/>
        </w:rPr>
        <w:t xml:space="preserve">each DAP. Peaks are ordered from top to bottom by </w:t>
      </w:r>
      <w:r w:rsidR="003650CC">
        <w:rPr>
          <w:rFonts w:ascii="Times New Roman" w:hAnsi="Times New Roman" w:cs="Times New Roman"/>
          <w:color w:val="000000" w:themeColor="text1"/>
        </w:rPr>
        <w:t>in</w:t>
      </w:r>
      <w:r w:rsidRPr="00207952">
        <w:rPr>
          <w:rFonts w:ascii="Times New Roman" w:hAnsi="Times New Roman" w:cs="Times New Roman"/>
          <w:color w:val="000000" w:themeColor="text1"/>
        </w:rPr>
        <w:t xml:space="preserve">creasing </w:t>
      </w:r>
      <w:proofErr w:type="spellStart"/>
      <w:r w:rsidRPr="00207952">
        <w:rPr>
          <w:rFonts w:ascii="Times New Roman" w:hAnsi="Times New Roman" w:cs="Times New Roman"/>
          <w:color w:val="000000" w:themeColor="text1"/>
        </w:rPr>
        <w:t>logFC</w:t>
      </w:r>
      <w:proofErr w:type="spellEnd"/>
      <w:r w:rsidRPr="00207952">
        <w:rPr>
          <w:rFonts w:ascii="Times New Roman" w:hAnsi="Times New Roman" w:cs="Times New Roman"/>
          <w:color w:val="000000" w:themeColor="text1"/>
        </w:rPr>
        <w:t xml:space="preserve"> of BCG/no-BCG peak accessibility.</w:t>
      </w:r>
    </w:p>
    <w:p w14:paraId="2FE56519" w14:textId="77777777" w:rsidR="00207952" w:rsidRDefault="00207952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4FF5C3D" w14:textId="06F0F1AB" w:rsidR="00207952" w:rsidRDefault="00207952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473EA8F" wp14:editId="6B7C1EAF">
            <wp:extent cx="5943600" cy="7132320"/>
            <wp:effectExtent l="0" t="0" r="0" b="5080"/>
            <wp:docPr id="449312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12186" name="Picture 4493121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58F0" w14:textId="2B22F2BA" w:rsidR="00BB41BC" w:rsidRDefault="00BB41BC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b/>
          <w:bCs/>
          <w:color w:val="000000" w:themeColor="text1"/>
        </w:rPr>
        <w:t>Supplementary Figure</w:t>
      </w:r>
      <w:r w:rsidR="00953B6F">
        <w:rPr>
          <w:rFonts w:ascii="Times New Roman" w:hAnsi="Times New Roman" w:cs="Times New Roman"/>
          <w:b/>
          <w:bCs/>
          <w:color w:val="000000" w:themeColor="text1"/>
        </w:rPr>
        <w:t xml:space="preserve"> 4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Characterization of </w:t>
      </w:r>
      <w:r w:rsidR="00845C67">
        <w:rPr>
          <w:rFonts w:ascii="Times New Roman" w:hAnsi="Times New Roman" w:cs="Times New Roman"/>
          <w:b/>
          <w:bCs/>
          <w:color w:val="000000" w:themeColor="text1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</w:rPr>
        <w:t>biological function of DAPs</w:t>
      </w:r>
    </w:p>
    <w:p w14:paraId="59C5BD9F" w14:textId="77777777" w:rsidR="00207952" w:rsidRDefault="00207952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62E28F" w14:textId="77777777" w:rsidR="00207952" w:rsidRPr="00207952" w:rsidRDefault="00207952" w:rsidP="00207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color w:val="000000" w:themeColor="text1"/>
        </w:rPr>
        <w:lastRenderedPageBreak/>
        <w:t>A: Dot plot of -log10(q-value) for all GO terms enriched by nearest genes of DAPs (&lt; 250 kb from TSS). Dot size represents the number of overlapping genes between input genes and the GO term genes. Color indicates -log10(q-value), with darker shades denoting higher enrichment significance.</w:t>
      </w:r>
    </w:p>
    <w:p w14:paraId="7D968EC1" w14:textId="455FCE96" w:rsidR="00207952" w:rsidRPr="00F64C9E" w:rsidRDefault="00207952" w:rsidP="00CB0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07952">
        <w:rPr>
          <w:rFonts w:ascii="Times New Roman" w:hAnsi="Times New Roman" w:cs="Times New Roman"/>
          <w:color w:val="000000" w:themeColor="text1"/>
        </w:rPr>
        <w:t xml:space="preserve">B: </w:t>
      </w:r>
      <w:r w:rsidR="00863A1E" w:rsidRPr="00863A1E">
        <w:rPr>
          <w:rFonts w:ascii="Times New Roman" w:hAnsi="Times New Roman" w:cs="Times New Roman"/>
          <w:color w:val="000000" w:themeColor="text1"/>
        </w:rPr>
        <w:t xml:space="preserve">Transcription factor binding motif enrichment analysis of </w:t>
      </w:r>
      <w:r w:rsidR="00030C5A">
        <w:rPr>
          <w:rFonts w:ascii="Times New Roman" w:hAnsi="Times New Roman" w:cs="Times New Roman"/>
          <w:color w:val="000000" w:themeColor="text1"/>
        </w:rPr>
        <w:t>DAPs</w:t>
      </w:r>
      <w:r w:rsidR="00863A1E" w:rsidRPr="00863A1E">
        <w:rPr>
          <w:rFonts w:ascii="Times New Roman" w:hAnsi="Times New Roman" w:cs="Times New Roman"/>
          <w:color w:val="000000" w:themeColor="text1"/>
        </w:rPr>
        <w:t>. Heatmap shows binding motif enrichment for 74 transcription factors (TFs) across DAP groups. Color intensity represents -log10(q-value) with Benjamini-Hochberg multiple testing correction</w:t>
      </w:r>
      <w:r w:rsidR="00030C5A">
        <w:rPr>
          <w:rFonts w:ascii="Times New Roman" w:hAnsi="Times New Roman" w:cs="Times New Roman"/>
          <w:color w:val="000000" w:themeColor="text1"/>
        </w:rPr>
        <w:t>. D</w:t>
      </w:r>
      <w:r w:rsidR="00863A1E" w:rsidRPr="00863A1E">
        <w:rPr>
          <w:rFonts w:ascii="Times New Roman" w:hAnsi="Times New Roman" w:cs="Times New Roman"/>
          <w:color w:val="000000" w:themeColor="text1"/>
        </w:rPr>
        <w:t>arker colors indicate higher statistical significance. Asterisks (*) denote significantly enriched binding motifs (q &lt; 0.05). TFs are clustered by pattern similarity using Euclidean distance.</w:t>
      </w:r>
    </w:p>
    <w:sectPr w:rsidR="00207952" w:rsidRPr="00F64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6175"/>
    <w:multiLevelType w:val="hybridMultilevel"/>
    <w:tmpl w:val="F2321DF6"/>
    <w:lvl w:ilvl="0" w:tplc="AECE9C76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418FB"/>
    <w:multiLevelType w:val="hybridMultilevel"/>
    <w:tmpl w:val="F3FEEDC0"/>
    <w:lvl w:ilvl="0" w:tplc="B3AC65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553F"/>
    <w:multiLevelType w:val="hybridMultilevel"/>
    <w:tmpl w:val="45D6A478"/>
    <w:lvl w:ilvl="0" w:tplc="C33A238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34CDB"/>
    <w:multiLevelType w:val="hybridMultilevel"/>
    <w:tmpl w:val="76C288F6"/>
    <w:lvl w:ilvl="0" w:tplc="CBF404E0">
      <w:start w:val="1"/>
      <w:numFmt w:val="upperLetter"/>
      <w:lvlText w:val="%1-"/>
      <w:lvlJc w:val="left"/>
      <w:pPr>
        <w:ind w:left="122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464A1E"/>
    <w:multiLevelType w:val="multilevel"/>
    <w:tmpl w:val="5AE8F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169184">
    <w:abstractNumId w:val="4"/>
  </w:num>
  <w:num w:numId="2" w16cid:durableId="1219896593">
    <w:abstractNumId w:val="1"/>
  </w:num>
  <w:num w:numId="3" w16cid:durableId="168520970">
    <w:abstractNumId w:val="3"/>
  </w:num>
  <w:num w:numId="4" w16cid:durableId="1371689564">
    <w:abstractNumId w:val="2"/>
  </w:num>
  <w:num w:numId="5" w16cid:durableId="3797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65"/>
    <w:rsid w:val="00014F3E"/>
    <w:rsid w:val="000159F7"/>
    <w:rsid w:val="0001713A"/>
    <w:rsid w:val="00025A0A"/>
    <w:rsid w:val="00030C5A"/>
    <w:rsid w:val="00035BE5"/>
    <w:rsid w:val="00043C06"/>
    <w:rsid w:val="0004588E"/>
    <w:rsid w:val="00046324"/>
    <w:rsid w:val="00050B18"/>
    <w:rsid w:val="00074046"/>
    <w:rsid w:val="000840C4"/>
    <w:rsid w:val="000B05CA"/>
    <w:rsid w:val="000B1A86"/>
    <w:rsid w:val="000D6743"/>
    <w:rsid w:val="000E32FC"/>
    <w:rsid w:val="000E3C7A"/>
    <w:rsid w:val="00125897"/>
    <w:rsid w:val="001356F7"/>
    <w:rsid w:val="0014455E"/>
    <w:rsid w:val="001746A6"/>
    <w:rsid w:val="00175EF1"/>
    <w:rsid w:val="001767B8"/>
    <w:rsid w:val="00181CC5"/>
    <w:rsid w:val="001933CF"/>
    <w:rsid w:val="00197EDD"/>
    <w:rsid w:val="001A59B8"/>
    <w:rsid w:val="001C7218"/>
    <w:rsid w:val="001D5128"/>
    <w:rsid w:val="001E51B6"/>
    <w:rsid w:val="001E7C31"/>
    <w:rsid w:val="002005C7"/>
    <w:rsid w:val="002011AA"/>
    <w:rsid w:val="00202C7B"/>
    <w:rsid w:val="00207952"/>
    <w:rsid w:val="00216007"/>
    <w:rsid w:val="00220EE5"/>
    <w:rsid w:val="00230680"/>
    <w:rsid w:val="00230D1E"/>
    <w:rsid w:val="00236C5E"/>
    <w:rsid w:val="0026032C"/>
    <w:rsid w:val="002644F3"/>
    <w:rsid w:val="002859C7"/>
    <w:rsid w:val="0029292D"/>
    <w:rsid w:val="002B1042"/>
    <w:rsid w:val="002B4340"/>
    <w:rsid w:val="002D45CC"/>
    <w:rsid w:val="002D5E1A"/>
    <w:rsid w:val="002D7B8F"/>
    <w:rsid w:val="002E6200"/>
    <w:rsid w:val="002F21F1"/>
    <w:rsid w:val="002F34BC"/>
    <w:rsid w:val="00316EEA"/>
    <w:rsid w:val="00336CFA"/>
    <w:rsid w:val="0035351F"/>
    <w:rsid w:val="003576EF"/>
    <w:rsid w:val="003650CC"/>
    <w:rsid w:val="00371564"/>
    <w:rsid w:val="00375401"/>
    <w:rsid w:val="00383772"/>
    <w:rsid w:val="0038780A"/>
    <w:rsid w:val="003A57F9"/>
    <w:rsid w:val="003B4D6E"/>
    <w:rsid w:val="003B7576"/>
    <w:rsid w:val="003C0BCA"/>
    <w:rsid w:val="003C6A2E"/>
    <w:rsid w:val="003D3DDD"/>
    <w:rsid w:val="003E6AB9"/>
    <w:rsid w:val="003F2DD8"/>
    <w:rsid w:val="003F30A8"/>
    <w:rsid w:val="003F62E8"/>
    <w:rsid w:val="00415C84"/>
    <w:rsid w:val="00417663"/>
    <w:rsid w:val="0043021C"/>
    <w:rsid w:val="00430F9C"/>
    <w:rsid w:val="0044763B"/>
    <w:rsid w:val="00452CDC"/>
    <w:rsid w:val="004637F4"/>
    <w:rsid w:val="0047726E"/>
    <w:rsid w:val="0049022E"/>
    <w:rsid w:val="0049299D"/>
    <w:rsid w:val="0049739D"/>
    <w:rsid w:val="004A6950"/>
    <w:rsid w:val="004A7471"/>
    <w:rsid w:val="004C26D4"/>
    <w:rsid w:val="004C5C94"/>
    <w:rsid w:val="004C6469"/>
    <w:rsid w:val="004D0B92"/>
    <w:rsid w:val="004D308B"/>
    <w:rsid w:val="004E4A15"/>
    <w:rsid w:val="00510C04"/>
    <w:rsid w:val="005214B6"/>
    <w:rsid w:val="00527C52"/>
    <w:rsid w:val="00531C26"/>
    <w:rsid w:val="005338F0"/>
    <w:rsid w:val="00533E95"/>
    <w:rsid w:val="0054571A"/>
    <w:rsid w:val="00577E1D"/>
    <w:rsid w:val="00593831"/>
    <w:rsid w:val="005B08F5"/>
    <w:rsid w:val="005B18D9"/>
    <w:rsid w:val="005F774B"/>
    <w:rsid w:val="00612536"/>
    <w:rsid w:val="00614227"/>
    <w:rsid w:val="00624DAF"/>
    <w:rsid w:val="00636FBF"/>
    <w:rsid w:val="00640BAD"/>
    <w:rsid w:val="0064336E"/>
    <w:rsid w:val="006443A3"/>
    <w:rsid w:val="006466F5"/>
    <w:rsid w:val="00647B85"/>
    <w:rsid w:val="00650E14"/>
    <w:rsid w:val="0065155C"/>
    <w:rsid w:val="0066057F"/>
    <w:rsid w:val="0067101A"/>
    <w:rsid w:val="00682C3A"/>
    <w:rsid w:val="006A18F4"/>
    <w:rsid w:val="006B230C"/>
    <w:rsid w:val="006B5F66"/>
    <w:rsid w:val="006B70A9"/>
    <w:rsid w:val="006C2683"/>
    <w:rsid w:val="006E00B6"/>
    <w:rsid w:val="006F1915"/>
    <w:rsid w:val="00701819"/>
    <w:rsid w:val="007318F6"/>
    <w:rsid w:val="007343DB"/>
    <w:rsid w:val="0075449B"/>
    <w:rsid w:val="00772BBD"/>
    <w:rsid w:val="007771E4"/>
    <w:rsid w:val="00781216"/>
    <w:rsid w:val="00793C82"/>
    <w:rsid w:val="007C68B6"/>
    <w:rsid w:val="007D0CFD"/>
    <w:rsid w:val="007D5D21"/>
    <w:rsid w:val="007F3ACA"/>
    <w:rsid w:val="00821030"/>
    <w:rsid w:val="00834190"/>
    <w:rsid w:val="0083430A"/>
    <w:rsid w:val="00845C67"/>
    <w:rsid w:val="008460A4"/>
    <w:rsid w:val="00850AD9"/>
    <w:rsid w:val="008615C3"/>
    <w:rsid w:val="00863A1E"/>
    <w:rsid w:val="00881025"/>
    <w:rsid w:val="008944B9"/>
    <w:rsid w:val="0089783B"/>
    <w:rsid w:val="008A20CC"/>
    <w:rsid w:val="008A552A"/>
    <w:rsid w:val="008A55A8"/>
    <w:rsid w:val="008B3B4B"/>
    <w:rsid w:val="008C360B"/>
    <w:rsid w:val="008C6D02"/>
    <w:rsid w:val="008E1A85"/>
    <w:rsid w:val="008F41F8"/>
    <w:rsid w:val="008F65C7"/>
    <w:rsid w:val="0090759F"/>
    <w:rsid w:val="00927990"/>
    <w:rsid w:val="00947665"/>
    <w:rsid w:val="00951EB5"/>
    <w:rsid w:val="00953B6F"/>
    <w:rsid w:val="00954919"/>
    <w:rsid w:val="00965FD9"/>
    <w:rsid w:val="00992AAE"/>
    <w:rsid w:val="009A15B9"/>
    <w:rsid w:val="009A172B"/>
    <w:rsid w:val="009A67D1"/>
    <w:rsid w:val="009B48E1"/>
    <w:rsid w:val="009B6620"/>
    <w:rsid w:val="009F7426"/>
    <w:rsid w:val="00A02EC3"/>
    <w:rsid w:val="00A055B1"/>
    <w:rsid w:val="00A059C0"/>
    <w:rsid w:val="00A105F6"/>
    <w:rsid w:val="00A10841"/>
    <w:rsid w:val="00A200B0"/>
    <w:rsid w:val="00A23072"/>
    <w:rsid w:val="00A25012"/>
    <w:rsid w:val="00A322D3"/>
    <w:rsid w:val="00A66B5D"/>
    <w:rsid w:val="00A66F5C"/>
    <w:rsid w:val="00A81903"/>
    <w:rsid w:val="00A86366"/>
    <w:rsid w:val="00A8657F"/>
    <w:rsid w:val="00A86D0C"/>
    <w:rsid w:val="00AA2424"/>
    <w:rsid w:val="00AA736C"/>
    <w:rsid w:val="00AB46DB"/>
    <w:rsid w:val="00AB5675"/>
    <w:rsid w:val="00AC52D2"/>
    <w:rsid w:val="00AD2118"/>
    <w:rsid w:val="00AF42DB"/>
    <w:rsid w:val="00B04641"/>
    <w:rsid w:val="00BA3372"/>
    <w:rsid w:val="00BB305E"/>
    <w:rsid w:val="00BB41BC"/>
    <w:rsid w:val="00BC2F0C"/>
    <w:rsid w:val="00BF5DB7"/>
    <w:rsid w:val="00C017F9"/>
    <w:rsid w:val="00C032DE"/>
    <w:rsid w:val="00C04C18"/>
    <w:rsid w:val="00C14A99"/>
    <w:rsid w:val="00C24F10"/>
    <w:rsid w:val="00C42513"/>
    <w:rsid w:val="00C83DF1"/>
    <w:rsid w:val="00C87C4F"/>
    <w:rsid w:val="00CA42C9"/>
    <w:rsid w:val="00CB0846"/>
    <w:rsid w:val="00CE1C46"/>
    <w:rsid w:val="00CE244A"/>
    <w:rsid w:val="00CF3609"/>
    <w:rsid w:val="00D00AAC"/>
    <w:rsid w:val="00D26292"/>
    <w:rsid w:val="00D36279"/>
    <w:rsid w:val="00D41930"/>
    <w:rsid w:val="00D4495A"/>
    <w:rsid w:val="00D5248A"/>
    <w:rsid w:val="00D810E4"/>
    <w:rsid w:val="00D81EF9"/>
    <w:rsid w:val="00D96705"/>
    <w:rsid w:val="00DA5788"/>
    <w:rsid w:val="00DB6949"/>
    <w:rsid w:val="00DB769A"/>
    <w:rsid w:val="00DC41CE"/>
    <w:rsid w:val="00DE1F12"/>
    <w:rsid w:val="00DE6120"/>
    <w:rsid w:val="00DE72FD"/>
    <w:rsid w:val="00E21B86"/>
    <w:rsid w:val="00E2338C"/>
    <w:rsid w:val="00E32720"/>
    <w:rsid w:val="00E33B99"/>
    <w:rsid w:val="00E340C7"/>
    <w:rsid w:val="00E413F5"/>
    <w:rsid w:val="00E51FA8"/>
    <w:rsid w:val="00E63754"/>
    <w:rsid w:val="00E7792D"/>
    <w:rsid w:val="00EA21BC"/>
    <w:rsid w:val="00EB3AD5"/>
    <w:rsid w:val="00ED1EE5"/>
    <w:rsid w:val="00EE3F35"/>
    <w:rsid w:val="00EE4687"/>
    <w:rsid w:val="00EF0671"/>
    <w:rsid w:val="00F238A2"/>
    <w:rsid w:val="00F336AC"/>
    <w:rsid w:val="00F43731"/>
    <w:rsid w:val="00F474CE"/>
    <w:rsid w:val="00F5103E"/>
    <w:rsid w:val="00F64C9E"/>
    <w:rsid w:val="00F71821"/>
    <w:rsid w:val="00F76FF2"/>
    <w:rsid w:val="00F82025"/>
    <w:rsid w:val="00F8202A"/>
    <w:rsid w:val="00F97D10"/>
    <w:rsid w:val="00FA45E7"/>
    <w:rsid w:val="00FA588D"/>
    <w:rsid w:val="00FD040B"/>
    <w:rsid w:val="00FE2230"/>
    <w:rsid w:val="00FE717B"/>
    <w:rsid w:val="00FF046D"/>
    <w:rsid w:val="047037C6"/>
    <w:rsid w:val="10141440"/>
    <w:rsid w:val="27B87F92"/>
    <w:rsid w:val="38E5BC15"/>
    <w:rsid w:val="4C499836"/>
    <w:rsid w:val="4F3B0391"/>
    <w:rsid w:val="580B2F74"/>
    <w:rsid w:val="6A44A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33347"/>
  <w15:chartTrackingRefBased/>
  <w15:docId w15:val="{252BB146-FD4F-214F-9AEA-BED0E90E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665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7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6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7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863A1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3CF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C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Pengxin [BBMBS]</dc:creator>
  <cp:keywords/>
  <dc:description/>
  <cp:lastModifiedBy>Yang, Pengxin</cp:lastModifiedBy>
  <cp:revision>73</cp:revision>
  <cp:lastPrinted>2025-05-08T18:12:00Z</cp:lastPrinted>
  <dcterms:created xsi:type="dcterms:W3CDTF">2025-05-21T17:46:00Z</dcterms:created>
  <dcterms:modified xsi:type="dcterms:W3CDTF">2026-06-08T18:13:00Z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4a7e9335-6f5d-4d17-84c6-74eefd83f4a6</vt:lpwstr>
  </property>
</Properties>
</file>