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6866" w14:textId="048670BF" w:rsidR="00A72D91" w:rsidRPr="00A72D91" w:rsidRDefault="00A72D91" w:rsidP="00A72D91">
      <w:pPr>
        <w:spacing w:line="300" w:lineRule="auto"/>
        <w:ind w:firstLineChars="200" w:firstLine="482"/>
        <w:rPr>
          <w:rFonts w:ascii="Times New Roman" w:eastAsia="宋体" w:hAnsi="Times New Roman" w:cs="Times New Roman"/>
          <w:b/>
          <w:bCs/>
          <w:color w:val="000000"/>
          <w:kern w:val="0"/>
          <w:sz w:val="24"/>
          <w:szCs w:val="24"/>
          <w:lang w:bidi="hi-IN"/>
          <w14:ligatures w14:val="none"/>
        </w:rPr>
      </w:pPr>
      <w:bookmarkStart w:id="0" w:name="OLE_LINK2"/>
      <w:r w:rsidRPr="00A72D91">
        <w:rPr>
          <w:rFonts w:ascii="Times New Roman" w:eastAsia="宋体" w:hAnsi="Times New Roman" w:cs="Times New Roman" w:hint="eastAsia"/>
          <w:b/>
          <w:bCs/>
          <w:color w:val="000000"/>
          <w:kern w:val="0"/>
          <w:sz w:val="24"/>
          <w:szCs w:val="24"/>
          <w:lang w:bidi="hi-IN"/>
          <w14:ligatures w14:val="none"/>
        </w:rPr>
        <w:t>Table S1. PRISMA 2020 Reporting Checklist</w:t>
      </w:r>
    </w:p>
    <w:p w14:paraId="01D8DF82" w14:textId="3917163C" w:rsidR="00A72D91" w:rsidRPr="00A72D91" w:rsidRDefault="00A72D91" w:rsidP="00A72D91">
      <w:pPr>
        <w:spacing w:line="300" w:lineRule="auto"/>
        <w:ind w:firstLineChars="200" w:firstLine="480"/>
        <w:rPr>
          <w:rFonts w:ascii="Times New Roman" w:eastAsia="宋体" w:hAnsi="Times New Roman" w:cs="Times New Roman"/>
          <w:color w:val="000000"/>
          <w:kern w:val="0"/>
          <w:sz w:val="24"/>
          <w:szCs w:val="24"/>
          <w:lang w:bidi="hi-IN"/>
          <w14:ligatures w14:val="none"/>
        </w:rPr>
      </w:pPr>
      <w:r w:rsidRPr="00A72D91">
        <w:rPr>
          <w:rFonts w:ascii="Times New Roman" w:eastAsia="宋体" w:hAnsi="Times New Roman" w:cs="Times New Roman" w:hint="eastAsia"/>
          <w:color w:val="000000"/>
          <w:kern w:val="0"/>
          <w:sz w:val="24"/>
          <w:szCs w:val="24"/>
          <w:lang w:bidi="hi-IN"/>
          <w14:ligatures w14:val="none"/>
        </w:rPr>
        <w:t xml:space="preserve">This checklist is compiled in strict accordance with the </w:t>
      </w:r>
      <w:r w:rsidRPr="00A72D91">
        <w:rPr>
          <w:rFonts w:ascii="Times New Roman" w:eastAsia="宋体" w:hAnsi="Times New Roman" w:cs="Times New Roman" w:hint="eastAsia"/>
          <w:i/>
          <w:iCs/>
          <w:color w:val="000000"/>
          <w:kern w:val="0"/>
          <w:sz w:val="24"/>
          <w:szCs w:val="24"/>
          <w:lang w:bidi="hi-IN"/>
          <w14:ligatures w14:val="none"/>
        </w:rPr>
        <w:t>PRISMA 2020 statement</w:t>
      </w:r>
      <w:r w:rsidRPr="00A72D91">
        <w:rPr>
          <w:rFonts w:ascii="Times New Roman" w:eastAsia="宋体" w:hAnsi="Times New Roman" w:cs="Times New Roman" w:hint="eastAsia"/>
          <w:color w:val="000000"/>
          <w:kern w:val="0"/>
          <w:sz w:val="24"/>
          <w:szCs w:val="24"/>
          <w:lang w:bidi="hi-IN"/>
          <w14:ligatures w14:val="none"/>
        </w:rPr>
        <w:t xml:space="preserve"> (Page et al., 2021) for the manuscript entitled </w:t>
      </w:r>
      <w:proofErr w:type="gramStart"/>
      <w:r w:rsidRPr="00A72D91">
        <w:rPr>
          <w:rFonts w:ascii="Times New Roman" w:eastAsia="宋体" w:hAnsi="Times New Roman" w:cs="Times New Roman" w:hint="eastAsia"/>
          <w:i/>
          <w:iCs/>
          <w:color w:val="000000"/>
          <w:kern w:val="0"/>
          <w:sz w:val="24"/>
          <w:szCs w:val="24"/>
          <w:lang w:bidi="hi-IN"/>
          <w14:ligatures w14:val="none"/>
        </w:rPr>
        <w:t>The</w:t>
      </w:r>
      <w:proofErr w:type="gramEnd"/>
      <w:r w:rsidRPr="00A72D91">
        <w:rPr>
          <w:rFonts w:ascii="Times New Roman" w:eastAsia="宋体" w:hAnsi="Times New Roman" w:cs="Times New Roman" w:hint="eastAsia"/>
          <w:i/>
          <w:iCs/>
          <w:color w:val="000000"/>
          <w:kern w:val="0"/>
          <w:sz w:val="24"/>
          <w:szCs w:val="24"/>
          <w:lang w:bidi="hi-IN"/>
          <w14:ligatures w14:val="none"/>
        </w:rPr>
        <w:t xml:space="preserve"> impact of virtual experiments on students</w:t>
      </w:r>
      <w:r>
        <w:rPr>
          <w:rFonts w:ascii="Times New Roman" w:eastAsia="宋体" w:hAnsi="Times New Roman" w:cs="Times New Roman"/>
          <w:i/>
          <w:iCs/>
          <w:color w:val="000000"/>
          <w:kern w:val="0"/>
          <w:sz w:val="24"/>
          <w:szCs w:val="24"/>
          <w:lang w:bidi="hi-IN"/>
          <w14:ligatures w14:val="none"/>
        </w:rPr>
        <w:t>’</w:t>
      </w:r>
      <w:r w:rsidRPr="00A72D91">
        <w:rPr>
          <w:rFonts w:ascii="Times New Roman" w:eastAsia="宋体" w:hAnsi="Times New Roman" w:cs="Times New Roman" w:hint="eastAsia"/>
          <w:i/>
          <w:iCs/>
          <w:color w:val="000000"/>
          <w:kern w:val="0"/>
          <w:sz w:val="24"/>
          <w:szCs w:val="24"/>
          <w:lang w:bidi="hi-IN"/>
          <w14:ligatures w14:val="none"/>
        </w:rPr>
        <w:t xml:space="preserve"> scientific inquiry skills: Evidence from a three-level meta-analysis</w:t>
      </w:r>
      <w:r w:rsidRPr="00A72D91">
        <w:rPr>
          <w:rFonts w:ascii="Times New Roman" w:eastAsia="宋体" w:hAnsi="Times New Roman" w:cs="Times New Roman" w:hint="eastAsia"/>
          <w:color w:val="000000"/>
          <w:kern w:val="0"/>
          <w:sz w:val="24"/>
          <w:szCs w:val="24"/>
          <w:lang w:bidi="hi-IN"/>
          <w14:ligatures w14:val="none"/>
        </w:rPr>
        <w:t>. It follows the official PRISMA 2020 framework, with all entries cross-checked against the full text of the manuscript and their corresponding reporting locations clearly indicated.</w:t>
      </w:r>
    </w:p>
    <w:p w14:paraId="22B2E0A1" w14:textId="4E999179" w:rsidR="006D3158" w:rsidRPr="00A72D91" w:rsidRDefault="00A72D91" w:rsidP="00A72D91">
      <w:pPr>
        <w:spacing w:line="300" w:lineRule="auto"/>
        <w:ind w:firstLineChars="200" w:firstLine="480"/>
        <w:rPr>
          <w:rFonts w:ascii="Times New Roman" w:eastAsia="宋体" w:hAnsi="Times New Roman" w:cs="Times New Roman"/>
          <w:color w:val="000000"/>
          <w:kern w:val="0"/>
          <w:sz w:val="24"/>
          <w:szCs w:val="24"/>
          <w:lang w:bidi="hi-IN"/>
          <w14:ligatures w14:val="none"/>
        </w:rPr>
      </w:pPr>
      <w:r w:rsidRPr="00A72D91">
        <w:rPr>
          <w:rFonts w:ascii="Times New Roman" w:eastAsia="宋体" w:hAnsi="Times New Roman" w:cs="Times New Roman" w:hint="eastAsia"/>
          <w:color w:val="000000"/>
          <w:kern w:val="0"/>
          <w:sz w:val="24"/>
          <w:szCs w:val="24"/>
          <w:lang w:bidi="hi-IN"/>
          <w14:ligatures w14:val="none"/>
        </w:rPr>
        <w:t>A status of Complete indicates that the corresponding PRISMA requirement is fully and transparently satisfied in the manuscript. A status of Partial indicates that relevant information is available but the full PRISMA reporting standard is not met, typically due to inherent study design characteristics (e.g., absence of a publicly registered study protocol) rather than reporting omissions. Items not explicitly reported in the manuscript are not included in this checklist to ensure strict alignment with the actual content of the manuscript.</w:t>
      </w:r>
    </w:p>
    <w:tbl>
      <w:tblPr>
        <w:tblW w:w="55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5"/>
        <w:gridCol w:w="1441"/>
        <w:gridCol w:w="4659"/>
        <w:gridCol w:w="1418"/>
        <w:gridCol w:w="1080"/>
      </w:tblGrid>
      <w:tr w:rsidR="00A4107B" w:rsidRPr="00577624" w14:paraId="1EC56BEF" w14:textId="77777777" w:rsidTr="00A72D91">
        <w:trPr>
          <w:trHeight w:val="170"/>
          <w:tblHeader/>
          <w:jc w:val="center"/>
        </w:trPr>
        <w:tc>
          <w:tcPr>
            <w:tcW w:w="0" w:type="auto"/>
            <w:tcMar>
              <w:top w:w="120" w:type="dxa"/>
              <w:left w:w="120" w:type="dxa"/>
              <w:bottom w:w="120" w:type="dxa"/>
              <w:right w:w="120" w:type="dxa"/>
            </w:tcMar>
            <w:vAlign w:val="center"/>
            <w:hideMark/>
          </w:tcPr>
          <w:bookmarkEnd w:id="0"/>
          <w:p w14:paraId="64D33E6D" w14:textId="77777777" w:rsidR="00A4107B" w:rsidRPr="00577624" w:rsidRDefault="00A4107B" w:rsidP="00D53BEB">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Item No.</w:t>
            </w:r>
          </w:p>
        </w:tc>
        <w:tc>
          <w:tcPr>
            <w:tcW w:w="768" w:type="pct"/>
            <w:tcMar>
              <w:top w:w="120" w:type="dxa"/>
              <w:left w:w="120" w:type="dxa"/>
              <w:bottom w:w="120" w:type="dxa"/>
              <w:right w:w="120" w:type="dxa"/>
            </w:tcMar>
            <w:vAlign w:val="center"/>
            <w:hideMark/>
          </w:tcPr>
          <w:p w14:paraId="170ECAB8" w14:textId="77777777" w:rsidR="00A4107B" w:rsidRPr="00577624" w:rsidRDefault="00A4107B" w:rsidP="00D53BEB">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PRISMA Item</w:t>
            </w:r>
          </w:p>
        </w:tc>
        <w:tc>
          <w:tcPr>
            <w:tcW w:w="2539" w:type="pct"/>
            <w:tcMar>
              <w:top w:w="120" w:type="dxa"/>
              <w:left w:w="120" w:type="dxa"/>
              <w:bottom w:w="120" w:type="dxa"/>
              <w:right w:w="120" w:type="dxa"/>
            </w:tcMar>
            <w:vAlign w:val="center"/>
            <w:hideMark/>
          </w:tcPr>
          <w:p w14:paraId="2D83B6A2" w14:textId="77777777" w:rsidR="00A4107B" w:rsidRPr="00577624" w:rsidRDefault="00A4107B" w:rsidP="00D53BEB">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Reporting Content</w:t>
            </w:r>
          </w:p>
        </w:tc>
        <w:tc>
          <w:tcPr>
            <w:tcW w:w="769" w:type="pct"/>
            <w:tcMar>
              <w:top w:w="120" w:type="dxa"/>
              <w:left w:w="120" w:type="dxa"/>
              <w:bottom w:w="120" w:type="dxa"/>
              <w:right w:w="120" w:type="dxa"/>
            </w:tcMar>
            <w:vAlign w:val="center"/>
            <w:hideMark/>
          </w:tcPr>
          <w:p w14:paraId="31022AC3" w14:textId="77777777" w:rsidR="00A4107B" w:rsidRPr="00577624" w:rsidRDefault="00A4107B" w:rsidP="00D53BEB">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Location in Manuscript</w:t>
            </w:r>
          </w:p>
        </w:tc>
        <w:tc>
          <w:tcPr>
            <w:tcW w:w="585" w:type="pct"/>
            <w:tcMar>
              <w:top w:w="120" w:type="dxa"/>
              <w:left w:w="120" w:type="dxa"/>
              <w:bottom w:w="120" w:type="dxa"/>
              <w:right w:w="120" w:type="dxa"/>
            </w:tcMar>
            <w:vAlign w:val="center"/>
            <w:hideMark/>
          </w:tcPr>
          <w:p w14:paraId="3B2F4060" w14:textId="77777777" w:rsidR="00A4107B" w:rsidRPr="00577624" w:rsidRDefault="00A4107B" w:rsidP="00D53BEB">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Reporting Status</w:t>
            </w:r>
          </w:p>
        </w:tc>
      </w:tr>
      <w:tr w:rsidR="00A4107B" w:rsidRPr="00577624" w14:paraId="0F5BC386" w14:textId="77777777" w:rsidTr="00A72D91">
        <w:trPr>
          <w:trHeight w:val="170"/>
          <w:jc w:val="center"/>
        </w:trPr>
        <w:tc>
          <w:tcPr>
            <w:tcW w:w="0" w:type="auto"/>
            <w:tcMar>
              <w:top w:w="120" w:type="dxa"/>
              <w:left w:w="120" w:type="dxa"/>
              <w:bottom w:w="120" w:type="dxa"/>
              <w:right w:w="120" w:type="dxa"/>
            </w:tcMar>
            <w:vAlign w:val="center"/>
            <w:hideMark/>
          </w:tcPr>
          <w:p w14:paraId="16CA6720"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w:t>
            </w:r>
          </w:p>
        </w:tc>
        <w:tc>
          <w:tcPr>
            <w:tcW w:w="768" w:type="pct"/>
            <w:tcMar>
              <w:top w:w="120" w:type="dxa"/>
              <w:left w:w="120" w:type="dxa"/>
              <w:bottom w:w="120" w:type="dxa"/>
              <w:right w:w="120" w:type="dxa"/>
            </w:tcMar>
            <w:vAlign w:val="center"/>
            <w:hideMark/>
          </w:tcPr>
          <w:p w14:paraId="6DE2EC0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Title</w:t>
            </w:r>
          </w:p>
        </w:tc>
        <w:tc>
          <w:tcPr>
            <w:tcW w:w="2539" w:type="pct"/>
            <w:tcMar>
              <w:top w:w="120" w:type="dxa"/>
              <w:left w:w="120" w:type="dxa"/>
              <w:bottom w:w="120" w:type="dxa"/>
              <w:right w:w="120" w:type="dxa"/>
            </w:tcMar>
            <w:vAlign w:val="center"/>
            <w:hideMark/>
          </w:tcPr>
          <w:p w14:paraId="358675C1"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The title explicitly identifies the study as a three-level meta-analysis, and clearly specifies the intervention (virtual experiments, VE), comparator (physical experiments, PE), and core outcome (students’ scientific inquiry skills).</w:t>
            </w:r>
          </w:p>
        </w:tc>
        <w:tc>
          <w:tcPr>
            <w:tcW w:w="769" w:type="pct"/>
            <w:tcMar>
              <w:top w:w="120" w:type="dxa"/>
              <w:left w:w="120" w:type="dxa"/>
              <w:bottom w:w="120" w:type="dxa"/>
              <w:right w:w="120" w:type="dxa"/>
            </w:tcMar>
            <w:vAlign w:val="center"/>
            <w:hideMark/>
          </w:tcPr>
          <w:p w14:paraId="02604E73"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Title page</w:t>
            </w:r>
          </w:p>
        </w:tc>
        <w:tc>
          <w:tcPr>
            <w:tcW w:w="585" w:type="pct"/>
            <w:tcMar>
              <w:top w:w="120" w:type="dxa"/>
              <w:left w:w="120" w:type="dxa"/>
              <w:bottom w:w="120" w:type="dxa"/>
              <w:right w:w="120" w:type="dxa"/>
            </w:tcMar>
            <w:vAlign w:val="center"/>
            <w:hideMark/>
          </w:tcPr>
          <w:p w14:paraId="43AE4361"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36354403" w14:textId="77777777" w:rsidTr="00A72D91">
        <w:trPr>
          <w:trHeight w:val="170"/>
          <w:jc w:val="center"/>
        </w:trPr>
        <w:tc>
          <w:tcPr>
            <w:tcW w:w="0" w:type="auto"/>
            <w:tcMar>
              <w:top w:w="120" w:type="dxa"/>
              <w:left w:w="120" w:type="dxa"/>
              <w:bottom w:w="120" w:type="dxa"/>
              <w:right w:w="120" w:type="dxa"/>
            </w:tcMar>
            <w:vAlign w:val="center"/>
            <w:hideMark/>
          </w:tcPr>
          <w:p w14:paraId="4E68A9A5"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2</w:t>
            </w:r>
          </w:p>
        </w:tc>
        <w:tc>
          <w:tcPr>
            <w:tcW w:w="768" w:type="pct"/>
            <w:tcMar>
              <w:top w:w="120" w:type="dxa"/>
              <w:left w:w="120" w:type="dxa"/>
              <w:bottom w:w="120" w:type="dxa"/>
              <w:right w:w="120" w:type="dxa"/>
            </w:tcMar>
            <w:vAlign w:val="center"/>
            <w:hideMark/>
          </w:tcPr>
          <w:p w14:paraId="2041011A"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Abstract</w:t>
            </w:r>
          </w:p>
        </w:tc>
        <w:tc>
          <w:tcPr>
            <w:tcW w:w="2539" w:type="pct"/>
            <w:tcMar>
              <w:top w:w="120" w:type="dxa"/>
              <w:left w:w="120" w:type="dxa"/>
              <w:bottom w:w="120" w:type="dxa"/>
              <w:right w:w="120" w:type="dxa"/>
            </w:tcMar>
            <w:vAlign w:val="center"/>
            <w:hideMark/>
          </w:tcPr>
          <w:p w14:paraId="78D3F3F8"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The abstract presents background, research objectives, methods, core results and conclusions in narrative form. It reports 21 included independent studies, 41 nested effect sizes, a total sample of 3931 participants, a pooled effect of Hedges’ </w:t>
            </w:r>
            <w:r w:rsidRPr="00577624">
              <w:rPr>
                <w:rFonts w:ascii="Times New Roman" w:eastAsia="宋体" w:hAnsi="Times New Roman" w:cs="Times New Roman"/>
                <w:i/>
                <w:iCs/>
                <w:kern w:val="0"/>
                <w:szCs w:val="21"/>
                <w:lang w:bidi="hi-IN"/>
                <w14:ligatures w14:val="none"/>
              </w:rPr>
              <w:t>g</w:t>
            </w:r>
            <w:r w:rsidRPr="00577624">
              <w:rPr>
                <w:rFonts w:ascii="Times New Roman" w:eastAsia="宋体" w:hAnsi="Times New Roman" w:cs="Times New Roman"/>
                <w:kern w:val="0"/>
                <w:szCs w:val="21"/>
                <w:lang w:bidi="hi-IN"/>
                <w14:ligatures w14:val="none"/>
              </w:rPr>
              <w:t xml:space="preserve"> = 0.454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&lt; 0.05), and key findings of moderating effect analyses. It also explicitly states that a three-level meta-analytic model is applied to correct for non-independence bias of effect sizes.</w:t>
            </w:r>
          </w:p>
        </w:tc>
        <w:tc>
          <w:tcPr>
            <w:tcW w:w="769" w:type="pct"/>
            <w:tcMar>
              <w:top w:w="120" w:type="dxa"/>
              <w:left w:w="120" w:type="dxa"/>
              <w:bottom w:w="120" w:type="dxa"/>
              <w:right w:w="120" w:type="dxa"/>
            </w:tcMar>
            <w:vAlign w:val="center"/>
            <w:hideMark/>
          </w:tcPr>
          <w:p w14:paraId="764373C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Abstract section</w:t>
            </w:r>
          </w:p>
        </w:tc>
        <w:tc>
          <w:tcPr>
            <w:tcW w:w="585" w:type="pct"/>
            <w:tcMar>
              <w:top w:w="120" w:type="dxa"/>
              <w:left w:w="120" w:type="dxa"/>
              <w:bottom w:w="120" w:type="dxa"/>
              <w:right w:w="120" w:type="dxa"/>
            </w:tcMar>
            <w:vAlign w:val="center"/>
            <w:hideMark/>
          </w:tcPr>
          <w:p w14:paraId="14BD1E0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6C8784B4" w14:textId="77777777" w:rsidTr="00A72D91">
        <w:trPr>
          <w:trHeight w:val="170"/>
          <w:jc w:val="center"/>
        </w:trPr>
        <w:tc>
          <w:tcPr>
            <w:tcW w:w="0" w:type="auto"/>
            <w:tcMar>
              <w:top w:w="120" w:type="dxa"/>
              <w:left w:w="120" w:type="dxa"/>
              <w:bottom w:w="120" w:type="dxa"/>
              <w:right w:w="120" w:type="dxa"/>
            </w:tcMar>
            <w:vAlign w:val="center"/>
            <w:hideMark/>
          </w:tcPr>
          <w:p w14:paraId="347F08A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3</w:t>
            </w:r>
          </w:p>
        </w:tc>
        <w:tc>
          <w:tcPr>
            <w:tcW w:w="768" w:type="pct"/>
            <w:tcMar>
              <w:top w:w="120" w:type="dxa"/>
              <w:left w:w="120" w:type="dxa"/>
              <w:bottom w:w="120" w:type="dxa"/>
              <w:right w:w="120" w:type="dxa"/>
            </w:tcMar>
            <w:vAlign w:val="center"/>
            <w:hideMark/>
          </w:tcPr>
          <w:p w14:paraId="087B8ED1"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Rationale</w:t>
            </w:r>
          </w:p>
        </w:tc>
        <w:tc>
          <w:tcPr>
            <w:tcW w:w="2539" w:type="pct"/>
            <w:tcMar>
              <w:top w:w="120" w:type="dxa"/>
              <w:left w:w="120" w:type="dxa"/>
              <w:bottom w:w="120" w:type="dxa"/>
              <w:right w:w="120" w:type="dxa"/>
            </w:tcMar>
            <w:vAlign w:val="center"/>
            <w:hideMark/>
          </w:tcPr>
          <w:p w14:paraId="0722987C"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The introduction systematically elaborates three key research gaps in the field: (1) empirical findings on the effects of VE versus PE on scientific inquiry skills have long been inconsistent; (2) existing meta-analyses mostly rely on conventional two-level models, ignoring the nested dependency of effect sizes and leading to biased statistical inference; (3) a single theory (Cognitive Load Theory or Embodied Cognition Theory) cannot fully explain the effect </w:t>
            </w:r>
            <w:r w:rsidRPr="00577624">
              <w:rPr>
                <w:rFonts w:ascii="Times New Roman" w:eastAsia="宋体" w:hAnsi="Times New Roman" w:cs="Times New Roman"/>
                <w:kern w:val="0"/>
                <w:szCs w:val="21"/>
                <w:lang w:bidi="hi-IN"/>
                <w14:ligatures w14:val="none"/>
              </w:rPr>
              <w:lastRenderedPageBreak/>
              <w:t>differentiation between virtual and physical experiments. It clearly points out the lack of high-quality three-level meta-analytic evidence focusing on scientific inquiry skills with pure PE as the control group.</w:t>
            </w:r>
          </w:p>
        </w:tc>
        <w:tc>
          <w:tcPr>
            <w:tcW w:w="769" w:type="pct"/>
            <w:tcMar>
              <w:top w:w="120" w:type="dxa"/>
              <w:left w:w="120" w:type="dxa"/>
              <w:bottom w:w="120" w:type="dxa"/>
              <w:right w:w="120" w:type="dxa"/>
            </w:tcMar>
            <w:vAlign w:val="center"/>
            <w:hideMark/>
          </w:tcPr>
          <w:p w14:paraId="5540752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lastRenderedPageBreak/>
              <w:t>Section 1 (Introduction)</w:t>
            </w:r>
          </w:p>
        </w:tc>
        <w:tc>
          <w:tcPr>
            <w:tcW w:w="585" w:type="pct"/>
            <w:tcMar>
              <w:top w:w="120" w:type="dxa"/>
              <w:left w:w="120" w:type="dxa"/>
              <w:bottom w:w="120" w:type="dxa"/>
              <w:right w:w="120" w:type="dxa"/>
            </w:tcMar>
            <w:vAlign w:val="center"/>
            <w:hideMark/>
          </w:tcPr>
          <w:p w14:paraId="24DA7A03"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697A376D" w14:textId="77777777" w:rsidTr="00A72D91">
        <w:trPr>
          <w:trHeight w:val="170"/>
          <w:jc w:val="center"/>
        </w:trPr>
        <w:tc>
          <w:tcPr>
            <w:tcW w:w="0" w:type="auto"/>
            <w:tcMar>
              <w:top w:w="120" w:type="dxa"/>
              <w:left w:w="120" w:type="dxa"/>
              <w:bottom w:w="120" w:type="dxa"/>
              <w:right w:w="120" w:type="dxa"/>
            </w:tcMar>
            <w:vAlign w:val="center"/>
            <w:hideMark/>
          </w:tcPr>
          <w:p w14:paraId="25FACF6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4</w:t>
            </w:r>
          </w:p>
        </w:tc>
        <w:tc>
          <w:tcPr>
            <w:tcW w:w="768" w:type="pct"/>
            <w:tcMar>
              <w:top w:w="120" w:type="dxa"/>
              <w:left w:w="120" w:type="dxa"/>
              <w:bottom w:w="120" w:type="dxa"/>
              <w:right w:w="120" w:type="dxa"/>
            </w:tcMar>
            <w:vAlign w:val="center"/>
            <w:hideMark/>
          </w:tcPr>
          <w:p w14:paraId="21F34603"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Objectives</w:t>
            </w:r>
          </w:p>
        </w:tc>
        <w:tc>
          <w:tcPr>
            <w:tcW w:w="2539" w:type="pct"/>
            <w:tcMar>
              <w:top w:w="120" w:type="dxa"/>
              <w:left w:w="120" w:type="dxa"/>
              <w:bottom w:w="120" w:type="dxa"/>
              <w:right w:w="120" w:type="dxa"/>
            </w:tcMar>
            <w:vAlign w:val="center"/>
            <w:hideMark/>
          </w:tcPr>
          <w:p w14:paraId="0CD19F49" w14:textId="2DE73221"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Primary objective: to systematically compare the relative intervention effect of VE versus PE on students’ scientific inquiry skills. Secondary objective: to explore the moderating roles of four variables—educational level, subject type, intervention duration, and inquiry skill dimension. Three specific research questions are proposed, and all moderating effect analyses are explicitly positioned as exploratory.</w:t>
            </w:r>
          </w:p>
        </w:tc>
        <w:tc>
          <w:tcPr>
            <w:tcW w:w="769" w:type="pct"/>
            <w:tcMar>
              <w:top w:w="120" w:type="dxa"/>
              <w:left w:w="120" w:type="dxa"/>
              <w:bottom w:w="120" w:type="dxa"/>
              <w:right w:w="120" w:type="dxa"/>
            </w:tcMar>
            <w:vAlign w:val="center"/>
            <w:hideMark/>
          </w:tcPr>
          <w:p w14:paraId="60D85DDA"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End of Section 1</w:t>
            </w:r>
          </w:p>
        </w:tc>
        <w:tc>
          <w:tcPr>
            <w:tcW w:w="585" w:type="pct"/>
            <w:tcMar>
              <w:top w:w="120" w:type="dxa"/>
              <w:left w:w="120" w:type="dxa"/>
              <w:bottom w:w="120" w:type="dxa"/>
              <w:right w:w="120" w:type="dxa"/>
            </w:tcMar>
            <w:vAlign w:val="center"/>
            <w:hideMark/>
          </w:tcPr>
          <w:p w14:paraId="6795661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006C2F78" w14:textId="77777777" w:rsidTr="00A72D91">
        <w:trPr>
          <w:trHeight w:val="170"/>
          <w:jc w:val="center"/>
        </w:trPr>
        <w:tc>
          <w:tcPr>
            <w:tcW w:w="0" w:type="auto"/>
            <w:tcMar>
              <w:top w:w="120" w:type="dxa"/>
              <w:left w:w="120" w:type="dxa"/>
              <w:bottom w:w="120" w:type="dxa"/>
              <w:right w:w="120" w:type="dxa"/>
            </w:tcMar>
            <w:vAlign w:val="center"/>
            <w:hideMark/>
          </w:tcPr>
          <w:p w14:paraId="10AD3DD9"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5</w:t>
            </w:r>
          </w:p>
        </w:tc>
        <w:tc>
          <w:tcPr>
            <w:tcW w:w="768" w:type="pct"/>
            <w:tcMar>
              <w:top w:w="120" w:type="dxa"/>
              <w:left w:w="120" w:type="dxa"/>
              <w:bottom w:w="120" w:type="dxa"/>
              <w:right w:w="120" w:type="dxa"/>
            </w:tcMar>
            <w:vAlign w:val="center"/>
            <w:hideMark/>
          </w:tcPr>
          <w:p w14:paraId="612A5ADD"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Protocol and registration</w:t>
            </w:r>
          </w:p>
        </w:tc>
        <w:tc>
          <w:tcPr>
            <w:tcW w:w="2539" w:type="pct"/>
            <w:tcMar>
              <w:top w:w="120" w:type="dxa"/>
              <w:left w:w="120" w:type="dxa"/>
              <w:bottom w:w="120" w:type="dxa"/>
              <w:right w:w="120" w:type="dxa"/>
            </w:tcMar>
            <w:vAlign w:val="center"/>
            <w:hideMark/>
          </w:tcPr>
          <w:p w14:paraId="30ECB07F"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No pre-registration of the study protocol was conducted on public platforms such as PROSPERO or OSF. Core eligibility criteria and statistical analysis frameworks were initially developed before literature searching. Minor adjustments to database scope and inclusion details during the search phase were all completed prior to effect size extraction and formal statistical analysis, as confirmed by the authors.</w:t>
            </w:r>
          </w:p>
        </w:tc>
        <w:tc>
          <w:tcPr>
            <w:tcW w:w="769" w:type="pct"/>
            <w:tcMar>
              <w:top w:w="120" w:type="dxa"/>
              <w:left w:w="120" w:type="dxa"/>
              <w:bottom w:w="120" w:type="dxa"/>
              <w:right w:w="120" w:type="dxa"/>
            </w:tcMar>
            <w:vAlign w:val="center"/>
            <w:hideMark/>
          </w:tcPr>
          <w:p w14:paraId="033BB44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Opening of Section 2 (Methods)</w:t>
            </w:r>
          </w:p>
        </w:tc>
        <w:tc>
          <w:tcPr>
            <w:tcW w:w="585" w:type="pct"/>
            <w:tcMar>
              <w:top w:w="120" w:type="dxa"/>
              <w:left w:w="120" w:type="dxa"/>
              <w:bottom w:w="120" w:type="dxa"/>
              <w:right w:w="120" w:type="dxa"/>
            </w:tcMar>
            <w:vAlign w:val="center"/>
            <w:hideMark/>
          </w:tcPr>
          <w:p w14:paraId="2480E8B5"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Partial</w:t>
            </w:r>
          </w:p>
        </w:tc>
      </w:tr>
      <w:tr w:rsidR="00A4107B" w:rsidRPr="00577624" w14:paraId="14C57138" w14:textId="77777777" w:rsidTr="00A72D91">
        <w:trPr>
          <w:trHeight w:val="170"/>
          <w:jc w:val="center"/>
        </w:trPr>
        <w:tc>
          <w:tcPr>
            <w:tcW w:w="0" w:type="auto"/>
            <w:tcMar>
              <w:top w:w="120" w:type="dxa"/>
              <w:left w:w="120" w:type="dxa"/>
              <w:bottom w:w="120" w:type="dxa"/>
              <w:right w:w="120" w:type="dxa"/>
            </w:tcMar>
            <w:vAlign w:val="center"/>
            <w:hideMark/>
          </w:tcPr>
          <w:p w14:paraId="5165AC31"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6</w:t>
            </w:r>
          </w:p>
        </w:tc>
        <w:tc>
          <w:tcPr>
            <w:tcW w:w="768" w:type="pct"/>
            <w:tcMar>
              <w:top w:w="120" w:type="dxa"/>
              <w:left w:w="120" w:type="dxa"/>
              <w:bottom w:w="120" w:type="dxa"/>
              <w:right w:w="120" w:type="dxa"/>
            </w:tcMar>
            <w:vAlign w:val="center"/>
            <w:hideMark/>
          </w:tcPr>
          <w:p w14:paraId="448BA3FA"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Eligibility criteria</w:t>
            </w:r>
          </w:p>
        </w:tc>
        <w:tc>
          <w:tcPr>
            <w:tcW w:w="2539" w:type="pct"/>
            <w:tcMar>
              <w:top w:w="120" w:type="dxa"/>
              <w:left w:w="120" w:type="dxa"/>
              <w:bottom w:w="120" w:type="dxa"/>
              <w:right w:w="120" w:type="dxa"/>
            </w:tcMar>
            <w:vAlign w:val="center"/>
            <w:hideMark/>
          </w:tcPr>
          <w:p w14:paraId="3C1E7A66"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Eligibility is strictly defined following the PICOS framework:</w:t>
            </w:r>
          </w:p>
          <w:p w14:paraId="784A66F4" w14:textId="444CD382"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Population: Full-time students across all educational levels (primary to university) in formal natural science experiment teaching scenarios (physics, chemistry, biology, integrated science);</w:t>
            </w:r>
          </w:p>
          <w:p w14:paraId="595C9EEB" w14:textId="066B368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Intervention: Experimental group receives pure virtual experiment instruction;</w:t>
            </w:r>
          </w:p>
          <w:p w14:paraId="51497603" w14:textId="51ADBC0F"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Comparator: Control group receives pure physical experiment instruction with identical teaching content, duration and task load, with baseline equivalence between groups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&gt; 0.05);</w:t>
            </w:r>
          </w:p>
          <w:p w14:paraId="0A41265D" w14:textId="5A1C2FE9"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Outcome: Validated quantitative assessment tools for scientific inquiry skills (scales or dimensional scores with established reliability and validity);</w:t>
            </w:r>
          </w:p>
          <w:p w14:paraId="00696607" w14:textId="34AFE756"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Study design: Randomized controlled trials (RCTs) and quasi-experimental studies (QES).</w:t>
            </w:r>
          </w:p>
          <w:p w14:paraId="667BBC69"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Inclusion scope: English peer-reviewed literature published from January 2000 to December 2025. Studies with virtual-physical integrated intervention, no PE control group, duplicate publication, insufficient effect size statistics, and grey literature are explicitly excluded.</w:t>
            </w:r>
          </w:p>
        </w:tc>
        <w:tc>
          <w:tcPr>
            <w:tcW w:w="769" w:type="pct"/>
            <w:tcMar>
              <w:top w:w="120" w:type="dxa"/>
              <w:left w:w="120" w:type="dxa"/>
              <w:bottom w:w="120" w:type="dxa"/>
              <w:right w:w="120" w:type="dxa"/>
            </w:tcMar>
            <w:vAlign w:val="center"/>
            <w:hideMark/>
          </w:tcPr>
          <w:p w14:paraId="33F7E5E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2.2</w:t>
            </w:r>
          </w:p>
        </w:tc>
        <w:tc>
          <w:tcPr>
            <w:tcW w:w="585" w:type="pct"/>
            <w:tcMar>
              <w:top w:w="120" w:type="dxa"/>
              <w:left w:w="120" w:type="dxa"/>
              <w:bottom w:w="120" w:type="dxa"/>
              <w:right w:w="120" w:type="dxa"/>
            </w:tcMar>
            <w:vAlign w:val="center"/>
            <w:hideMark/>
          </w:tcPr>
          <w:p w14:paraId="483AD9E1"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086B9CBB" w14:textId="77777777" w:rsidTr="00A72D91">
        <w:trPr>
          <w:trHeight w:val="170"/>
          <w:jc w:val="center"/>
        </w:trPr>
        <w:tc>
          <w:tcPr>
            <w:tcW w:w="0" w:type="auto"/>
            <w:tcMar>
              <w:top w:w="120" w:type="dxa"/>
              <w:left w:w="120" w:type="dxa"/>
              <w:bottom w:w="120" w:type="dxa"/>
              <w:right w:w="120" w:type="dxa"/>
            </w:tcMar>
            <w:vAlign w:val="center"/>
            <w:hideMark/>
          </w:tcPr>
          <w:p w14:paraId="75953B1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7</w:t>
            </w:r>
          </w:p>
        </w:tc>
        <w:tc>
          <w:tcPr>
            <w:tcW w:w="768" w:type="pct"/>
            <w:tcMar>
              <w:top w:w="120" w:type="dxa"/>
              <w:left w:w="120" w:type="dxa"/>
              <w:bottom w:w="120" w:type="dxa"/>
              <w:right w:w="120" w:type="dxa"/>
            </w:tcMar>
            <w:vAlign w:val="center"/>
            <w:hideMark/>
          </w:tcPr>
          <w:p w14:paraId="7908178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Information sources</w:t>
            </w:r>
          </w:p>
        </w:tc>
        <w:tc>
          <w:tcPr>
            <w:tcW w:w="2539" w:type="pct"/>
            <w:tcMar>
              <w:top w:w="120" w:type="dxa"/>
              <w:left w:w="120" w:type="dxa"/>
              <w:bottom w:w="120" w:type="dxa"/>
              <w:right w:w="120" w:type="dxa"/>
            </w:tcMar>
            <w:vAlign w:val="center"/>
            <w:hideMark/>
          </w:tcPr>
          <w:p w14:paraId="467C595C"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Five major international academic databases were searched: Springer Link, Web of Science, EBSCO, Scopus, and Google Scholar. The search was supplemented by backward reference snowballing and forward citation tracking. The search was conducted from March 1, 2026 to April 1, 2026.</w:t>
            </w:r>
          </w:p>
        </w:tc>
        <w:tc>
          <w:tcPr>
            <w:tcW w:w="769" w:type="pct"/>
            <w:tcMar>
              <w:top w:w="120" w:type="dxa"/>
              <w:left w:w="120" w:type="dxa"/>
              <w:bottom w:w="120" w:type="dxa"/>
              <w:right w:w="120" w:type="dxa"/>
            </w:tcMar>
            <w:vAlign w:val="center"/>
            <w:hideMark/>
          </w:tcPr>
          <w:p w14:paraId="2B7CEFD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2.3</w:t>
            </w:r>
          </w:p>
        </w:tc>
        <w:tc>
          <w:tcPr>
            <w:tcW w:w="585" w:type="pct"/>
            <w:tcMar>
              <w:top w:w="120" w:type="dxa"/>
              <w:left w:w="120" w:type="dxa"/>
              <w:bottom w:w="120" w:type="dxa"/>
              <w:right w:w="120" w:type="dxa"/>
            </w:tcMar>
            <w:vAlign w:val="center"/>
            <w:hideMark/>
          </w:tcPr>
          <w:p w14:paraId="730B027E"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336E9227" w14:textId="77777777" w:rsidTr="00A72D91">
        <w:trPr>
          <w:trHeight w:val="170"/>
          <w:jc w:val="center"/>
        </w:trPr>
        <w:tc>
          <w:tcPr>
            <w:tcW w:w="0" w:type="auto"/>
            <w:tcMar>
              <w:top w:w="120" w:type="dxa"/>
              <w:left w:w="120" w:type="dxa"/>
              <w:bottom w:w="120" w:type="dxa"/>
              <w:right w:w="120" w:type="dxa"/>
            </w:tcMar>
            <w:vAlign w:val="center"/>
            <w:hideMark/>
          </w:tcPr>
          <w:p w14:paraId="23685647"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8</w:t>
            </w:r>
          </w:p>
        </w:tc>
        <w:tc>
          <w:tcPr>
            <w:tcW w:w="768" w:type="pct"/>
            <w:tcMar>
              <w:top w:w="120" w:type="dxa"/>
              <w:left w:w="120" w:type="dxa"/>
              <w:bottom w:w="120" w:type="dxa"/>
              <w:right w:w="120" w:type="dxa"/>
            </w:tcMar>
            <w:vAlign w:val="center"/>
            <w:hideMark/>
          </w:tcPr>
          <w:p w14:paraId="74C298F0"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Search strategy</w:t>
            </w:r>
          </w:p>
        </w:tc>
        <w:tc>
          <w:tcPr>
            <w:tcW w:w="2539" w:type="pct"/>
            <w:tcMar>
              <w:top w:w="120" w:type="dxa"/>
              <w:left w:w="120" w:type="dxa"/>
              <w:bottom w:w="120" w:type="dxa"/>
              <w:right w:w="120" w:type="dxa"/>
            </w:tcMar>
            <w:vAlign w:val="center"/>
            <w:hideMark/>
          </w:tcPr>
          <w:p w14:paraId="68722366"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The search strategy was constructed around core variables: (virtual experiment OR virtual lab OR computer simulation) AND (hands-on experiment OR physical lab) AND (scientific inquiry skills OR experimental ability). Synonyms were supplemented with reference to the ERIC Thesaurus, using Boolean logic and truncation, with search fields restricted to title/abstract/keyword. The initial search yielded 2810 potentially relevant records.</w:t>
            </w:r>
          </w:p>
        </w:tc>
        <w:tc>
          <w:tcPr>
            <w:tcW w:w="769" w:type="pct"/>
            <w:tcMar>
              <w:top w:w="120" w:type="dxa"/>
              <w:left w:w="120" w:type="dxa"/>
              <w:bottom w:w="120" w:type="dxa"/>
              <w:right w:w="120" w:type="dxa"/>
            </w:tcMar>
            <w:vAlign w:val="center"/>
            <w:hideMark/>
          </w:tcPr>
          <w:p w14:paraId="7DC4F5C3"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2.3</w:t>
            </w:r>
          </w:p>
        </w:tc>
        <w:tc>
          <w:tcPr>
            <w:tcW w:w="585" w:type="pct"/>
            <w:tcMar>
              <w:top w:w="120" w:type="dxa"/>
              <w:left w:w="120" w:type="dxa"/>
              <w:bottom w:w="120" w:type="dxa"/>
              <w:right w:w="120" w:type="dxa"/>
            </w:tcMar>
            <w:vAlign w:val="center"/>
            <w:hideMark/>
          </w:tcPr>
          <w:p w14:paraId="081547C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777572B1" w14:textId="77777777" w:rsidTr="00A72D91">
        <w:trPr>
          <w:trHeight w:val="170"/>
          <w:jc w:val="center"/>
        </w:trPr>
        <w:tc>
          <w:tcPr>
            <w:tcW w:w="0" w:type="auto"/>
            <w:tcMar>
              <w:top w:w="120" w:type="dxa"/>
              <w:left w:w="120" w:type="dxa"/>
              <w:bottom w:w="120" w:type="dxa"/>
              <w:right w:w="120" w:type="dxa"/>
            </w:tcMar>
            <w:vAlign w:val="center"/>
            <w:hideMark/>
          </w:tcPr>
          <w:p w14:paraId="33E9B03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9</w:t>
            </w:r>
          </w:p>
        </w:tc>
        <w:tc>
          <w:tcPr>
            <w:tcW w:w="768" w:type="pct"/>
            <w:tcMar>
              <w:top w:w="120" w:type="dxa"/>
              <w:left w:w="120" w:type="dxa"/>
              <w:bottom w:w="120" w:type="dxa"/>
              <w:right w:w="120" w:type="dxa"/>
            </w:tcMar>
            <w:vAlign w:val="center"/>
            <w:hideMark/>
          </w:tcPr>
          <w:p w14:paraId="271B1EB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Selection process</w:t>
            </w:r>
          </w:p>
        </w:tc>
        <w:tc>
          <w:tcPr>
            <w:tcW w:w="2539" w:type="pct"/>
            <w:tcMar>
              <w:top w:w="120" w:type="dxa"/>
              <w:left w:w="120" w:type="dxa"/>
              <w:bottom w:w="120" w:type="dxa"/>
              <w:right w:w="120" w:type="dxa"/>
            </w:tcMar>
            <w:vAlign w:val="center"/>
            <w:hideMark/>
          </w:tcPr>
          <w:p w14:paraId="5675B39C" w14:textId="075CEAF8"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A standardized four-stage screening process was adopted: automatic deduplication → title/abstract screening → full-text screening → final inclusion. Screening was performed independently by two researchers trained in meta-analysis standards, with disagreements resolved via third-party expert arbitration. Inter-rater reliability for study screening: Cohen’s </w:t>
            </w:r>
            <w:r w:rsidR="00577624">
              <w:rPr>
                <w:rFonts w:ascii="Times New Roman" w:eastAsia="宋体" w:hAnsi="Times New Roman" w:cs="Times New Roman" w:hint="eastAsia"/>
                <w:kern w:val="0"/>
                <w:szCs w:val="21"/>
                <w:lang w:bidi="hi-IN"/>
                <w14:ligatures w14:val="none"/>
              </w:rPr>
              <w:t>kappa</w:t>
            </w:r>
            <w:r w:rsidRPr="00577624">
              <w:rPr>
                <w:rFonts w:ascii="Times New Roman" w:eastAsia="宋体" w:hAnsi="Times New Roman" w:cs="Times New Roman"/>
                <w:kern w:val="0"/>
                <w:szCs w:val="21"/>
                <w:lang w:bidi="hi-IN"/>
                <w14:ligatures w14:val="none"/>
              </w:rPr>
              <w:t xml:space="preserve"> = 0.896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&lt; 0.001). References were managed via EndNote 20, combining automatic deduplication and manual verification. Screening flow: 2810 initial records → 2302 after deduplication → 2214 excluded at title/abstract stage → 88 articles assessed for full-text eligibility → 21 studies finally included.</w:t>
            </w:r>
          </w:p>
        </w:tc>
        <w:tc>
          <w:tcPr>
            <w:tcW w:w="769" w:type="pct"/>
            <w:tcMar>
              <w:top w:w="120" w:type="dxa"/>
              <w:left w:w="120" w:type="dxa"/>
              <w:bottom w:w="120" w:type="dxa"/>
              <w:right w:w="120" w:type="dxa"/>
            </w:tcMar>
            <w:vAlign w:val="center"/>
            <w:hideMark/>
          </w:tcPr>
          <w:p w14:paraId="7C7847CD"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2.4; Figure 2 (PRISMA Flow Diagram)</w:t>
            </w:r>
          </w:p>
        </w:tc>
        <w:tc>
          <w:tcPr>
            <w:tcW w:w="585" w:type="pct"/>
            <w:tcMar>
              <w:top w:w="120" w:type="dxa"/>
              <w:left w:w="120" w:type="dxa"/>
              <w:bottom w:w="120" w:type="dxa"/>
              <w:right w:w="120" w:type="dxa"/>
            </w:tcMar>
            <w:vAlign w:val="center"/>
            <w:hideMark/>
          </w:tcPr>
          <w:p w14:paraId="2D67856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55B625D2" w14:textId="77777777" w:rsidTr="00A72D91">
        <w:trPr>
          <w:trHeight w:val="170"/>
          <w:jc w:val="center"/>
        </w:trPr>
        <w:tc>
          <w:tcPr>
            <w:tcW w:w="0" w:type="auto"/>
            <w:tcMar>
              <w:top w:w="120" w:type="dxa"/>
              <w:left w:w="120" w:type="dxa"/>
              <w:bottom w:w="120" w:type="dxa"/>
              <w:right w:w="120" w:type="dxa"/>
            </w:tcMar>
            <w:vAlign w:val="center"/>
            <w:hideMark/>
          </w:tcPr>
          <w:p w14:paraId="6FBDEBEE"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10</w:t>
            </w:r>
          </w:p>
        </w:tc>
        <w:tc>
          <w:tcPr>
            <w:tcW w:w="768" w:type="pct"/>
            <w:tcMar>
              <w:top w:w="120" w:type="dxa"/>
              <w:left w:w="120" w:type="dxa"/>
              <w:bottom w:w="120" w:type="dxa"/>
              <w:right w:w="120" w:type="dxa"/>
            </w:tcMar>
            <w:vAlign w:val="center"/>
            <w:hideMark/>
          </w:tcPr>
          <w:p w14:paraId="6410FE9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Data collection process</w:t>
            </w:r>
          </w:p>
        </w:tc>
        <w:tc>
          <w:tcPr>
            <w:tcW w:w="2539" w:type="pct"/>
            <w:tcMar>
              <w:top w:w="120" w:type="dxa"/>
              <w:left w:w="120" w:type="dxa"/>
              <w:bottom w:w="120" w:type="dxa"/>
              <w:right w:w="120" w:type="dxa"/>
            </w:tcMar>
            <w:vAlign w:val="center"/>
            <w:hideMark/>
          </w:tcPr>
          <w:p w14:paraId="7B0323A4" w14:textId="2B6D4D3F"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A unified coding manual was developed following the meta-analysis coding standards proposed by Card (2015). Two independent coders performed data extraction after standardized training, with inter-rater reliability Cohen’s </w:t>
            </w:r>
            <w:r w:rsidR="00577624">
              <w:rPr>
                <w:rFonts w:ascii="Times New Roman" w:eastAsia="宋体" w:hAnsi="Times New Roman" w:cs="Times New Roman" w:hint="eastAsia"/>
                <w:kern w:val="0"/>
                <w:szCs w:val="21"/>
                <w:lang w:bidi="hi-IN"/>
                <w14:ligatures w14:val="none"/>
              </w:rPr>
              <w:t>kappa</w:t>
            </w:r>
            <w:r w:rsidRPr="00577624">
              <w:rPr>
                <w:rFonts w:ascii="Times New Roman" w:eastAsia="宋体" w:hAnsi="Times New Roman" w:cs="Times New Roman"/>
                <w:kern w:val="0"/>
                <w:szCs w:val="21"/>
                <w:lang w:bidi="hi-IN"/>
                <w14:ligatures w14:val="none"/>
              </w:rPr>
              <w:t xml:space="preserve"> = 0.891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&lt; 0.001). Coding disagreements were resolved through third-party arbitration. No attempts were made to contact original authors for missing data. All included studies contained sufficient statistical information for effect size calculation, and no data imputation was performed.</w:t>
            </w:r>
          </w:p>
        </w:tc>
        <w:tc>
          <w:tcPr>
            <w:tcW w:w="769" w:type="pct"/>
            <w:tcMar>
              <w:top w:w="120" w:type="dxa"/>
              <w:left w:w="120" w:type="dxa"/>
              <w:bottom w:w="120" w:type="dxa"/>
              <w:right w:w="120" w:type="dxa"/>
            </w:tcMar>
            <w:vAlign w:val="center"/>
            <w:hideMark/>
          </w:tcPr>
          <w:p w14:paraId="427B4D67"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2.5</w:t>
            </w:r>
          </w:p>
        </w:tc>
        <w:tc>
          <w:tcPr>
            <w:tcW w:w="585" w:type="pct"/>
            <w:tcMar>
              <w:top w:w="120" w:type="dxa"/>
              <w:left w:w="120" w:type="dxa"/>
              <w:bottom w:w="120" w:type="dxa"/>
              <w:right w:w="120" w:type="dxa"/>
            </w:tcMar>
            <w:vAlign w:val="center"/>
            <w:hideMark/>
          </w:tcPr>
          <w:p w14:paraId="0F5547F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554EBB04" w14:textId="77777777" w:rsidTr="00A72D91">
        <w:trPr>
          <w:trHeight w:val="170"/>
          <w:jc w:val="center"/>
        </w:trPr>
        <w:tc>
          <w:tcPr>
            <w:tcW w:w="0" w:type="auto"/>
            <w:tcMar>
              <w:top w:w="120" w:type="dxa"/>
              <w:left w:w="120" w:type="dxa"/>
              <w:bottom w:w="120" w:type="dxa"/>
              <w:right w:w="120" w:type="dxa"/>
            </w:tcMar>
            <w:vAlign w:val="center"/>
            <w:hideMark/>
          </w:tcPr>
          <w:p w14:paraId="47D5BC6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11</w:t>
            </w:r>
          </w:p>
        </w:tc>
        <w:tc>
          <w:tcPr>
            <w:tcW w:w="768" w:type="pct"/>
            <w:tcMar>
              <w:top w:w="120" w:type="dxa"/>
              <w:left w:w="120" w:type="dxa"/>
              <w:bottom w:w="120" w:type="dxa"/>
              <w:right w:w="120" w:type="dxa"/>
            </w:tcMar>
            <w:vAlign w:val="center"/>
            <w:hideMark/>
          </w:tcPr>
          <w:p w14:paraId="6DA8E64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Data items</w:t>
            </w:r>
          </w:p>
        </w:tc>
        <w:tc>
          <w:tcPr>
            <w:tcW w:w="2539" w:type="pct"/>
            <w:tcMar>
              <w:top w:w="120" w:type="dxa"/>
              <w:left w:w="120" w:type="dxa"/>
              <w:bottom w:w="120" w:type="dxa"/>
              <w:right w:w="120" w:type="dxa"/>
            </w:tcMar>
            <w:vAlign w:val="center"/>
            <w:hideMark/>
          </w:tcPr>
          <w:p w14:paraId="0397E4A1"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Coding covers five categories of core information: basic study characteristics (authors, publication year), sample characteristics, intervention characteristics, outcome data, and methodological quality information. Coding rules for moderating variables are clearly defined: educational level (4 categories), subject type (4 categories), intervention duration (3 categories), and inquiry skill dimension (5 categories).</w:t>
            </w:r>
          </w:p>
        </w:tc>
        <w:tc>
          <w:tcPr>
            <w:tcW w:w="769" w:type="pct"/>
            <w:tcMar>
              <w:top w:w="120" w:type="dxa"/>
              <w:left w:w="120" w:type="dxa"/>
              <w:bottom w:w="120" w:type="dxa"/>
              <w:right w:w="120" w:type="dxa"/>
            </w:tcMar>
            <w:vAlign w:val="center"/>
            <w:hideMark/>
          </w:tcPr>
          <w:p w14:paraId="752AA111"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2.5; Table 1</w:t>
            </w:r>
          </w:p>
        </w:tc>
        <w:tc>
          <w:tcPr>
            <w:tcW w:w="585" w:type="pct"/>
            <w:tcMar>
              <w:top w:w="120" w:type="dxa"/>
              <w:left w:w="120" w:type="dxa"/>
              <w:bottom w:w="120" w:type="dxa"/>
              <w:right w:w="120" w:type="dxa"/>
            </w:tcMar>
            <w:vAlign w:val="center"/>
            <w:hideMark/>
          </w:tcPr>
          <w:p w14:paraId="7F720C4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66A2FC94" w14:textId="77777777" w:rsidTr="00A72D91">
        <w:trPr>
          <w:trHeight w:val="170"/>
          <w:jc w:val="center"/>
        </w:trPr>
        <w:tc>
          <w:tcPr>
            <w:tcW w:w="0" w:type="auto"/>
            <w:tcMar>
              <w:top w:w="120" w:type="dxa"/>
              <w:left w:w="120" w:type="dxa"/>
              <w:bottom w:w="120" w:type="dxa"/>
              <w:right w:w="120" w:type="dxa"/>
            </w:tcMar>
            <w:vAlign w:val="center"/>
            <w:hideMark/>
          </w:tcPr>
          <w:p w14:paraId="4869689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12</w:t>
            </w:r>
          </w:p>
        </w:tc>
        <w:tc>
          <w:tcPr>
            <w:tcW w:w="768" w:type="pct"/>
            <w:tcMar>
              <w:top w:w="120" w:type="dxa"/>
              <w:left w:w="120" w:type="dxa"/>
              <w:bottom w:w="120" w:type="dxa"/>
              <w:right w:w="120" w:type="dxa"/>
            </w:tcMar>
            <w:vAlign w:val="center"/>
            <w:hideMark/>
          </w:tcPr>
          <w:p w14:paraId="0EDE1E0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Outcomes and prioritization</w:t>
            </w:r>
          </w:p>
        </w:tc>
        <w:tc>
          <w:tcPr>
            <w:tcW w:w="2539" w:type="pct"/>
            <w:tcMar>
              <w:top w:w="120" w:type="dxa"/>
              <w:left w:w="120" w:type="dxa"/>
              <w:bottom w:w="120" w:type="dxa"/>
              <w:right w:w="120" w:type="dxa"/>
            </w:tcMar>
            <w:vAlign w:val="center"/>
            <w:hideMark/>
          </w:tcPr>
          <w:p w14:paraId="7A33D793"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The primary outcome was defined as overall scientific inquiry skill level measured by validated instruments. Secondary outcomes were scores of five sub-dimensions of scientific inquiry skills. No public pre-registration is available to externally verify the a priori timeline of the analysis plan; the authors confirm that the outcome indicators and statistical strategy were finalized before data extraction commenced.</w:t>
            </w:r>
          </w:p>
        </w:tc>
        <w:tc>
          <w:tcPr>
            <w:tcW w:w="769" w:type="pct"/>
            <w:tcMar>
              <w:top w:w="120" w:type="dxa"/>
              <w:left w:w="120" w:type="dxa"/>
              <w:bottom w:w="120" w:type="dxa"/>
              <w:right w:w="120" w:type="dxa"/>
            </w:tcMar>
            <w:vAlign w:val="center"/>
            <w:hideMark/>
          </w:tcPr>
          <w:p w14:paraId="31E21019"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2.2 (Outcome indicators subsection)</w:t>
            </w:r>
          </w:p>
        </w:tc>
        <w:tc>
          <w:tcPr>
            <w:tcW w:w="585" w:type="pct"/>
            <w:tcMar>
              <w:top w:w="120" w:type="dxa"/>
              <w:left w:w="120" w:type="dxa"/>
              <w:bottom w:w="120" w:type="dxa"/>
              <w:right w:w="120" w:type="dxa"/>
            </w:tcMar>
            <w:vAlign w:val="center"/>
            <w:hideMark/>
          </w:tcPr>
          <w:p w14:paraId="489065E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Partial</w:t>
            </w:r>
          </w:p>
        </w:tc>
      </w:tr>
      <w:tr w:rsidR="00A4107B" w:rsidRPr="00577624" w14:paraId="65B697D7" w14:textId="77777777" w:rsidTr="00A72D91">
        <w:trPr>
          <w:trHeight w:val="170"/>
          <w:jc w:val="center"/>
        </w:trPr>
        <w:tc>
          <w:tcPr>
            <w:tcW w:w="0" w:type="auto"/>
            <w:tcMar>
              <w:top w:w="120" w:type="dxa"/>
              <w:left w:w="120" w:type="dxa"/>
              <w:bottom w:w="120" w:type="dxa"/>
              <w:right w:w="120" w:type="dxa"/>
            </w:tcMar>
            <w:vAlign w:val="center"/>
            <w:hideMark/>
          </w:tcPr>
          <w:p w14:paraId="15C09E8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13</w:t>
            </w:r>
          </w:p>
        </w:tc>
        <w:tc>
          <w:tcPr>
            <w:tcW w:w="768" w:type="pct"/>
            <w:tcMar>
              <w:top w:w="120" w:type="dxa"/>
              <w:left w:w="120" w:type="dxa"/>
              <w:bottom w:w="120" w:type="dxa"/>
              <w:right w:w="120" w:type="dxa"/>
            </w:tcMar>
            <w:vAlign w:val="center"/>
            <w:hideMark/>
          </w:tcPr>
          <w:p w14:paraId="198F201A"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Risk of bias in individual studies</w:t>
            </w:r>
          </w:p>
        </w:tc>
        <w:tc>
          <w:tcPr>
            <w:tcW w:w="2539" w:type="pct"/>
            <w:tcMar>
              <w:top w:w="120" w:type="dxa"/>
              <w:left w:w="120" w:type="dxa"/>
              <w:bottom w:w="120" w:type="dxa"/>
              <w:right w:w="120" w:type="dxa"/>
            </w:tcMar>
            <w:vAlign w:val="center"/>
            <w:hideMark/>
          </w:tcPr>
          <w:p w14:paraId="22CF449D"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The Cochrane Risk of Bias tool was applied for RCTs (covering core domains: random sequence generation, allocation concealment, blinding of participants and personnel, blinding of outcome assessment, incomplete outcome data). The Newcastle-Ottawa Scale (NOS, 9-point scale; &lt; 5 = low quality) was used for quasi-experimental studies. Low-quality and high-risk bias studies were not excluded a priori; their influence on pooled results was tested via sensitivity analysis.</w:t>
            </w:r>
          </w:p>
        </w:tc>
        <w:tc>
          <w:tcPr>
            <w:tcW w:w="769" w:type="pct"/>
            <w:tcMar>
              <w:top w:w="120" w:type="dxa"/>
              <w:left w:w="120" w:type="dxa"/>
              <w:bottom w:w="120" w:type="dxa"/>
              <w:right w:w="120" w:type="dxa"/>
            </w:tcMar>
            <w:vAlign w:val="center"/>
            <w:hideMark/>
          </w:tcPr>
          <w:p w14:paraId="0487F33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2.5; Section 3.1</w:t>
            </w:r>
          </w:p>
        </w:tc>
        <w:tc>
          <w:tcPr>
            <w:tcW w:w="585" w:type="pct"/>
            <w:tcMar>
              <w:top w:w="120" w:type="dxa"/>
              <w:left w:w="120" w:type="dxa"/>
              <w:bottom w:w="120" w:type="dxa"/>
              <w:right w:w="120" w:type="dxa"/>
            </w:tcMar>
            <w:vAlign w:val="center"/>
            <w:hideMark/>
          </w:tcPr>
          <w:p w14:paraId="6E8B011D"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2E7443F7" w14:textId="77777777" w:rsidTr="00A72D91">
        <w:trPr>
          <w:trHeight w:val="170"/>
          <w:jc w:val="center"/>
        </w:trPr>
        <w:tc>
          <w:tcPr>
            <w:tcW w:w="0" w:type="auto"/>
            <w:tcMar>
              <w:top w:w="120" w:type="dxa"/>
              <w:left w:w="120" w:type="dxa"/>
              <w:bottom w:w="120" w:type="dxa"/>
              <w:right w:w="120" w:type="dxa"/>
            </w:tcMar>
            <w:vAlign w:val="center"/>
            <w:hideMark/>
          </w:tcPr>
          <w:p w14:paraId="28EBF8E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14</w:t>
            </w:r>
          </w:p>
        </w:tc>
        <w:tc>
          <w:tcPr>
            <w:tcW w:w="768" w:type="pct"/>
            <w:tcMar>
              <w:top w:w="120" w:type="dxa"/>
              <w:left w:w="120" w:type="dxa"/>
              <w:bottom w:w="120" w:type="dxa"/>
              <w:right w:w="120" w:type="dxa"/>
            </w:tcMar>
            <w:vAlign w:val="center"/>
            <w:hideMark/>
          </w:tcPr>
          <w:p w14:paraId="7FB9BCE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Effect measures</w:t>
            </w:r>
          </w:p>
        </w:tc>
        <w:tc>
          <w:tcPr>
            <w:tcW w:w="2539" w:type="pct"/>
            <w:tcMar>
              <w:top w:w="120" w:type="dxa"/>
              <w:left w:w="120" w:type="dxa"/>
              <w:bottom w:w="120" w:type="dxa"/>
              <w:right w:w="120" w:type="dxa"/>
            </w:tcMar>
            <w:vAlign w:val="center"/>
            <w:hideMark/>
          </w:tcPr>
          <w:p w14:paraId="13906F64"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Hedges’ </w:t>
            </w:r>
            <w:r w:rsidRPr="00577624">
              <w:rPr>
                <w:rFonts w:ascii="Times New Roman" w:eastAsia="宋体" w:hAnsi="Times New Roman" w:cs="Times New Roman"/>
                <w:i/>
                <w:iCs/>
                <w:kern w:val="0"/>
                <w:szCs w:val="21"/>
                <w:lang w:bidi="hi-IN"/>
                <w14:ligatures w14:val="none"/>
              </w:rPr>
              <w:t>g</w:t>
            </w:r>
            <w:r w:rsidRPr="00577624">
              <w:rPr>
                <w:rFonts w:ascii="Times New Roman" w:eastAsia="宋体" w:hAnsi="Times New Roman" w:cs="Times New Roman"/>
                <w:kern w:val="0"/>
                <w:szCs w:val="21"/>
                <w:lang w:bidi="hi-IN"/>
                <w14:ligatures w14:val="none"/>
              </w:rPr>
              <w:t xml:space="preserve"> was adopted as the uniform effect size metric, which corrects for small-sample bias and is suitable for meta-analyses with large sample size differences. Effect sizes were calculated based on post-test means and pooled standard deviations of the experimental and control groups; if original studies only reported </w:t>
            </w:r>
            <w:r w:rsidRPr="00577624">
              <w:rPr>
                <w:rFonts w:ascii="Times New Roman" w:eastAsia="宋体" w:hAnsi="Times New Roman" w:cs="Times New Roman"/>
                <w:i/>
                <w:iCs/>
                <w:kern w:val="0"/>
                <w:szCs w:val="21"/>
                <w:lang w:bidi="hi-IN"/>
                <w14:ligatures w14:val="none"/>
              </w:rPr>
              <w:t>t</w:t>
            </w:r>
            <w:r w:rsidRPr="00577624">
              <w:rPr>
                <w:rFonts w:ascii="Times New Roman" w:eastAsia="宋体" w:hAnsi="Times New Roman" w:cs="Times New Roman"/>
                <w:kern w:val="0"/>
                <w:szCs w:val="21"/>
                <w:lang w:bidi="hi-IN"/>
                <w14:ligatures w14:val="none"/>
              </w:rPr>
              <w:t xml:space="preserve">-values, </w:t>
            </w:r>
            <w:r w:rsidRPr="00577624">
              <w:rPr>
                <w:rFonts w:ascii="Times New Roman" w:eastAsia="宋体" w:hAnsi="Times New Roman" w:cs="Times New Roman"/>
                <w:i/>
                <w:iCs/>
                <w:kern w:val="0"/>
                <w:szCs w:val="21"/>
                <w:lang w:bidi="hi-IN"/>
                <w14:ligatures w14:val="none"/>
              </w:rPr>
              <w:t>F</w:t>
            </w:r>
            <w:r w:rsidRPr="00577624">
              <w:rPr>
                <w:rFonts w:ascii="Times New Roman" w:eastAsia="宋体" w:hAnsi="Times New Roman" w:cs="Times New Roman"/>
                <w:kern w:val="0"/>
                <w:szCs w:val="21"/>
                <w:lang w:bidi="hi-IN"/>
                <w14:ligatures w14:val="none"/>
              </w:rPr>
              <w:t xml:space="preserve">-values or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-values, conversion was performed following the formula recommended by Lipsey &amp; Wilson (2001). Effect size direction: positive values indicate higher scientific inquiry skill scores in the VE group than in the PE group. Effect magnitude thresholds follow Cohen’s classic conventions (0.2 = small, 0.5 = medium, 0.8 = large). All statistical analyses were performed in R 4.6.0 with the </w:t>
            </w:r>
            <w:proofErr w:type="spellStart"/>
            <w:r w:rsidRPr="00577624">
              <w:rPr>
                <w:rFonts w:ascii="Times New Roman" w:eastAsia="宋体" w:hAnsi="Times New Roman" w:cs="Times New Roman"/>
                <w:kern w:val="0"/>
                <w:szCs w:val="21"/>
                <w:lang w:bidi="hi-IN"/>
                <w14:ligatures w14:val="none"/>
              </w:rPr>
              <w:t>metafor</w:t>
            </w:r>
            <w:proofErr w:type="spellEnd"/>
            <w:r w:rsidRPr="00577624">
              <w:rPr>
                <w:rFonts w:ascii="Times New Roman" w:eastAsia="宋体" w:hAnsi="Times New Roman" w:cs="Times New Roman"/>
                <w:kern w:val="0"/>
                <w:szCs w:val="21"/>
                <w:lang w:bidi="hi-IN"/>
                <w14:ligatures w14:val="none"/>
              </w:rPr>
              <w:t xml:space="preserve"> 3.0-2 package, with a fixed random seed for reproducibility.</w:t>
            </w:r>
          </w:p>
        </w:tc>
        <w:tc>
          <w:tcPr>
            <w:tcW w:w="769" w:type="pct"/>
            <w:tcMar>
              <w:top w:w="120" w:type="dxa"/>
              <w:left w:w="120" w:type="dxa"/>
              <w:bottom w:w="120" w:type="dxa"/>
              <w:right w:w="120" w:type="dxa"/>
            </w:tcMar>
            <w:vAlign w:val="center"/>
            <w:hideMark/>
          </w:tcPr>
          <w:p w14:paraId="270E0CD9"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2.6</w:t>
            </w:r>
          </w:p>
        </w:tc>
        <w:tc>
          <w:tcPr>
            <w:tcW w:w="585" w:type="pct"/>
            <w:tcMar>
              <w:top w:w="120" w:type="dxa"/>
              <w:left w:w="120" w:type="dxa"/>
              <w:bottom w:w="120" w:type="dxa"/>
              <w:right w:w="120" w:type="dxa"/>
            </w:tcMar>
            <w:vAlign w:val="center"/>
            <w:hideMark/>
          </w:tcPr>
          <w:p w14:paraId="610F992D"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7C7980C1" w14:textId="77777777" w:rsidTr="00A72D91">
        <w:trPr>
          <w:trHeight w:val="170"/>
          <w:jc w:val="center"/>
        </w:trPr>
        <w:tc>
          <w:tcPr>
            <w:tcW w:w="0" w:type="auto"/>
            <w:tcMar>
              <w:top w:w="120" w:type="dxa"/>
              <w:left w:w="120" w:type="dxa"/>
              <w:bottom w:w="120" w:type="dxa"/>
              <w:right w:w="120" w:type="dxa"/>
            </w:tcMar>
            <w:vAlign w:val="center"/>
            <w:hideMark/>
          </w:tcPr>
          <w:p w14:paraId="3D6034CB"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15</w:t>
            </w:r>
          </w:p>
        </w:tc>
        <w:tc>
          <w:tcPr>
            <w:tcW w:w="768" w:type="pct"/>
            <w:tcMar>
              <w:top w:w="120" w:type="dxa"/>
              <w:left w:w="120" w:type="dxa"/>
              <w:bottom w:w="120" w:type="dxa"/>
              <w:right w:w="120" w:type="dxa"/>
            </w:tcMar>
            <w:vAlign w:val="center"/>
            <w:hideMark/>
          </w:tcPr>
          <w:p w14:paraId="2ED63653"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Synthesis methods</w:t>
            </w:r>
          </w:p>
        </w:tc>
        <w:tc>
          <w:tcPr>
            <w:tcW w:w="2539" w:type="pct"/>
            <w:tcMar>
              <w:top w:w="120" w:type="dxa"/>
              <w:left w:w="120" w:type="dxa"/>
              <w:bottom w:w="120" w:type="dxa"/>
              <w:right w:w="120" w:type="dxa"/>
            </w:tcMar>
            <w:vAlign w:val="center"/>
            <w:hideMark/>
          </w:tcPr>
          <w:p w14:paraId="6AEEDB2D" w14:textId="1BB30306"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A three-level random-effects meta-analysis model was fitted, decomposing total variance into three levels: sampling error (level 1), within-study variance (level 2), and between-study variance (level 3). Restricted maximum likelihood (REML) estimation was applied, with a compound symmetry (CS) covariance structure to handle correlations among effect sizes within the same study. Degrees of freedom were estimated using the Kenward-Roger method, which is more robust for small samples. Goodness of fit between the three-level model and conventional two-level simplified models was compared via AIC, BIC and log-likelihood ratio tests (LRT). Heterogeneity was assessed via stratified </w:t>
            </w:r>
            <w:r w:rsidRPr="00577624">
              <w:rPr>
                <w:rFonts w:ascii="Times New Roman" w:eastAsia="宋体" w:hAnsi="Times New Roman" w:cs="Times New Roman"/>
                <w:i/>
                <w:iCs/>
                <w:kern w:val="0"/>
                <w:szCs w:val="21"/>
                <w:lang w:bidi="hi-IN"/>
                <w14:ligatures w14:val="none"/>
              </w:rPr>
              <w:t>I</w:t>
            </w:r>
            <w:r w:rsidR="00DC0622" w:rsidRPr="00DC0622">
              <w:rPr>
                <w:rFonts w:ascii="Times New Roman" w:eastAsia="宋体" w:hAnsi="Times New Roman" w:cs="Times New Roman" w:hint="eastAsia"/>
                <w:kern w:val="0"/>
                <w:szCs w:val="21"/>
                <w:vertAlign w:val="superscript"/>
                <w:lang w:bidi="hi-IN"/>
                <w14:ligatures w14:val="none"/>
              </w:rPr>
              <w:t>2</w:t>
            </w:r>
            <w:r w:rsidRPr="00DC0622">
              <w:rPr>
                <w:rFonts w:ascii="Times New Roman" w:eastAsia="宋体" w:hAnsi="Times New Roman" w:cs="Times New Roman"/>
                <w:kern w:val="0"/>
                <w:szCs w:val="21"/>
                <w:vertAlign w:val="superscript"/>
                <w:lang w:bidi="hi-IN"/>
                <w14:ligatures w14:val="none"/>
              </w:rPr>
              <w:t xml:space="preserve"> </w:t>
            </w:r>
            <w:r w:rsidRPr="00577624">
              <w:rPr>
                <w:rFonts w:ascii="Times New Roman" w:eastAsia="宋体" w:hAnsi="Times New Roman" w:cs="Times New Roman"/>
                <w:kern w:val="0"/>
                <w:szCs w:val="21"/>
                <w:lang w:bidi="hi-IN"/>
                <w14:ligatures w14:val="none"/>
              </w:rPr>
              <w:t>statistic, variance component decomposition and intraclass correlation coefficient (ICC). Subgroup analyses for categorical moderators were conducted using three-level mixed-effects models, with moderating significance determined via LRT and Q tests. Multi-dimensional robustness tests were performed: studentized deleted residual (SDR) outlier diagnosis, Cook’s distance, DFBETAS statistics, and leave-one-out sensitivity analysis at the study level.</w:t>
            </w:r>
          </w:p>
        </w:tc>
        <w:tc>
          <w:tcPr>
            <w:tcW w:w="769" w:type="pct"/>
            <w:tcMar>
              <w:top w:w="120" w:type="dxa"/>
              <w:left w:w="120" w:type="dxa"/>
              <w:bottom w:w="120" w:type="dxa"/>
              <w:right w:w="120" w:type="dxa"/>
            </w:tcMar>
            <w:vAlign w:val="center"/>
            <w:hideMark/>
          </w:tcPr>
          <w:p w14:paraId="685B430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2.7–2.9</w:t>
            </w:r>
          </w:p>
        </w:tc>
        <w:tc>
          <w:tcPr>
            <w:tcW w:w="585" w:type="pct"/>
            <w:tcMar>
              <w:top w:w="120" w:type="dxa"/>
              <w:left w:w="120" w:type="dxa"/>
              <w:bottom w:w="120" w:type="dxa"/>
              <w:right w:w="120" w:type="dxa"/>
            </w:tcMar>
            <w:vAlign w:val="center"/>
            <w:hideMark/>
          </w:tcPr>
          <w:p w14:paraId="10287E1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20D03A92" w14:textId="77777777" w:rsidTr="00A72D91">
        <w:trPr>
          <w:trHeight w:val="170"/>
          <w:jc w:val="center"/>
        </w:trPr>
        <w:tc>
          <w:tcPr>
            <w:tcW w:w="0" w:type="auto"/>
            <w:tcMar>
              <w:top w:w="120" w:type="dxa"/>
              <w:left w:w="120" w:type="dxa"/>
              <w:bottom w:w="120" w:type="dxa"/>
              <w:right w:w="120" w:type="dxa"/>
            </w:tcMar>
            <w:vAlign w:val="center"/>
            <w:hideMark/>
          </w:tcPr>
          <w:p w14:paraId="5C4D74DB"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16</w:t>
            </w:r>
          </w:p>
        </w:tc>
        <w:tc>
          <w:tcPr>
            <w:tcW w:w="768" w:type="pct"/>
            <w:tcMar>
              <w:top w:w="120" w:type="dxa"/>
              <w:left w:w="120" w:type="dxa"/>
              <w:bottom w:w="120" w:type="dxa"/>
              <w:right w:w="120" w:type="dxa"/>
            </w:tcMar>
            <w:vAlign w:val="center"/>
            <w:hideMark/>
          </w:tcPr>
          <w:p w14:paraId="2288E26E"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Reporting bias assessment</w:t>
            </w:r>
          </w:p>
        </w:tc>
        <w:tc>
          <w:tcPr>
            <w:tcW w:w="2539" w:type="pct"/>
            <w:tcMar>
              <w:top w:w="120" w:type="dxa"/>
              <w:left w:w="120" w:type="dxa"/>
              <w:bottom w:w="120" w:type="dxa"/>
              <w:right w:w="120" w:type="dxa"/>
            </w:tcMar>
            <w:vAlign w:val="center"/>
            <w:hideMark/>
          </w:tcPr>
          <w:p w14:paraId="78636CE0"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A multi-dimensional publication bias assessment framework adapted for three-level meta-analysis was constructed, including four tests: three-level funnel plot, three-level Egger’s regression test, three-level trim-and-fill method, and Orwin’s fail-safe N. The minimum meaningful effect threshold in educational research was set at Hedges’ </w:t>
            </w:r>
            <w:r w:rsidRPr="00577624">
              <w:rPr>
                <w:rFonts w:ascii="Times New Roman" w:eastAsia="宋体" w:hAnsi="Times New Roman" w:cs="Times New Roman"/>
                <w:i/>
                <w:iCs/>
                <w:kern w:val="0"/>
                <w:szCs w:val="21"/>
                <w:lang w:bidi="hi-IN"/>
                <w14:ligatures w14:val="none"/>
              </w:rPr>
              <w:t>g</w:t>
            </w:r>
            <w:r w:rsidRPr="00577624">
              <w:rPr>
                <w:rFonts w:ascii="Times New Roman" w:eastAsia="宋体" w:hAnsi="Times New Roman" w:cs="Times New Roman"/>
                <w:kern w:val="0"/>
                <w:szCs w:val="21"/>
                <w:lang w:bidi="hi-IN"/>
                <w14:ligatures w14:val="none"/>
              </w:rPr>
              <w:t xml:space="preserve"> = 0.2, and the “5k+10” rule was used as the critical criterion for fail-safe </w:t>
            </w:r>
            <w:r w:rsidRPr="00D53BEB">
              <w:rPr>
                <w:rFonts w:ascii="Times New Roman" w:eastAsia="宋体" w:hAnsi="Times New Roman" w:cs="Times New Roman"/>
                <w:i/>
                <w:iCs/>
                <w:kern w:val="0"/>
                <w:szCs w:val="21"/>
                <w:lang w:bidi="hi-IN"/>
                <w14:ligatures w14:val="none"/>
              </w:rPr>
              <w:t>N</w:t>
            </w:r>
            <w:r w:rsidRPr="00577624">
              <w:rPr>
                <w:rFonts w:ascii="Times New Roman" w:eastAsia="宋体" w:hAnsi="Times New Roman" w:cs="Times New Roman"/>
                <w:kern w:val="0"/>
                <w:szCs w:val="21"/>
                <w:lang w:bidi="hi-IN"/>
                <w14:ligatures w14:val="none"/>
              </w:rPr>
              <w:t>.</w:t>
            </w:r>
          </w:p>
        </w:tc>
        <w:tc>
          <w:tcPr>
            <w:tcW w:w="769" w:type="pct"/>
            <w:tcMar>
              <w:top w:w="120" w:type="dxa"/>
              <w:left w:w="120" w:type="dxa"/>
              <w:bottom w:w="120" w:type="dxa"/>
              <w:right w:w="120" w:type="dxa"/>
            </w:tcMar>
            <w:vAlign w:val="center"/>
            <w:hideMark/>
          </w:tcPr>
          <w:p w14:paraId="1954C231"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2.9</w:t>
            </w:r>
          </w:p>
        </w:tc>
        <w:tc>
          <w:tcPr>
            <w:tcW w:w="585" w:type="pct"/>
            <w:tcMar>
              <w:top w:w="120" w:type="dxa"/>
              <w:left w:w="120" w:type="dxa"/>
              <w:bottom w:w="120" w:type="dxa"/>
              <w:right w:w="120" w:type="dxa"/>
            </w:tcMar>
            <w:vAlign w:val="center"/>
            <w:hideMark/>
          </w:tcPr>
          <w:p w14:paraId="63AA8C2B"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2235E9F9" w14:textId="77777777" w:rsidTr="00A72D91">
        <w:trPr>
          <w:trHeight w:val="170"/>
          <w:jc w:val="center"/>
        </w:trPr>
        <w:tc>
          <w:tcPr>
            <w:tcW w:w="0" w:type="auto"/>
            <w:tcMar>
              <w:top w:w="120" w:type="dxa"/>
              <w:left w:w="120" w:type="dxa"/>
              <w:bottom w:w="120" w:type="dxa"/>
              <w:right w:w="120" w:type="dxa"/>
            </w:tcMar>
            <w:vAlign w:val="center"/>
            <w:hideMark/>
          </w:tcPr>
          <w:p w14:paraId="6F63AA8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18</w:t>
            </w:r>
          </w:p>
        </w:tc>
        <w:tc>
          <w:tcPr>
            <w:tcW w:w="768" w:type="pct"/>
            <w:tcMar>
              <w:top w:w="120" w:type="dxa"/>
              <w:left w:w="120" w:type="dxa"/>
              <w:bottom w:w="120" w:type="dxa"/>
              <w:right w:w="120" w:type="dxa"/>
            </w:tcMar>
            <w:vAlign w:val="center"/>
            <w:hideMark/>
          </w:tcPr>
          <w:p w14:paraId="5D9320A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Study selection</w:t>
            </w:r>
          </w:p>
        </w:tc>
        <w:tc>
          <w:tcPr>
            <w:tcW w:w="2539" w:type="pct"/>
            <w:tcMar>
              <w:top w:w="120" w:type="dxa"/>
              <w:left w:w="120" w:type="dxa"/>
              <w:bottom w:w="120" w:type="dxa"/>
              <w:right w:w="120" w:type="dxa"/>
            </w:tcMar>
            <w:vAlign w:val="center"/>
            <w:hideMark/>
          </w:tcPr>
          <w:p w14:paraId="7058149C"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Identification: 2810 records from database searches, 0 records from other sources. 2302 records remained after deduplication. Screening: 2214 records excluded at title/abstract stage; 88 articles proceeded to full-text assessment. Eligibility: 67 articles excluded at full-text stage, in line with pre-defined inclusion and exclusion criteria. Final inclusion: 21 independent studies, 41 effect sizes, total sample </w:t>
            </w:r>
            <w:r w:rsidRPr="00577624">
              <w:rPr>
                <w:rFonts w:ascii="Times New Roman" w:eastAsia="宋体" w:hAnsi="Times New Roman" w:cs="Times New Roman"/>
                <w:i/>
                <w:iCs/>
                <w:kern w:val="0"/>
                <w:szCs w:val="21"/>
                <w:lang w:bidi="hi-IN"/>
                <w14:ligatures w14:val="none"/>
              </w:rPr>
              <w:t>N</w:t>
            </w:r>
            <w:r w:rsidRPr="00577624">
              <w:rPr>
                <w:rFonts w:ascii="Times New Roman" w:eastAsia="宋体" w:hAnsi="Times New Roman" w:cs="Times New Roman"/>
                <w:kern w:val="0"/>
                <w:szCs w:val="21"/>
                <w:lang w:bidi="hi-IN"/>
                <w14:ligatures w14:val="none"/>
              </w:rPr>
              <w:t xml:space="preserve"> = 3931. The number of included studies matches the number of reported studies.</w:t>
            </w:r>
          </w:p>
        </w:tc>
        <w:tc>
          <w:tcPr>
            <w:tcW w:w="769" w:type="pct"/>
            <w:tcMar>
              <w:top w:w="120" w:type="dxa"/>
              <w:left w:w="120" w:type="dxa"/>
              <w:bottom w:w="120" w:type="dxa"/>
              <w:right w:w="120" w:type="dxa"/>
            </w:tcMar>
            <w:vAlign w:val="center"/>
            <w:hideMark/>
          </w:tcPr>
          <w:p w14:paraId="7E1B8720"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2.4; Figure 2 (PRISMA Flow Diagram)</w:t>
            </w:r>
          </w:p>
        </w:tc>
        <w:tc>
          <w:tcPr>
            <w:tcW w:w="585" w:type="pct"/>
            <w:tcMar>
              <w:top w:w="120" w:type="dxa"/>
              <w:left w:w="120" w:type="dxa"/>
              <w:bottom w:w="120" w:type="dxa"/>
              <w:right w:w="120" w:type="dxa"/>
            </w:tcMar>
            <w:vAlign w:val="center"/>
            <w:hideMark/>
          </w:tcPr>
          <w:p w14:paraId="011BCA8B"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7C2289A5" w14:textId="77777777" w:rsidTr="00A72D91">
        <w:trPr>
          <w:trHeight w:val="170"/>
          <w:jc w:val="center"/>
        </w:trPr>
        <w:tc>
          <w:tcPr>
            <w:tcW w:w="0" w:type="auto"/>
            <w:tcMar>
              <w:top w:w="120" w:type="dxa"/>
              <w:left w:w="120" w:type="dxa"/>
              <w:bottom w:w="120" w:type="dxa"/>
              <w:right w:w="120" w:type="dxa"/>
            </w:tcMar>
            <w:vAlign w:val="center"/>
            <w:hideMark/>
          </w:tcPr>
          <w:p w14:paraId="095DC72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19</w:t>
            </w:r>
          </w:p>
        </w:tc>
        <w:tc>
          <w:tcPr>
            <w:tcW w:w="768" w:type="pct"/>
            <w:tcMar>
              <w:top w:w="120" w:type="dxa"/>
              <w:left w:w="120" w:type="dxa"/>
              <w:bottom w:w="120" w:type="dxa"/>
              <w:right w:w="120" w:type="dxa"/>
            </w:tcMar>
            <w:vAlign w:val="center"/>
            <w:hideMark/>
          </w:tcPr>
          <w:p w14:paraId="6DAD21E0"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Study characteristics</w:t>
            </w:r>
          </w:p>
        </w:tc>
        <w:tc>
          <w:tcPr>
            <w:tcW w:w="2539" w:type="pct"/>
            <w:tcMar>
              <w:top w:w="120" w:type="dxa"/>
              <w:left w:w="120" w:type="dxa"/>
              <w:bottom w:w="120" w:type="dxa"/>
              <w:right w:w="120" w:type="dxa"/>
            </w:tcMar>
            <w:vAlign w:val="center"/>
            <w:hideMark/>
          </w:tcPr>
          <w:p w14:paraId="25F9919D"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21 studies, 41 effect sizes, and 3931 total participants were included. The sample covers all educational levels from primary school to university, and four subject areas: physics, chemistry, biology, and integrated science. The distribution of effect sizes and samples by educational level, subject, and intervention duration is reported. Methodological quality: 12 out of 14 RCTs (85.7%) were judged as low risk of bias; the average NOS score for 7 quasi-experimental studies was 6.8/9, all meeting medium or higher quality standards.</w:t>
            </w:r>
          </w:p>
        </w:tc>
        <w:tc>
          <w:tcPr>
            <w:tcW w:w="769" w:type="pct"/>
            <w:tcMar>
              <w:top w:w="120" w:type="dxa"/>
              <w:left w:w="120" w:type="dxa"/>
              <w:bottom w:w="120" w:type="dxa"/>
              <w:right w:w="120" w:type="dxa"/>
            </w:tcMar>
            <w:vAlign w:val="center"/>
            <w:hideMark/>
          </w:tcPr>
          <w:p w14:paraId="7254003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3.1; Table 1</w:t>
            </w:r>
          </w:p>
        </w:tc>
        <w:tc>
          <w:tcPr>
            <w:tcW w:w="585" w:type="pct"/>
            <w:tcMar>
              <w:top w:w="120" w:type="dxa"/>
              <w:left w:w="120" w:type="dxa"/>
              <w:bottom w:w="120" w:type="dxa"/>
              <w:right w:w="120" w:type="dxa"/>
            </w:tcMar>
            <w:vAlign w:val="center"/>
            <w:hideMark/>
          </w:tcPr>
          <w:p w14:paraId="1B99F39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6EB2CDD4" w14:textId="77777777" w:rsidTr="00A72D91">
        <w:trPr>
          <w:trHeight w:val="170"/>
          <w:jc w:val="center"/>
        </w:trPr>
        <w:tc>
          <w:tcPr>
            <w:tcW w:w="0" w:type="auto"/>
            <w:tcMar>
              <w:top w:w="120" w:type="dxa"/>
              <w:left w:w="120" w:type="dxa"/>
              <w:bottom w:w="120" w:type="dxa"/>
              <w:right w:w="120" w:type="dxa"/>
            </w:tcMar>
            <w:vAlign w:val="center"/>
            <w:hideMark/>
          </w:tcPr>
          <w:p w14:paraId="54077C1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20</w:t>
            </w:r>
          </w:p>
        </w:tc>
        <w:tc>
          <w:tcPr>
            <w:tcW w:w="768" w:type="pct"/>
            <w:tcMar>
              <w:top w:w="120" w:type="dxa"/>
              <w:left w:w="120" w:type="dxa"/>
              <w:bottom w:w="120" w:type="dxa"/>
              <w:right w:w="120" w:type="dxa"/>
            </w:tcMar>
            <w:vAlign w:val="center"/>
            <w:hideMark/>
          </w:tcPr>
          <w:p w14:paraId="3E2FA591"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Risk of bias across studies</w:t>
            </w:r>
          </w:p>
        </w:tc>
        <w:tc>
          <w:tcPr>
            <w:tcW w:w="2539" w:type="pct"/>
            <w:tcMar>
              <w:top w:w="120" w:type="dxa"/>
              <w:left w:w="120" w:type="dxa"/>
              <w:bottom w:w="120" w:type="dxa"/>
              <w:right w:w="120" w:type="dxa"/>
            </w:tcMar>
            <w:vAlign w:val="center"/>
            <w:hideMark/>
          </w:tcPr>
          <w:p w14:paraId="44EF7C26"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The overall risk of bias for RCTs is low, with 85.7% of studies judged as overall low risk. Unclear risk in the blinding of participants and personnel domain is noted as a common limitation in educational research. Quasi-experimental studies have generally good methodological quality, with all NOS scores above the 5-point low-quality threshold.</w:t>
            </w:r>
          </w:p>
        </w:tc>
        <w:tc>
          <w:tcPr>
            <w:tcW w:w="769" w:type="pct"/>
            <w:tcMar>
              <w:top w:w="120" w:type="dxa"/>
              <w:left w:w="120" w:type="dxa"/>
              <w:bottom w:w="120" w:type="dxa"/>
              <w:right w:w="120" w:type="dxa"/>
            </w:tcMar>
            <w:vAlign w:val="center"/>
            <w:hideMark/>
          </w:tcPr>
          <w:p w14:paraId="327A9ACB"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3.1</w:t>
            </w:r>
          </w:p>
        </w:tc>
        <w:tc>
          <w:tcPr>
            <w:tcW w:w="585" w:type="pct"/>
            <w:tcMar>
              <w:top w:w="120" w:type="dxa"/>
              <w:left w:w="120" w:type="dxa"/>
              <w:bottom w:w="120" w:type="dxa"/>
              <w:right w:w="120" w:type="dxa"/>
            </w:tcMar>
            <w:vAlign w:val="center"/>
            <w:hideMark/>
          </w:tcPr>
          <w:p w14:paraId="2491212F"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39837118" w14:textId="77777777" w:rsidTr="00A72D91">
        <w:trPr>
          <w:trHeight w:val="170"/>
          <w:jc w:val="center"/>
        </w:trPr>
        <w:tc>
          <w:tcPr>
            <w:tcW w:w="0" w:type="auto"/>
            <w:tcMar>
              <w:top w:w="120" w:type="dxa"/>
              <w:left w:w="120" w:type="dxa"/>
              <w:bottom w:w="120" w:type="dxa"/>
              <w:right w:w="120" w:type="dxa"/>
            </w:tcMar>
            <w:vAlign w:val="center"/>
            <w:hideMark/>
          </w:tcPr>
          <w:p w14:paraId="5C8F425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21</w:t>
            </w:r>
          </w:p>
        </w:tc>
        <w:tc>
          <w:tcPr>
            <w:tcW w:w="768" w:type="pct"/>
            <w:tcMar>
              <w:top w:w="120" w:type="dxa"/>
              <w:left w:w="120" w:type="dxa"/>
              <w:bottom w:w="120" w:type="dxa"/>
              <w:right w:w="120" w:type="dxa"/>
            </w:tcMar>
            <w:vAlign w:val="center"/>
            <w:hideMark/>
          </w:tcPr>
          <w:p w14:paraId="7EF0D50D"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Results of individual studies</w:t>
            </w:r>
          </w:p>
        </w:tc>
        <w:tc>
          <w:tcPr>
            <w:tcW w:w="2539" w:type="pct"/>
            <w:tcMar>
              <w:top w:w="120" w:type="dxa"/>
              <w:left w:w="120" w:type="dxa"/>
              <w:bottom w:w="120" w:type="dxa"/>
              <w:right w:w="120" w:type="dxa"/>
            </w:tcMar>
            <w:vAlign w:val="center"/>
            <w:hideMark/>
          </w:tcPr>
          <w:p w14:paraId="782A3E91" w14:textId="1C7C4D15"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Effect sizes of all included studies are presented in a forest plot, with point estimates and 95% confidence intervals for each study. Effect sizes range from </w:t>
            </w:r>
            <w:r w:rsidRPr="00577624">
              <w:rPr>
                <w:rFonts w:ascii="Times New Roman" w:eastAsia="宋体" w:hAnsi="Times New Roman" w:cs="Times New Roman"/>
                <w:i/>
                <w:iCs/>
                <w:kern w:val="0"/>
                <w:szCs w:val="21"/>
                <w:lang w:bidi="hi-IN"/>
                <w14:ligatures w14:val="none"/>
              </w:rPr>
              <w:t>g</w:t>
            </w:r>
            <w:r w:rsidRPr="00577624">
              <w:rPr>
                <w:rFonts w:ascii="Times New Roman" w:eastAsia="宋体" w:hAnsi="Times New Roman" w:cs="Times New Roman"/>
                <w:kern w:val="0"/>
                <w:szCs w:val="21"/>
                <w:lang w:bidi="hi-IN"/>
                <w14:ligatures w14:val="none"/>
              </w:rPr>
              <w:t xml:space="preserve"> = </w:t>
            </w:r>
            <w:r w:rsidR="00DC0622">
              <w:rPr>
                <w:rFonts w:ascii="Times New Roman" w:eastAsia="宋体" w:hAnsi="Times New Roman" w:cs="Times New Roman" w:hint="eastAsia"/>
                <w:kern w:val="0"/>
                <w:szCs w:val="21"/>
                <w:lang w:bidi="hi-IN"/>
                <w14:ligatures w14:val="none"/>
              </w:rPr>
              <w:t>-</w:t>
            </w:r>
            <w:r w:rsidRPr="00577624">
              <w:rPr>
                <w:rFonts w:ascii="Times New Roman" w:eastAsia="宋体" w:hAnsi="Times New Roman" w:cs="Times New Roman"/>
                <w:kern w:val="0"/>
                <w:szCs w:val="21"/>
                <w:lang w:bidi="hi-IN"/>
                <w14:ligatures w14:val="none"/>
              </w:rPr>
              <w:t xml:space="preserve">1.051 to </w:t>
            </w:r>
            <w:r w:rsidRPr="00577624">
              <w:rPr>
                <w:rFonts w:ascii="Times New Roman" w:eastAsia="宋体" w:hAnsi="Times New Roman" w:cs="Times New Roman"/>
                <w:i/>
                <w:iCs/>
                <w:kern w:val="0"/>
                <w:szCs w:val="21"/>
                <w:lang w:bidi="hi-IN"/>
                <w14:ligatures w14:val="none"/>
              </w:rPr>
              <w:t>g</w:t>
            </w:r>
            <w:r w:rsidRPr="00577624">
              <w:rPr>
                <w:rFonts w:ascii="Times New Roman" w:eastAsia="宋体" w:hAnsi="Times New Roman" w:cs="Times New Roman"/>
                <w:kern w:val="0"/>
                <w:szCs w:val="21"/>
                <w:lang w:bidi="hi-IN"/>
                <w14:ligatures w14:val="none"/>
              </w:rPr>
              <w:t xml:space="preserve"> = 2.884. Full parameters of each effect size (Hedges’ </w:t>
            </w:r>
            <w:r w:rsidRPr="00577624">
              <w:rPr>
                <w:rFonts w:ascii="Times New Roman" w:eastAsia="宋体" w:hAnsi="Times New Roman" w:cs="Times New Roman"/>
                <w:i/>
                <w:iCs/>
                <w:kern w:val="0"/>
                <w:szCs w:val="21"/>
                <w:lang w:bidi="hi-IN"/>
                <w14:ligatures w14:val="none"/>
              </w:rPr>
              <w:t>g</w:t>
            </w:r>
            <w:r w:rsidRPr="00577624">
              <w:rPr>
                <w:rFonts w:ascii="Times New Roman" w:eastAsia="宋体" w:hAnsi="Times New Roman" w:cs="Times New Roman"/>
                <w:kern w:val="0"/>
                <w:szCs w:val="21"/>
                <w:lang w:bidi="hi-IN"/>
                <w14:ligatures w14:val="none"/>
              </w:rPr>
              <w:t>, standard error, 95% CI) are traceable via the forest plot and raw dataset.</w:t>
            </w:r>
          </w:p>
        </w:tc>
        <w:tc>
          <w:tcPr>
            <w:tcW w:w="769" w:type="pct"/>
            <w:tcMar>
              <w:top w:w="120" w:type="dxa"/>
              <w:left w:w="120" w:type="dxa"/>
              <w:bottom w:w="120" w:type="dxa"/>
              <w:right w:w="120" w:type="dxa"/>
            </w:tcMar>
            <w:vAlign w:val="center"/>
            <w:hideMark/>
          </w:tcPr>
          <w:p w14:paraId="07AF41C8"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Figure 8 (Forest Plot); Table 1</w:t>
            </w:r>
          </w:p>
        </w:tc>
        <w:tc>
          <w:tcPr>
            <w:tcW w:w="585" w:type="pct"/>
            <w:tcMar>
              <w:top w:w="120" w:type="dxa"/>
              <w:left w:w="120" w:type="dxa"/>
              <w:bottom w:w="120" w:type="dxa"/>
              <w:right w:w="120" w:type="dxa"/>
            </w:tcMar>
            <w:vAlign w:val="center"/>
            <w:hideMark/>
          </w:tcPr>
          <w:p w14:paraId="697B47EE"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61D5259B" w14:textId="77777777" w:rsidTr="00A72D91">
        <w:trPr>
          <w:trHeight w:val="170"/>
          <w:jc w:val="center"/>
        </w:trPr>
        <w:tc>
          <w:tcPr>
            <w:tcW w:w="0" w:type="auto"/>
            <w:tcMar>
              <w:top w:w="120" w:type="dxa"/>
              <w:left w:w="120" w:type="dxa"/>
              <w:bottom w:w="120" w:type="dxa"/>
              <w:right w:w="120" w:type="dxa"/>
            </w:tcMar>
            <w:vAlign w:val="center"/>
            <w:hideMark/>
          </w:tcPr>
          <w:p w14:paraId="02967453"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22</w:t>
            </w:r>
          </w:p>
        </w:tc>
        <w:tc>
          <w:tcPr>
            <w:tcW w:w="768" w:type="pct"/>
            <w:tcMar>
              <w:top w:w="120" w:type="dxa"/>
              <w:left w:w="120" w:type="dxa"/>
              <w:bottom w:w="120" w:type="dxa"/>
              <w:right w:w="120" w:type="dxa"/>
            </w:tcMar>
            <w:vAlign w:val="center"/>
            <w:hideMark/>
          </w:tcPr>
          <w:p w14:paraId="60F93605"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Results of syntheses</w:t>
            </w:r>
          </w:p>
        </w:tc>
        <w:tc>
          <w:tcPr>
            <w:tcW w:w="2539" w:type="pct"/>
            <w:tcMar>
              <w:top w:w="120" w:type="dxa"/>
              <w:left w:w="120" w:type="dxa"/>
              <w:bottom w:w="120" w:type="dxa"/>
              <w:right w:w="120" w:type="dxa"/>
            </w:tcMar>
            <w:vAlign w:val="center"/>
            <w:hideMark/>
          </w:tcPr>
          <w:p w14:paraId="539A3B8E"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(1) Main effect: VE exerts a statistically significant small-to-medium positive effect on scientific inquiry skills relative to PE (Hedges’ </w:t>
            </w:r>
            <w:r w:rsidRPr="00577624">
              <w:rPr>
                <w:rFonts w:ascii="Times New Roman" w:eastAsia="宋体" w:hAnsi="Times New Roman" w:cs="Times New Roman"/>
                <w:i/>
                <w:iCs/>
                <w:kern w:val="0"/>
                <w:szCs w:val="21"/>
                <w:lang w:bidi="hi-IN"/>
                <w14:ligatures w14:val="none"/>
              </w:rPr>
              <w:t>g</w:t>
            </w:r>
            <w:r w:rsidRPr="00577624">
              <w:rPr>
                <w:rFonts w:ascii="Times New Roman" w:eastAsia="宋体" w:hAnsi="Times New Roman" w:cs="Times New Roman"/>
                <w:kern w:val="0"/>
                <w:szCs w:val="21"/>
                <w:lang w:bidi="hi-IN"/>
                <w14:ligatures w14:val="none"/>
              </w:rPr>
              <w:t xml:space="preserve"> = 0.454, 95% CI [0.081, 0.827],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&lt; 0.05).</w:t>
            </w:r>
          </w:p>
          <w:p w14:paraId="5EEB89FB"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 xml:space="preserve">(2) Model comparison: The three-level model has significantly better fit than the two-level simplified models (all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&lt; 0.01); the conventional two-level model underestimates standard errors by approximately 41%.</w:t>
            </w:r>
          </w:p>
          <w:p w14:paraId="0D194265"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(3) Heterogeneity: Overall heterogeneity is statistically significant (</w:t>
            </w:r>
            <w:proofErr w:type="gramStart"/>
            <w:r w:rsidRPr="00577624">
              <w:rPr>
                <w:rFonts w:ascii="Times New Roman" w:eastAsia="宋体" w:hAnsi="Times New Roman" w:cs="Times New Roman"/>
                <w:i/>
                <w:iCs/>
                <w:kern w:val="0"/>
                <w:szCs w:val="21"/>
                <w:lang w:bidi="hi-IN"/>
                <w14:ligatures w14:val="none"/>
              </w:rPr>
              <w:t>Q</w:t>
            </w:r>
            <w:r w:rsidRPr="00577624">
              <w:rPr>
                <w:rFonts w:ascii="Times New Roman" w:eastAsia="宋体" w:hAnsi="Times New Roman" w:cs="Times New Roman"/>
                <w:kern w:val="0"/>
                <w:szCs w:val="21"/>
                <w:lang w:bidi="hi-IN"/>
                <w14:ligatures w14:val="none"/>
              </w:rPr>
              <w:t>(</w:t>
            </w:r>
            <w:proofErr w:type="gramEnd"/>
            <w:r w:rsidRPr="00577624">
              <w:rPr>
                <w:rFonts w:ascii="Times New Roman" w:eastAsia="宋体" w:hAnsi="Times New Roman" w:cs="Times New Roman"/>
                <w:kern w:val="0"/>
                <w:szCs w:val="21"/>
                <w:lang w:bidi="hi-IN"/>
                <w14:ligatures w14:val="none"/>
              </w:rPr>
              <w:t xml:space="preserve">40) = 551.786,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&lt; 0.001); 31.32% of total heterogeneity comes from within-study variation, 62.88% from between-study variation; ICC = 0.647.</w:t>
            </w:r>
          </w:p>
          <w:p w14:paraId="1D14D8DC"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(4) Moderating effects: The moderating effect of subject type approaches statistical significance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 0.079); the overall moderating effects of educational level, intervention duration, and inquiry skill dimension do not reach the significance threshold. Subgroup analysis shows significantly positive effects in the senior high school, physics, and 4–8 week medium-duration subgroups.</w:t>
            </w:r>
          </w:p>
          <w:p w14:paraId="43D0444B"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(5) Robustness: After outlier exclusion and leave-one-out analysis, pooled effect sizes fluctuate between 0.353 and 0.530, all remaining statistically significant, indicating high robustness of conclusions.</w:t>
            </w:r>
          </w:p>
        </w:tc>
        <w:tc>
          <w:tcPr>
            <w:tcW w:w="769" w:type="pct"/>
            <w:tcMar>
              <w:top w:w="120" w:type="dxa"/>
              <w:left w:w="120" w:type="dxa"/>
              <w:bottom w:w="120" w:type="dxa"/>
              <w:right w:w="120" w:type="dxa"/>
            </w:tcMar>
            <w:vAlign w:val="center"/>
            <w:hideMark/>
          </w:tcPr>
          <w:p w14:paraId="27D8B8F4"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3.3–3.6; Tables 2–4</w:t>
            </w:r>
          </w:p>
        </w:tc>
        <w:tc>
          <w:tcPr>
            <w:tcW w:w="585" w:type="pct"/>
            <w:tcMar>
              <w:top w:w="120" w:type="dxa"/>
              <w:left w:w="120" w:type="dxa"/>
              <w:bottom w:w="120" w:type="dxa"/>
              <w:right w:w="120" w:type="dxa"/>
            </w:tcMar>
            <w:vAlign w:val="center"/>
            <w:hideMark/>
          </w:tcPr>
          <w:p w14:paraId="403C3BF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2591D230" w14:textId="77777777" w:rsidTr="00A72D91">
        <w:trPr>
          <w:trHeight w:val="170"/>
          <w:jc w:val="center"/>
        </w:trPr>
        <w:tc>
          <w:tcPr>
            <w:tcW w:w="0" w:type="auto"/>
            <w:tcMar>
              <w:top w:w="120" w:type="dxa"/>
              <w:left w:w="120" w:type="dxa"/>
              <w:bottom w:w="120" w:type="dxa"/>
              <w:right w:w="120" w:type="dxa"/>
            </w:tcMar>
            <w:vAlign w:val="center"/>
            <w:hideMark/>
          </w:tcPr>
          <w:p w14:paraId="491091F6"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23</w:t>
            </w:r>
          </w:p>
        </w:tc>
        <w:tc>
          <w:tcPr>
            <w:tcW w:w="768" w:type="pct"/>
            <w:tcMar>
              <w:top w:w="120" w:type="dxa"/>
              <w:left w:w="120" w:type="dxa"/>
              <w:bottom w:w="120" w:type="dxa"/>
              <w:right w:w="120" w:type="dxa"/>
            </w:tcMar>
            <w:vAlign w:val="center"/>
            <w:hideMark/>
          </w:tcPr>
          <w:p w14:paraId="1BBC5E5D"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Reporting biases</w:t>
            </w:r>
          </w:p>
        </w:tc>
        <w:tc>
          <w:tcPr>
            <w:tcW w:w="2539" w:type="pct"/>
            <w:tcMar>
              <w:top w:w="120" w:type="dxa"/>
              <w:left w:w="120" w:type="dxa"/>
              <w:bottom w:w="120" w:type="dxa"/>
              <w:right w:w="120" w:type="dxa"/>
            </w:tcMar>
            <w:vAlign w:val="center"/>
            <w:hideMark/>
          </w:tcPr>
          <w:p w14:paraId="247CE104" w14:textId="3D812332"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Three-level Egger’s regression test showed no statistically significant regression coefficient for standard error (</w:t>
            </w:r>
            <w:r w:rsidRPr="00DC0622">
              <w:rPr>
                <w:rFonts w:ascii="Times New Roman" w:eastAsia="宋体" w:hAnsi="Times New Roman" w:cs="Times New Roman"/>
                <w:i/>
                <w:iCs/>
                <w:kern w:val="0"/>
                <w:szCs w:val="21"/>
                <w:lang w:bidi="hi-IN"/>
                <w14:ligatures w14:val="none"/>
              </w:rPr>
              <w:t>β</w:t>
            </w:r>
            <w:r w:rsidRPr="00577624">
              <w:rPr>
                <w:rFonts w:ascii="Times New Roman" w:eastAsia="宋体" w:hAnsi="Times New Roman" w:cs="Times New Roman"/>
                <w:kern w:val="0"/>
                <w:szCs w:val="21"/>
                <w:lang w:bidi="hi-IN"/>
                <w14:ligatures w14:val="none"/>
              </w:rPr>
              <w:t xml:space="preserve"> = </w:t>
            </w:r>
            <w:r w:rsidR="00DC0622">
              <w:rPr>
                <w:rFonts w:ascii="Times New Roman" w:eastAsia="宋体" w:hAnsi="Times New Roman" w:cs="Times New Roman" w:hint="eastAsia"/>
                <w:kern w:val="0"/>
                <w:szCs w:val="21"/>
                <w:lang w:bidi="hi-IN"/>
                <w14:ligatures w14:val="none"/>
              </w:rPr>
              <w:t>-</w:t>
            </w:r>
            <w:r w:rsidRPr="00577624">
              <w:rPr>
                <w:rFonts w:ascii="Times New Roman" w:eastAsia="宋体" w:hAnsi="Times New Roman" w:cs="Times New Roman"/>
                <w:kern w:val="0"/>
                <w:szCs w:val="21"/>
                <w:lang w:bidi="hi-IN"/>
                <w14:ligatures w14:val="none"/>
              </w:rPr>
              <w:t xml:space="preserve">0.650, </w:t>
            </w:r>
            <w:r w:rsidRPr="00577624">
              <w:rPr>
                <w:rFonts w:ascii="Times New Roman" w:eastAsia="宋体" w:hAnsi="Times New Roman" w:cs="Times New Roman"/>
                <w:i/>
                <w:iCs/>
                <w:kern w:val="0"/>
                <w:szCs w:val="21"/>
                <w:lang w:bidi="hi-IN"/>
                <w14:ligatures w14:val="none"/>
              </w:rPr>
              <w:t>p</w:t>
            </w:r>
            <w:r w:rsidRPr="00577624">
              <w:rPr>
                <w:rFonts w:ascii="Times New Roman" w:eastAsia="宋体" w:hAnsi="Times New Roman" w:cs="Times New Roman"/>
                <w:kern w:val="0"/>
                <w:szCs w:val="21"/>
                <w:lang w:bidi="hi-IN"/>
                <w14:ligatures w14:val="none"/>
              </w:rPr>
              <w:t xml:space="preserve"> &gt; 0.05), and no significant publication bias was detected. The three-level trim-and-fill method identified no missing studies to be imputed. Orwin’s fail-safe </w:t>
            </w:r>
            <w:r w:rsidRPr="00DC0622">
              <w:rPr>
                <w:rFonts w:ascii="Times New Roman" w:eastAsia="宋体" w:hAnsi="Times New Roman" w:cs="Times New Roman"/>
                <w:i/>
                <w:iCs/>
                <w:kern w:val="0"/>
                <w:szCs w:val="21"/>
                <w:lang w:bidi="hi-IN"/>
                <w14:ligatures w14:val="none"/>
              </w:rPr>
              <w:t>N</w:t>
            </w:r>
            <w:r w:rsidRPr="00577624">
              <w:rPr>
                <w:rFonts w:ascii="Times New Roman" w:eastAsia="宋体" w:hAnsi="Times New Roman" w:cs="Times New Roman"/>
                <w:kern w:val="0"/>
                <w:szCs w:val="21"/>
                <w:lang w:bidi="hi-IN"/>
                <w14:ligatures w14:val="none"/>
              </w:rPr>
              <w:t xml:space="preserve"> was 2585, far exceeding the critical value of 115 (5</w:t>
            </w:r>
            <w:r w:rsidRPr="00DC0622">
              <w:rPr>
                <w:rFonts w:ascii="Times New Roman" w:eastAsia="宋体" w:hAnsi="Times New Roman" w:cs="Times New Roman"/>
                <w:i/>
                <w:iCs/>
                <w:kern w:val="0"/>
                <w:szCs w:val="21"/>
                <w:lang w:bidi="hi-IN"/>
                <w14:ligatures w14:val="none"/>
              </w:rPr>
              <w:t>k</w:t>
            </w:r>
            <w:r w:rsidRPr="00577624">
              <w:rPr>
                <w:rFonts w:ascii="Times New Roman" w:eastAsia="宋体" w:hAnsi="Times New Roman" w:cs="Times New Roman"/>
                <w:kern w:val="0"/>
                <w:szCs w:val="21"/>
                <w:lang w:bidi="hi-IN"/>
                <w14:ligatures w14:val="none"/>
              </w:rPr>
              <w:t xml:space="preserve">+10, </w:t>
            </w:r>
            <w:r w:rsidRPr="00DC0622">
              <w:rPr>
                <w:rFonts w:ascii="Times New Roman" w:eastAsia="宋体" w:hAnsi="Times New Roman" w:cs="Times New Roman"/>
                <w:i/>
                <w:iCs/>
                <w:kern w:val="0"/>
                <w:szCs w:val="21"/>
                <w:lang w:bidi="hi-IN"/>
                <w14:ligatures w14:val="none"/>
              </w:rPr>
              <w:t>k</w:t>
            </w:r>
            <w:r w:rsidRPr="00577624">
              <w:rPr>
                <w:rFonts w:ascii="Times New Roman" w:eastAsia="宋体" w:hAnsi="Times New Roman" w:cs="Times New Roman"/>
                <w:kern w:val="0"/>
                <w:szCs w:val="21"/>
                <w:lang w:bidi="hi-IN"/>
                <w14:ligatures w14:val="none"/>
              </w:rPr>
              <w:t xml:space="preserve"> = 21), indicating that the impact of publication bias on research conclusions is negligible. The funnel plot shows a generally symmetric distribution.</w:t>
            </w:r>
          </w:p>
        </w:tc>
        <w:tc>
          <w:tcPr>
            <w:tcW w:w="769" w:type="pct"/>
            <w:tcMar>
              <w:top w:w="120" w:type="dxa"/>
              <w:left w:w="120" w:type="dxa"/>
              <w:bottom w:w="120" w:type="dxa"/>
              <w:right w:w="120" w:type="dxa"/>
            </w:tcMar>
            <w:vAlign w:val="center"/>
            <w:hideMark/>
          </w:tcPr>
          <w:p w14:paraId="65D11803"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3.2; Figure 3 (Funnel Plot)</w:t>
            </w:r>
          </w:p>
        </w:tc>
        <w:tc>
          <w:tcPr>
            <w:tcW w:w="585" w:type="pct"/>
            <w:tcMar>
              <w:top w:w="120" w:type="dxa"/>
              <w:left w:w="120" w:type="dxa"/>
              <w:bottom w:w="120" w:type="dxa"/>
              <w:right w:w="120" w:type="dxa"/>
            </w:tcMar>
            <w:vAlign w:val="center"/>
            <w:hideMark/>
          </w:tcPr>
          <w:p w14:paraId="219328D2"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r w:rsidR="00A4107B" w:rsidRPr="00577624" w14:paraId="00DC74F8" w14:textId="77777777" w:rsidTr="00A72D91">
        <w:trPr>
          <w:trHeight w:val="170"/>
          <w:jc w:val="center"/>
        </w:trPr>
        <w:tc>
          <w:tcPr>
            <w:tcW w:w="0" w:type="auto"/>
            <w:tcMar>
              <w:top w:w="120" w:type="dxa"/>
              <w:left w:w="120" w:type="dxa"/>
              <w:bottom w:w="120" w:type="dxa"/>
              <w:right w:w="120" w:type="dxa"/>
            </w:tcMar>
            <w:vAlign w:val="center"/>
            <w:hideMark/>
          </w:tcPr>
          <w:p w14:paraId="6639435E"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25</w:t>
            </w:r>
          </w:p>
        </w:tc>
        <w:tc>
          <w:tcPr>
            <w:tcW w:w="768" w:type="pct"/>
            <w:tcMar>
              <w:top w:w="120" w:type="dxa"/>
              <w:left w:w="120" w:type="dxa"/>
              <w:bottom w:w="120" w:type="dxa"/>
              <w:right w:w="120" w:type="dxa"/>
            </w:tcMar>
            <w:vAlign w:val="center"/>
            <w:hideMark/>
          </w:tcPr>
          <w:p w14:paraId="3DDA5560"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Discussion</w:t>
            </w:r>
          </w:p>
        </w:tc>
        <w:tc>
          <w:tcPr>
            <w:tcW w:w="2539" w:type="pct"/>
            <w:tcMar>
              <w:top w:w="120" w:type="dxa"/>
              <w:left w:w="120" w:type="dxa"/>
              <w:bottom w:w="120" w:type="dxa"/>
              <w:right w:w="120" w:type="dxa"/>
            </w:tcMar>
            <w:vAlign w:val="center"/>
            <w:hideMark/>
          </w:tcPr>
          <w:p w14:paraId="7C0A10C0" w14:textId="77777777" w:rsidR="00A4107B" w:rsidRPr="00577624" w:rsidRDefault="00A4107B" w:rsidP="00A72D91">
            <w:pPr>
              <w:widowControl/>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The discussion section systematically summarizes core findings and contextualizes them against existing empirical evidence. It interprets the boundary conditions and internal mechanisms of moderating effects, and proposes an integrated theoretical perspective of “cognitive-embodied dynamic balance”. Research contributions are elaborated from three dimensions: theoretical, methodological, and practical. Four categories of limitations are systematically discussed: sample representativeness, research scope, methodological boundaries, and measurement heterogeneity, with corresponding future research directions proposed.</w:t>
            </w:r>
          </w:p>
        </w:tc>
        <w:tc>
          <w:tcPr>
            <w:tcW w:w="769" w:type="pct"/>
            <w:tcMar>
              <w:top w:w="120" w:type="dxa"/>
              <w:left w:w="120" w:type="dxa"/>
              <w:bottom w:w="120" w:type="dxa"/>
              <w:right w:w="120" w:type="dxa"/>
            </w:tcMar>
            <w:vAlign w:val="center"/>
            <w:hideMark/>
          </w:tcPr>
          <w:p w14:paraId="29317D87"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Section 4 (Discussion and Conclusions); Section 5 (Limitations and Future Directions)</w:t>
            </w:r>
          </w:p>
        </w:tc>
        <w:tc>
          <w:tcPr>
            <w:tcW w:w="585" w:type="pct"/>
            <w:tcMar>
              <w:top w:w="120" w:type="dxa"/>
              <w:left w:w="120" w:type="dxa"/>
              <w:bottom w:w="120" w:type="dxa"/>
              <w:right w:w="120" w:type="dxa"/>
            </w:tcMar>
            <w:vAlign w:val="center"/>
            <w:hideMark/>
          </w:tcPr>
          <w:p w14:paraId="6AA96D8C" w14:textId="77777777" w:rsidR="00A4107B" w:rsidRPr="00577624" w:rsidRDefault="00A4107B" w:rsidP="00A72D91">
            <w:pPr>
              <w:widowControl/>
              <w:jc w:val="center"/>
              <w:rPr>
                <w:rFonts w:ascii="Times New Roman" w:eastAsia="宋体" w:hAnsi="Times New Roman" w:cs="Times New Roman"/>
                <w:kern w:val="0"/>
                <w:szCs w:val="21"/>
                <w:lang w:bidi="hi-IN"/>
                <w14:ligatures w14:val="none"/>
              </w:rPr>
            </w:pPr>
            <w:r w:rsidRPr="00577624">
              <w:rPr>
                <w:rFonts w:ascii="Times New Roman" w:eastAsia="宋体" w:hAnsi="Times New Roman" w:cs="Times New Roman"/>
                <w:kern w:val="0"/>
                <w:szCs w:val="21"/>
                <w:lang w:bidi="hi-IN"/>
                <w14:ligatures w14:val="none"/>
              </w:rPr>
              <w:t>Complete</w:t>
            </w:r>
          </w:p>
        </w:tc>
      </w:tr>
    </w:tbl>
    <w:p w14:paraId="063BAC04" w14:textId="763161E3" w:rsidR="000B638F" w:rsidRPr="00A4107B" w:rsidRDefault="000B638F" w:rsidP="00A4107B">
      <w:pPr>
        <w:rPr>
          <w:rFonts w:ascii="Times New Roman" w:eastAsia="黑体" w:hAnsi="Times New Roman" w:cs="Times New Roman"/>
          <w:color w:val="000000" w:themeColor="text1"/>
          <w:szCs w:val="21"/>
        </w:rPr>
      </w:pPr>
    </w:p>
    <w:sectPr w:rsidR="000B638F" w:rsidRPr="00A410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A1EEE"/>
    <w:multiLevelType w:val="hybridMultilevel"/>
    <w:tmpl w:val="EC840106"/>
    <w:lvl w:ilvl="0" w:tplc="D034129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8321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68"/>
    <w:rsid w:val="00011A9B"/>
    <w:rsid w:val="00016FF8"/>
    <w:rsid w:val="00021265"/>
    <w:rsid w:val="00022CBF"/>
    <w:rsid w:val="00022EA0"/>
    <w:rsid w:val="00024A10"/>
    <w:rsid w:val="000354A8"/>
    <w:rsid w:val="0003657E"/>
    <w:rsid w:val="0003687D"/>
    <w:rsid w:val="0004177E"/>
    <w:rsid w:val="000448EA"/>
    <w:rsid w:val="000467D2"/>
    <w:rsid w:val="0005014F"/>
    <w:rsid w:val="000519AF"/>
    <w:rsid w:val="00052237"/>
    <w:rsid w:val="0005292D"/>
    <w:rsid w:val="0005508A"/>
    <w:rsid w:val="00057865"/>
    <w:rsid w:val="00060D49"/>
    <w:rsid w:val="0006491E"/>
    <w:rsid w:val="0006509B"/>
    <w:rsid w:val="00066BA3"/>
    <w:rsid w:val="00067ED0"/>
    <w:rsid w:val="00070AB6"/>
    <w:rsid w:val="00071095"/>
    <w:rsid w:val="00074D9A"/>
    <w:rsid w:val="0007724E"/>
    <w:rsid w:val="00077E03"/>
    <w:rsid w:val="00080FEA"/>
    <w:rsid w:val="000811C5"/>
    <w:rsid w:val="000815A3"/>
    <w:rsid w:val="00082656"/>
    <w:rsid w:val="0008610A"/>
    <w:rsid w:val="00096015"/>
    <w:rsid w:val="00096642"/>
    <w:rsid w:val="00097FDC"/>
    <w:rsid w:val="000A0A74"/>
    <w:rsid w:val="000A2013"/>
    <w:rsid w:val="000A360F"/>
    <w:rsid w:val="000B1CB3"/>
    <w:rsid w:val="000B397D"/>
    <w:rsid w:val="000B59D6"/>
    <w:rsid w:val="000B638F"/>
    <w:rsid w:val="000C4D54"/>
    <w:rsid w:val="000C4E99"/>
    <w:rsid w:val="000C5ECB"/>
    <w:rsid w:val="000C6C08"/>
    <w:rsid w:val="000C7762"/>
    <w:rsid w:val="000D27DB"/>
    <w:rsid w:val="000D2CED"/>
    <w:rsid w:val="000D3ECF"/>
    <w:rsid w:val="000E1DF7"/>
    <w:rsid w:val="000E3ACE"/>
    <w:rsid w:val="000E3DB2"/>
    <w:rsid w:val="000F006C"/>
    <w:rsid w:val="000F05C7"/>
    <w:rsid w:val="000F189E"/>
    <w:rsid w:val="000F5D46"/>
    <w:rsid w:val="001020A8"/>
    <w:rsid w:val="00102351"/>
    <w:rsid w:val="00104C94"/>
    <w:rsid w:val="00105749"/>
    <w:rsid w:val="00106C80"/>
    <w:rsid w:val="00107C64"/>
    <w:rsid w:val="0011024D"/>
    <w:rsid w:val="001105B9"/>
    <w:rsid w:val="00110794"/>
    <w:rsid w:val="00112162"/>
    <w:rsid w:val="0011416F"/>
    <w:rsid w:val="001173FE"/>
    <w:rsid w:val="001175E9"/>
    <w:rsid w:val="00117E08"/>
    <w:rsid w:val="00122F59"/>
    <w:rsid w:val="001231D3"/>
    <w:rsid w:val="00132256"/>
    <w:rsid w:val="00134854"/>
    <w:rsid w:val="00141714"/>
    <w:rsid w:val="00141BF7"/>
    <w:rsid w:val="00143184"/>
    <w:rsid w:val="00145C11"/>
    <w:rsid w:val="00145D00"/>
    <w:rsid w:val="00146D55"/>
    <w:rsid w:val="00151CCC"/>
    <w:rsid w:val="00156329"/>
    <w:rsid w:val="0015744D"/>
    <w:rsid w:val="001600CE"/>
    <w:rsid w:val="00160924"/>
    <w:rsid w:val="00160951"/>
    <w:rsid w:val="00160A9A"/>
    <w:rsid w:val="0016264B"/>
    <w:rsid w:val="00172A95"/>
    <w:rsid w:val="001732D0"/>
    <w:rsid w:val="001734CE"/>
    <w:rsid w:val="00183EEB"/>
    <w:rsid w:val="001864D9"/>
    <w:rsid w:val="00186AA7"/>
    <w:rsid w:val="00195B02"/>
    <w:rsid w:val="001A0050"/>
    <w:rsid w:val="001A06C3"/>
    <w:rsid w:val="001A3E0B"/>
    <w:rsid w:val="001A583A"/>
    <w:rsid w:val="001A62F7"/>
    <w:rsid w:val="001A7A02"/>
    <w:rsid w:val="001B3531"/>
    <w:rsid w:val="001B685B"/>
    <w:rsid w:val="001B6B4C"/>
    <w:rsid w:val="001B7038"/>
    <w:rsid w:val="001C033C"/>
    <w:rsid w:val="001C049D"/>
    <w:rsid w:val="001C1ED7"/>
    <w:rsid w:val="001C4369"/>
    <w:rsid w:val="001C488D"/>
    <w:rsid w:val="001C54DA"/>
    <w:rsid w:val="001D011E"/>
    <w:rsid w:val="001D332F"/>
    <w:rsid w:val="001D7484"/>
    <w:rsid w:val="001D75AF"/>
    <w:rsid w:val="001D7A50"/>
    <w:rsid w:val="001E0574"/>
    <w:rsid w:val="001E1FEF"/>
    <w:rsid w:val="001E40E2"/>
    <w:rsid w:val="001E53C2"/>
    <w:rsid w:val="001E5F62"/>
    <w:rsid w:val="001E6BFE"/>
    <w:rsid w:val="001E726D"/>
    <w:rsid w:val="001E74CA"/>
    <w:rsid w:val="001E7C14"/>
    <w:rsid w:val="001F21AA"/>
    <w:rsid w:val="002047AC"/>
    <w:rsid w:val="00204F94"/>
    <w:rsid w:val="00205081"/>
    <w:rsid w:val="00206F26"/>
    <w:rsid w:val="00207285"/>
    <w:rsid w:val="00207E48"/>
    <w:rsid w:val="002101C0"/>
    <w:rsid w:val="00211116"/>
    <w:rsid w:val="00211661"/>
    <w:rsid w:val="00215591"/>
    <w:rsid w:val="002157D4"/>
    <w:rsid w:val="00216AAA"/>
    <w:rsid w:val="00217954"/>
    <w:rsid w:val="00221BF7"/>
    <w:rsid w:val="00222CC6"/>
    <w:rsid w:val="00222CCD"/>
    <w:rsid w:val="002244C3"/>
    <w:rsid w:val="0022454F"/>
    <w:rsid w:val="002259EA"/>
    <w:rsid w:val="002262EA"/>
    <w:rsid w:val="002264A4"/>
    <w:rsid w:val="00232C31"/>
    <w:rsid w:val="00233278"/>
    <w:rsid w:val="00234E12"/>
    <w:rsid w:val="00240969"/>
    <w:rsid w:val="00241ACE"/>
    <w:rsid w:val="00243A1F"/>
    <w:rsid w:val="002461C0"/>
    <w:rsid w:val="00250148"/>
    <w:rsid w:val="0025297E"/>
    <w:rsid w:val="00254C6B"/>
    <w:rsid w:val="002551E2"/>
    <w:rsid w:val="002551FA"/>
    <w:rsid w:val="0026500F"/>
    <w:rsid w:val="002661BE"/>
    <w:rsid w:val="00266839"/>
    <w:rsid w:val="002733F4"/>
    <w:rsid w:val="002751B0"/>
    <w:rsid w:val="00276252"/>
    <w:rsid w:val="00286006"/>
    <w:rsid w:val="00287727"/>
    <w:rsid w:val="00287ACC"/>
    <w:rsid w:val="00290676"/>
    <w:rsid w:val="00290D2F"/>
    <w:rsid w:val="00296130"/>
    <w:rsid w:val="00297211"/>
    <w:rsid w:val="0029784D"/>
    <w:rsid w:val="002A11E5"/>
    <w:rsid w:val="002A198A"/>
    <w:rsid w:val="002B3433"/>
    <w:rsid w:val="002B38E9"/>
    <w:rsid w:val="002C16A4"/>
    <w:rsid w:val="002C2847"/>
    <w:rsid w:val="002C5DDD"/>
    <w:rsid w:val="002C774E"/>
    <w:rsid w:val="002C7E8B"/>
    <w:rsid w:val="002D15AC"/>
    <w:rsid w:val="002E0BA2"/>
    <w:rsid w:val="002E3427"/>
    <w:rsid w:val="002E557E"/>
    <w:rsid w:val="002E5C89"/>
    <w:rsid w:val="00304948"/>
    <w:rsid w:val="00305C87"/>
    <w:rsid w:val="00310702"/>
    <w:rsid w:val="003148C7"/>
    <w:rsid w:val="00316766"/>
    <w:rsid w:val="0031769D"/>
    <w:rsid w:val="003207F3"/>
    <w:rsid w:val="00320D0D"/>
    <w:rsid w:val="003276EC"/>
    <w:rsid w:val="00327AEA"/>
    <w:rsid w:val="0033067A"/>
    <w:rsid w:val="00330B07"/>
    <w:rsid w:val="0033139C"/>
    <w:rsid w:val="003339FF"/>
    <w:rsid w:val="003351C6"/>
    <w:rsid w:val="00335A3D"/>
    <w:rsid w:val="003371EA"/>
    <w:rsid w:val="00344AAB"/>
    <w:rsid w:val="0034743C"/>
    <w:rsid w:val="00353724"/>
    <w:rsid w:val="00361E35"/>
    <w:rsid w:val="00362D72"/>
    <w:rsid w:val="00364033"/>
    <w:rsid w:val="00364661"/>
    <w:rsid w:val="00366120"/>
    <w:rsid w:val="00372158"/>
    <w:rsid w:val="00375BC2"/>
    <w:rsid w:val="00376CFB"/>
    <w:rsid w:val="003803CD"/>
    <w:rsid w:val="00381270"/>
    <w:rsid w:val="003845D8"/>
    <w:rsid w:val="00385BEF"/>
    <w:rsid w:val="003878D5"/>
    <w:rsid w:val="003929F6"/>
    <w:rsid w:val="00395109"/>
    <w:rsid w:val="00395202"/>
    <w:rsid w:val="0039527A"/>
    <w:rsid w:val="00396D4C"/>
    <w:rsid w:val="003A0391"/>
    <w:rsid w:val="003A5B52"/>
    <w:rsid w:val="003A671B"/>
    <w:rsid w:val="003A7843"/>
    <w:rsid w:val="003B38A3"/>
    <w:rsid w:val="003B6509"/>
    <w:rsid w:val="003B6B1E"/>
    <w:rsid w:val="003B72CD"/>
    <w:rsid w:val="003C01DF"/>
    <w:rsid w:val="003C4505"/>
    <w:rsid w:val="003C4680"/>
    <w:rsid w:val="003C688C"/>
    <w:rsid w:val="003D34A0"/>
    <w:rsid w:val="003D4E09"/>
    <w:rsid w:val="003E159A"/>
    <w:rsid w:val="003E26F2"/>
    <w:rsid w:val="003E55F6"/>
    <w:rsid w:val="003E6442"/>
    <w:rsid w:val="003E7116"/>
    <w:rsid w:val="003F1116"/>
    <w:rsid w:val="003F14AF"/>
    <w:rsid w:val="003F3B07"/>
    <w:rsid w:val="003F4AE6"/>
    <w:rsid w:val="003F572F"/>
    <w:rsid w:val="003F7EA9"/>
    <w:rsid w:val="00401352"/>
    <w:rsid w:val="0040144E"/>
    <w:rsid w:val="0040253B"/>
    <w:rsid w:val="00402708"/>
    <w:rsid w:val="00403A90"/>
    <w:rsid w:val="00404BF7"/>
    <w:rsid w:val="00406A8A"/>
    <w:rsid w:val="00413F00"/>
    <w:rsid w:val="00416C3B"/>
    <w:rsid w:val="004219D2"/>
    <w:rsid w:val="004223E9"/>
    <w:rsid w:val="004229DC"/>
    <w:rsid w:val="0042494D"/>
    <w:rsid w:val="00424D9B"/>
    <w:rsid w:val="0042526F"/>
    <w:rsid w:val="004274B8"/>
    <w:rsid w:val="00427B21"/>
    <w:rsid w:val="004338DA"/>
    <w:rsid w:val="00433BA3"/>
    <w:rsid w:val="00434D2E"/>
    <w:rsid w:val="00440286"/>
    <w:rsid w:val="004415A9"/>
    <w:rsid w:val="00443E92"/>
    <w:rsid w:val="00445DA3"/>
    <w:rsid w:val="00450647"/>
    <w:rsid w:val="00454A58"/>
    <w:rsid w:val="00456615"/>
    <w:rsid w:val="004579B6"/>
    <w:rsid w:val="00464B61"/>
    <w:rsid w:val="004709F9"/>
    <w:rsid w:val="0047162D"/>
    <w:rsid w:val="00476018"/>
    <w:rsid w:val="00477031"/>
    <w:rsid w:val="004807EA"/>
    <w:rsid w:val="00481805"/>
    <w:rsid w:val="00483AF4"/>
    <w:rsid w:val="00484ADC"/>
    <w:rsid w:val="0048634B"/>
    <w:rsid w:val="004863A7"/>
    <w:rsid w:val="00486A3D"/>
    <w:rsid w:val="00490A85"/>
    <w:rsid w:val="00491610"/>
    <w:rsid w:val="00492E8F"/>
    <w:rsid w:val="0049363B"/>
    <w:rsid w:val="00493C07"/>
    <w:rsid w:val="00495590"/>
    <w:rsid w:val="004956BA"/>
    <w:rsid w:val="004976E5"/>
    <w:rsid w:val="00497B35"/>
    <w:rsid w:val="004A1423"/>
    <w:rsid w:val="004B20A7"/>
    <w:rsid w:val="004C0726"/>
    <w:rsid w:val="004C0908"/>
    <w:rsid w:val="004C169F"/>
    <w:rsid w:val="004C37D8"/>
    <w:rsid w:val="004C63EF"/>
    <w:rsid w:val="004D30E7"/>
    <w:rsid w:val="004D3F0A"/>
    <w:rsid w:val="004D549E"/>
    <w:rsid w:val="004E0910"/>
    <w:rsid w:val="004F0712"/>
    <w:rsid w:val="004F1867"/>
    <w:rsid w:val="004F4DC1"/>
    <w:rsid w:val="004F4DCF"/>
    <w:rsid w:val="00502E97"/>
    <w:rsid w:val="0050302C"/>
    <w:rsid w:val="0050403D"/>
    <w:rsid w:val="00505DA6"/>
    <w:rsid w:val="005071AD"/>
    <w:rsid w:val="005170CC"/>
    <w:rsid w:val="0052186B"/>
    <w:rsid w:val="005262B0"/>
    <w:rsid w:val="005305F2"/>
    <w:rsid w:val="005347B6"/>
    <w:rsid w:val="005348A5"/>
    <w:rsid w:val="00535BB1"/>
    <w:rsid w:val="00542B29"/>
    <w:rsid w:val="005438EF"/>
    <w:rsid w:val="00552725"/>
    <w:rsid w:val="00552E07"/>
    <w:rsid w:val="0055498F"/>
    <w:rsid w:val="00557FBB"/>
    <w:rsid w:val="005650E2"/>
    <w:rsid w:val="005667EE"/>
    <w:rsid w:val="00567B0E"/>
    <w:rsid w:val="00570028"/>
    <w:rsid w:val="00574D8A"/>
    <w:rsid w:val="0057505F"/>
    <w:rsid w:val="00575F62"/>
    <w:rsid w:val="00577624"/>
    <w:rsid w:val="00580017"/>
    <w:rsid w:val="00580C89"/>
    <w:rsid w:val="00580D83"/>
    <w:rsid w:val="005863FC"/>
    <w:rsid w:val="00587B08"/>
    <w:rsid w:val="00591AF3"/>
    <w:rsid w:val="005A04A7"/>
    <w:rsid w:val="005A23EE"/>
    <w:rsid w:val="005A4678"/>
    <w:rsid w:val="005B5B88"/>
    <w:rsid w:val="005B701A"/>
    <w:rsid w:val="005B79B8"/>
    <w:rsid w:val="005B7ABE"/>
    <w:rsid w:val="005B7AEE"/>
    <w:rsid w:val="005C2395"/>
    <w:rsid w:val="005C4185"/>
    <w:rsid w:val="005C5CA9"/>
    <w:rsid w:val="005D13F5"/>
    <w:rsid w:val="005D25F1"/>
    <w:rsid w:val="005D5E6E"/>
    <w:rsid w:val="005E1A6B"/>
    <w:rsid w:val="005E24F4"/>
    <w:rsid w:val="005E299E"/>
    <w:rsid w:val="005E3131"/>
    <w:rsid w:val="005E633E"/>
    <w:rsid w:val="005F37E2"/>
    <w:rsid w:val="005F391F"/>
    <w:rsid w:val="005F57E3"/>
    <w:rsid w:val="005F6495"/>
    <w:rsid w:val="005F6711"/>
    <w:rsid w:val="005F763D"/>
    <w:rsid w:val="00600CBF"/>
    <w:rsid w:val="00600D8F"/>
    <w:rsid w:val="0060429A"/>
    <w:rsid w:val="006100AB"/>
    <w:rsid w:val="0061079A"/>
    <w:rsid w:val="00612D45"/>
    <w:rsid w:val="00613BF6"/>
    <w:rsid w:val="006141B5"/>
    <w:rsid w:val="006210DE"/>
    <w:rsid w:val="006311D2"/>
    <w:rsid w:val="00640CBD"/>
    <w:rsid w:val="006433D2"/>
    <w:rsid w:val="0064389B"/>
    <w:rsid w:val="0064759A"/>
    <w:rsid w:val="00663E58"/>
    <w:rsid w:val="006669D9"/>
    <w:rsid w:val="00667A99"/>
    <w:rsid w:val="00672E26"/>
    <w:rsid w:val="006732F1"/>
    <w:rsid w:val="0067332B"/>
    <w:rsid w:val="006760F9"/>
    <w:rsid w:val="00680B4F"/>
    <w:rsid w:val="006850C9"/>
    <w:rsid w:val="00690F60"/>
    <w:rsid w:val="00691BFD"/>
    <w:rsid w:val="006922D2"/>
    <w:rsid w:val="0069467B"/>
    <w:rsid w:val="006971EC"/>
    <w:rsid w:val="006A3C67"/>
    <w:rsid w:val="006A3C73"/>
    <w:rsid w:val="006B4D5F"/>
    <w:rsid w:val="006B6EC2"/>
    <w:rsid w:val="006C1614"/>
    <w:rsid w:val="006C225C"/>
    <w:rsid w:val="006C3107"/>
    <w:rsid w:val="006C37F8"/>
    <w:rsid w:val="006C62D7"/>
    <w:rsid w:val="006D16C2"/>
    <w:rsid w:val="006D3158"/>
    <w:rsid w:val="006D73A8"/>
    <w:rsid w:val="006E239B"/>
    <w:rsid w:val="006E24F1"/>
    <w:rsid w:val="006E25CA"/>
    <w:rsid w:val="006E56EA"/>
    <w:rsid w:val="006E76DD"/>
    <w:rsid w:val="006E7BDB"/>
    <w:rsid w:val="006F079E"/>
    <w:rsid w:val="006F0CF7"/>
    <w:rsid w:val="006F0E9D"/>
    <w:rsid w:val="006F1761"/>
    <w:rsid w:val="006F2226"/>
    <w:rsid w:val="007000A7"/>
    <w:rsid w:val="0070387A"/>
    <w:rsid w:val="00704245"/>
    <w:rsid w:val="00704592"/>
    <w:rsid w:val="0070795F"/>
    <w:rsid w:val="007117D3"/>
    <w:rsid w:val="007135E7"/>
    <w:rsid w:val="0071517F"/>
    <w:rsid w:val="0071553D"/>
    <w:rsid w:val="00721D7C"/>
    <w:rsid w:val="00721EA6"/>
    <w:rsid w:val="00723AAE"/>
    <w:rsid w:val="00725FEA"/>
    <w:rsid w:val="00726FEC"/>
    <w:rsid w:val="00727FC7"/>
    <w:rsid w:val="0073165A"/>
    <w:rsid w:val="007323EB"/>
    <w:rsid w:val="0073293C"/>
    <w:rsid w:val="00732E01"/>
    <w:rsid w:val="00733052"/>
    <w:rsid w:val="007339C9"/>
    <w:rsid w:val="00733A90"/>
    <w:rsid w:val="00734348"/>
    <w:rsid w:val="0073577A"/>
    <w:rsid w:val="0073738C"/>
    <w:rsid w:val="00737EB6"/>
    <w:rsid w:val="007407FF"/>
    <w:rsid w:val="00741253"/>
    <w:rsid w:val="00745ABE"/>
    <w:rsid w:val="00750EA2"/>
    <w:rsid w:val="00753587"/>
    <w:rsid w:val="007544E0"/>
    <w:rsid w:val="00755936"/>
    <w:rsid w:val="007579A0"/>
    <w:rsid w:val="00764044"/>
    <w:rsid w:val="007652DF"/>
    <w:rsid w:val="00777B52"/>
    <w:rsid w:val="00777C76"/>
    <w:rsid w:val="0078193C"/>
    <w:rsid w:val="007862A9"/>
    <w:rsid w:val="007873A1"/>
    <w:rsid w:val="00791401"/>
    <w:rsid w:val="00795DFD"/>
    <w:rsid w:val="00797A48"/>
    <w:rsid w:val="00797DB6"/>
    <w:rsid w:val="00797DFE"/>
    <w:rsid w:val="00797F8F"/>
    <w:rsid w:val="007A1447"/>
    <w:rsid w:val="007A39BE"/>
    <w:rsid w:val="007A7073"/>
    <w:rsid w:val="007A7B8B"/>
    <w:rsid w:val="007B1D87"/>
    <w:rsid w:val="007B5353"/>
    <w:rsid w:val="007B5BF2"/>
    <w:rsid w:val="007B7184"/>
    <w:rsid w:val="007B7196"/>
    <w:rsid w:val="007C08EF"/>
    <w:rsid w:val="007C4B94"/>
    <w:rsid w:val="007C7874"/>
    <w:rsid w:val="007D32F0"/>
    <w:rsid w:val="007D52E3"/>
    <w:rsid w:val="007D5561"/>
    <w:rsid w:val="007E1EFE"/>
    <w:rsid w:val="007E1F21"/>
    <w:rsid w:val="007E2A0C"/>
    <w:rsid w:val="007E64F5"/>
    <w:rsid w:val="007F0540"/>
    <w:rsid w:val="007F12DD"/>
    <w:rsid w:val="007F6481"/>
    <w:rsid w:val="007F78BC"/>
    <w:rsid w:val="00803A17"/>
    <w:rsid w:val="00806052"/>
    <w:rsid w:val="00807BA2"/>
    <w:rsid w:val="00810701"/>
    <w:rsid w:val="00810E9A"/>
    <w:rsid w:val="00812956"/>
    <w:rsid w:val="00812A81"/>
    <w:rsid w:val="008134A9"/>
    <w:rsid w:val="008154C0"/>
    <w:rsid w:val="00815692"/>
    <w:rsid w:val="0081622F"/>
    <w:rsid w:val="00820CE4"/>
    <w:rsid w:val="0082169E"/>
    <w:rsid w:val="00823E9A"/>
    <w:rsid w:val="00826BD8"/>
    <w:rsid w:val="00826D25"/>
    <w:rsid w:val="008306D4"/>
    <w:rsid w:val="008332AB"/>
    <w:rsid w:val="00833DBD"/>
    <w:rsid w:val="008356DD"/>
    <w:rsid w:val="008415F2"/>
    <w:rsid w:val="00841698"/>
    <w:rsid w:val="00841707"/>
    <w:rsid w:val="00843405"/>
    <w:rsid w:val="00844D78"/>
    <w:rsid w:val="008456FA"/>
    <w:rsid w:val="0085182C"/>
    <w:rsid w:val="00853166"/>
    <w:rsid w:val="00855193"/>
    <w:rsid w:val="008552AF"/>
    <w:rsid w:val="00860BA4"/>
    <w:rsid w:val="0086160A"/>
    <w:rsid w:val="00862873"/>
    <w:rsid w:val="00863F77"/>
    <w:rsid w:val="008645F4"/>
    <w:rsid w:val="00872739"/>
    <w:rsid w:val="00872810"/>
    <w:rsid w:val="00873C12"/>
    <w:rsid w:val="00873E33"/>
    <w:rsid w:val="00875471"/>
    <w:rsid w:val="008757F8"/>
    <w:rsid w:val="00880496"/>
    <w:rsid w:val="00884DD2"/>
    <w:rsid w:val="00885439"/>
    <w:rsid w:val="00886B0D"/>
    <w:rsid w:val="00887906"/>
    <w:rsid w:val="008900BA"/>
    <w:rsid w:val="008919FE"/>
    <w:rsid w:val="008966CB"/>
    <w:rsid w:val="00897D72"/>
    <w:rsid w:val="008A0A38"/>
    <w:rsid w:val="008A39A6"/>
    <w:rsid w:val="008A4AA2"/>
    <w:rsid w:val="008A5F3D"/>
    <w:rsid w:val="008A66E8"/>
    <w:rsid w:val="008B075D"/>
    <w:rsid w:val="008B7306"/>
    <w:rsid w:val="008C1F8A"/>
    <w:rsid w:val="008C6E25"/>
    <w:rsid w:val="008C7338"/>
    <w:rsid w:val="008D03FE"/>
    <w:rsid w:val="008D416F"/>
    <w:rsid w:val="008E56F6"/>
    <w:rsid w:val="008E75A7"/>
    <w:rsid w:val="008F0110"/>
    <w:rsid w:val="008F0C6D"/>
    <w:rsid w:val="008F1C94"/>
    <w:rsid w:val="008F4818"/>
    <w:rsid w:val="008F55E7"/>
    <w:rsid w:val="00900D96"/>
    <w:rsid w:val="00901FA3"/>
    <w:rsid w:val="009022B2"/>
    <w:rsid w:val="009046E0"/>
    <w:rsid w:val="0091055B"/>
    <w:rsid w:val="00910C19"/>
    <w:rsid w:val="00910C6D"/>
    <w:rsid w:val="00911CF3"/>
    <w:rsid w:val="009151DA"/>
    <w:rsid w:val="00915CAF"/>
    <w:rsid w:val="00916DC7"/>
    <w:rsid w:val="0092287F"/>
    <w:rsid w:val="0092552C"/>
    <w:rsid w:val="00926833"/>
    <w:rsid w:val="00931E79"/>
    <w:rsid w:val="0093562D"/>
    <w:rsid w:val="0093647D"/>
    <w:rsid w:val="0093682D"/>
    <w:rsid w:val="009421D7"/>
    <w:rsid w:val="009454E1"/>
    <w:rsid w:val="0094614B"/>
    <w:rsid w:val="00946283"/>
    <w:rsid w:val="00953969"/>
    <w:rsid w:val="00953B29"/>
    <w:rsid w:val="00954B35"/>
    <w:rsid w:val="0095601F"/>
    <w:rsid w:val="00960182"/>
    <w:rsid w:val="00961398"/>
    <w:rsid w:val="0096143B"/>
    <w:rsid w:val="00963D62"/>
    <w:rsid w:val="0096555E"/>
    <w:rsid w:val="0097179A"/>
    <w:rsid w:val="009775EE"/>
    <w:rsid w:val="00991ACA"/>
    <w:rsid w:val="0099247F"/>
    <w:rsid w:val="00993D1C"/>
    <w:rsid w:val="009A601E"/>
    <w:rsid w:val="009A6115"/>
    <w:rsid w:val="009B13CE"/>
    <w:rsid w:val="009B3A7E"/>
    <w:rsid w:val="009B56C8"/>
    <w:rsid w:val="009B5BC1"/>
    <w:rsid w:val="009B7396"/>
    <w:rsid w:val="009C02A2"/>
    <w:rsid w:val="009C1339"/>
    <w:rsid w:val="009C2EDB"/>
    <w:rsid w:val="009C6B2C"/>
    <w:rsid w:val="009C7427"/>
    <w:rsid w:val="009D0261"/>
    <w:rsid w:val="009D4950"/>
    <w:rsid w:val="009D62DF"/>
    <w:rsid w:val="009D6686"/>
    <w:rsid w:val="009E04F7"/>
    <w:rsid w:val="009E1ADB"/>
    <w:rsid w:val="009E50F4"/>
    <w:rsid w:val="009E5F26"/>
    <w:rsid w:val="009E71CC"/>
    <w:rsid w:val="009F2699"/>
    <w:rsid w:val="009F2F02"/>
    <w:rsid w:val="009F4AA3"/>
    <w:rsid w:val="00A01732"/>
    <w:rsid w:val="00A0679A"/>
    <w:rsid w:val="00A070A1"/>
    <w:rsid w:val="00A15AEC"/>
    <w:rsid w:val="00A16503"/>
    <w:rsid w:val="00A2516C"/>
    <w:rsid w:val="00A270C3"/>
    <w:rsid w:val="00A277BD"/>
    <w:rsid w:val="00A3120E"/>
    <w:rsid w:val="00A34B9F"/>
    <w:rsid w:val="00A3647B"/>
    <w:rsid w:val="00A37135"/>
    <w:rsid w:val="00A376DC"/>
    <w:rsid w:val="00A4107B"/>
    <w:rsid w:val="00A42147"/>
    <w:rsid w:val="00A42166"/>
    <w:rsid w:val="00A4265D"/>
    <w:rsid w:val="00A42931"/>
    <w:rsid w:val="00A458B9"/>
    <w:rsid w:val="00A45E12"/>
    <w:rsid w:val="00A51DEA"/>
    <w:rsid w:val="00A53971"/>
    <w:rsid w:val="00A5651F"/>
    <w:rsid w:val="00A57772"/>
    <w:rsid w:val="00A729B5"/>
    <w:rsid w:val="00A72D91"/>
    <w:rsid w:val="00A738BA"/>
    <w:rsid w:val="00A74259"/>
    <w:rsid w:val="00A74317"/>
    <w:rsid w:val="00A752D8"/>
    <w:rsid w:val="00A75A6C"/>
    <w:rsid w:val="00A75F13"/>
    <w:rsid w:val="00A774BB"/>
    <w:rsid w:val="00A8055A"/>
    <w:rsid w:val="00A834C9"/>
    <w:rsid w:val="00A855AB"/>
    <w:rsid w:val="00A86578"/>
    <w:rsid w:val="00A93093"/>
    <w:rsid w:val="00A9626E"/>
    <w:rsid w:val="00AA23AB"/>
    <w:rsid w:val="00AA38E2"/>
    <w:rsid w:val="00AA7865"/>
    <w:rsid w:val="00AA7B0E"/>
    <w:rsid w:val="00AB2EC2"/>
    <w:rsid w:val="00AB338B"/>
    <w:rsid w:val="00AB45B9"/>
    <w:rsid w:val="00AB7E4A"/>
    <w:rsid w:val="00AC010B"/>
    <w:rsid w:val="00AC0A82"/>
    <w:rsid w:val="00AC15CF"/>
    <w:rsid w:val="00AC505B"/>
    <w:rsid w:val="00AC71DA"/>
    <w:rsid w:val="00AD11EA"/>
    <w:rsid w:val="00AD4079"/>
    <w:rsid w:val="00AD5774"/>
    <w:rsid w:val="00AD7EBE"/>
    <w:rsid w:val="00AE4A7B"/>
    <w:rsid w:val="00AE4D2E"/>
    <w:rsid w:val="00AE674F"/>
    <w:rsid w:val="00AE7F5C"/>
    <w:rsid w:val="00AF1128"/>
    <w:rsid w:val="00AF1D25"/>
    <w:rsid w:val="00AF3248"/>
    <w:rsid w:val="00AF4A50"/>
    <w:rsid w:val="00AF56F2"/>
    <w:rsid w:val="00AF571F"/>
    <w:rsid w:val="00AF5DDE"/>
    <w:rsid w:val="00AF67F4"/>
    <w:rsid w:val="00AF7BC8"/>
    <w:rsid w:val="00B01744"/>
    <w:rsid w:val="00B02E5B"/>
    <w:rsid w:val="00B04925"/>
    <w:rsid w:val="00B04CC0"/>
    <w:rsid w:val="00B113D0"/>
    <w:rsid w:val="00B1342F"/>
    <w:rsid w:val="00B1449C"/>
    <w:rsid w:val="00B144A9"/>
    <w:rsid w:val="00B153C7"/>
    <w:rsid w:val="00B16CE3"/>
    <w:rsid w:val="00B16E6F"/>
    <w:rsid w:val="00B17594"/>
    <w:rsid w:val="00B17728"/>
    <w:rsid w:val="00B17CCB"/>
    <w:rsid w:val="00B227BF"/>
    <w:rsid w:val="00B25BE2"/>
    <w:rsid w:val="00B31A48"/>
    <w:rsid w:val="00B31CFA"/>
    <w:rsid w:val="00B353B2"/>
    <w:rsid w:val="00B414FC"/>
    <w:rsid w:val="00B419CA"/>
    <w:rsid w:val="00B42BEC"/>
    <w:rsid w:val="00B43849"/>
    <w:rsid w:val="00B466B1"/>
    <w:rsid w:val="00B504D2"/>
    <w:rsid w:val="00B5728D"/>
    <w:rsid w:val="00B60AC1"/>
    <w:rsid w:val="00B617CC"/>
    <w:rsid w:val="00B77BD6"/>
    <w:rsid w:val="00B83697"/>
    <w:rsid w:val="00B852AB"/>
    <w:rsid w:val="00B8614B"/>
    <w:rsid w:val="00B86E2E"/>
    <w:rsid w:val="00B87652"/>
    <w:rsid w:val="00B90DBC"/>
    <w:rsid w:val="00B951A4"/>
    <w:rsid w:val="00B95F0B"/>
    <w:rsid w:val="00B96879"/>
    <w:rsid w:val="00B968F1"/>
    <w:rsid w:val="00BA2D57"/>
    <w:rsid w:val="00BA2E0E"/>
    <w:rsid w:val="00BA3758"/>
    <w:rsid w:val="00BA71F1"/>
    <w:rsid w:val="00BB1811"/>
    <w:rsid w:val="00BB380F"/>
    <w:rsid w:val="00BB3E83"/>
    <w:rsid w:val="00BB42B9"/>
    <w:rsid w:val="00BB78FF"/>
    <w:rsid w:val="00BC0473"/>
    <w:rsid w:val="00BC49AD"/>
    <w:rsid w:val="00BC63B3"/>
    <w:rsid w:val="00BD046C"/>
    <w:rsid w:val="00BD6910"/>
    <w:rsid w:val="00BE3D66"/>
    <w:rsid w:val="00BE57C4"/>
    <w:rsid w:val="00BE7DD6"/>
    <w:rsid w:val="00BF36BB"/>
    <w:rsid w:val="00BF7B7E"/>
    <w:rsid w:val="00C001DD"/>
    <w:rsid w:val="00C04DBA"/>
    <w:rsid w:val="00C04F93"/>
    <w:rsid w:val="00C054F2"/>
    <w:rsid w:val="00C12A8F"/>
    <w:rsid w:val="00C13686"/>
    <w:rsid w:val="00C15C27"/>
    <w:rsid w:val="00C22E7F"/>
    <w:rsid w:val="00C239EF"/>
    <w:rsid w:val="00C245F1"/>
    <w:rsid w:val="00C272BB"/>
    <w:rsid w:val="00C307A5"/>
    <w:rsid w:val="00C3120C"/>
    <w:rsid w:val="00C312D7"/>
    <w:rsid w:val="00C35BDF"/>
    <w:rsid w:val="00C429DB"/>
    <w:rsid w:val="00C45265"/>
    <w:rsid w:val="00C46171"/>
    <w:rsid w:val="00C47D38"/>
    <w:rsid w:val="00C517B7"/>
    <w:rsid w:val="00C51BB0"/>
    <w:rsid w:val="00C51BF5"/>
    <w:rsid w:val="00C5353F"/>
    <w:rsid w:val="00C54CC5"/>
    <w:rsid w:val="00C55502"/>
    <w:rsid w:val="00C55C29"/>
    <w:rsid w:val="00C56D1E"/>
    <w:rsid w:val="00C62850"/>
    <w:rsid w:val="00C6403B"/>
    <w:rsid w:val="00C64768"/>
    <w:rsid w:val="00C65350"/>
    <w:rsid w:val="00C6680B"/>
    <w:rsid w:val="00C70E14"/>
    <w:rsid w:val="00C75230"/>
    <w:rsid w:val="00C76B46"/>
    <w:rsid w:val="00C81E5F"/>
    <w:rsid w:val="00C86C40"/>
    <w:rsid w:val="00C91585"/>
    <w:rsid w:val="00C916F2"/>
    <w:rsid w:val="00C9282D"/>
    <w:rsid w:val="00C97D02"/>
    <w:rsid w:val="00CA135E"/>
    <w:rsid w:val="00CA2CEF"/>
    <w:rsid w:val="00CA2E24"/>
    <w:rsid w:val="00CA5397"/>
    <w:rsid w:val="00CB1CC6"/>
    <w:rsid w:val="00CB2C7C"/>
    <w:rsid w:val="00CB5CDC"/>
    <w:rsid w:val="00CC1F8F"/>
    <w:rsid w:val="00CC5A07"/>
    <w:rsid w:val="00CC6430"/>
    <w:rsid w:val="00CD0C2E"/>
    <w:rsid w:val="00CD1A4E"/>
    <w:rsid w:val="00CD403D"/>
    <w:rsid w:val="00CD55FA"/>
    <w:rsid w:val="00CD5FEC"/>
    <w:rsid w:val="00CE0776"/>
    <w:rsid w:val="00CE0D12"/>
    <w:rsid w:val="00CE1CC0"/>
    <w:rsid w:val="00CE20EF"/>
    <w:rsid w:val="00CE4036"/>
    <w:rsid w:val="00CE4FAB"/>
    <w:rsid w:val="00CE566D"/>
    <w:rsid w:val="00CE6CAB"/>
    <w:rsid w:val="00CF4DF2"/>
    <w:rsid w:val="00CF5E03"/>
    <w:rsid w:val="00CF62D5"/>
    <w:rsid w:val="00D03F7D"/>
    <w:rsid w:val="00D04400"/>
    <w:rsid w:val="00D05904"/>
    <w:rsid w:val="00D06ED4"/>
    <w:rsid w:val="00D07962"/>
    <w:rsid w:val="00D079CE"/>
    <w:rsid w:val="00D10A1E"/>
    <w:rsid w:val="00D131B0"/>
    <w:rsid w:val="00D13FC4"/>
    <w:rsid w:val="00D14BE1"/>
    <w:rsid w:val="00D14D69"/>
    <w:rsid w:val="00D16A74"/>
    <w:rsid w:val="00D17DCC"/>
    <w:rsid w:val="00D2111C"/>
    <w:rsid w:val="00D22072"/>
    <w:rsid w:val="00D26937"/>
    <w:rsid w:val="00D26C58"/>
    <w:rsid w:val="00D30AB3"/>
    <w:rsid w:val="00D3796C"/>
    <w:rsid w:val="00D404CE"/>
    <w:rsid w:val="00D42CAA"/>
    <w:rsid w:val="00D46F3A"/>
    <w:rsid w:val="00D46F53"/>
    <w:rsid w:val="00D530E8"/>
    <w:rsid w:val="00D53BEB"/>
    <w:rsid w:val="00D55464"/>
    <w:rsid w:val="00D579A4"/>
    <w:rsid w:val="00D60E4C"/>
    <w:rsid w:val="00D64A7D"/>
    <w:rsid w:val="00D656C3"/>
    <w:rsid w:val="00D70630"/>
    <w:rsid w:val="00D70C01"/>
    <w:rsid w:val="00D72100"/>
    <w:rsid w:val="00D763FD"/>
    <w:rsid w:val="00D8139C"/>
    <w:rsid w:val="00D82476"/>
    <w:rsid w:val="00D86ADB"/>
    <w:rsid w:val="00D91E9B"/>
    <w:rsid w:val="00D93B43"/>
    <w:rsid w:val="00D9604C"/>
    <w:rsid w:val="00D960CC"/>
    <w:rsid w:val="00D971F3"/>
    <w:rsid w:val="00DA0DE8"/>
    <w:rsid w:val="00DA16C0"/>
    <w:rsid w:val="00DA1A67"/>
    <w:rsid w:val="00DB08AD"/>
    <w:rsid w:val="00DB0971"/>
    <w:rsid w:val="00DB0A1D"/>
    <w:rsid w:val="00DB130B"/>
    <w:rsid w:val="00DB1900"/>
    <w:rsid w:val="00DB3672"/>
    <w:rsid w:val="00DB3726"/>
    <w:rsid w:val="00DB7819"/>
    <w:rsid w:val="00DC0622"/>
    <w:rsid w:val="00DC2A86"/>
    <w:rsid w:val="00DC3B60"/>
    <w:rsid w:val="00DC41D2"/>
    <w:rsid w:val="00DC454B"/>
    <w:rsid w:val="00DC5C29"/>
    <w:rsid w:val="00DC6525"/>
    <w:rsid w:val="00DC6EDD"/>
    <w:rsid w:val="00DD0750"/>
    <w:rsid w:val="00DD0A0A"/>
    <w:rsid w:val="00DD0CA1"/>
    <w:rsid w:val="00DD1159"/>
    <w:rsid w:val="00DD1691"/>
    <w:rsid w:val="00DD5A2F"/>
    <w:rsid w:val="00DE1485"/>
    <w:rsid w:val="00DE33F4"/>
    <w:rsid w:val="00DE3927"/>
    <w:rsid w:val="00DE5344"/>
    <w:rsid w:val="00DE5926"/>
    <w:rsid w:val="00DF22BA"/>
    <w:rsid w:val="00DF2852"/>
    <w:rsid w:val="00DF4A65"/>
    <w:rsid w:val="00DF4DA5"/>
    <w:rsid w:val="00DF5BD0"/>
    <w:rsid w:val="00E037D3"/>
    <w:rsid w:val="00E03EE2"/>
    <w:rsid w:val="00E0670C"/>
    <w:rsid w:val="00E072AD"/>
    <w:rsid w:val="00E0763E"/>
    <w:rsid w:val="00E12813"/>
    <w:rsid w:val="00E15D04"/>
    <w:rsid w:val="00E20096"/>
    <w:rsid w:val="00E207A9"/>
    <w:rsid w:val="00E21EB0"/>
    <w:rsid w:val="00E223A6"/>
    <w:rsid w:val="00E258CE"/>
    <w:rsid w:val="00E30907"/>
    <w:rsid w:val="00E317D3"/>
    <w:rsid w:val="00E41FBD"/>
    <w:rsid w:val="00E469C4"/>
    <w:rsid w:val="00E60577"/>
    <w:rsid w:val="00E60C64"/>
    <w:rsid w:val="00E610B1"/>
    <w:rsid w:val="00E61CBE"/>
    <w:rsid w:val="00E622D2"/>
    <w:rsid w:val="00E66730"/>
    <w:rsid w:val="00E6774A"/>
    <w:rsid w:val="00E67AF7"/>
    <w:rsid w:val="00E705A2"/>
    <w:rsid w:val="00E7683A"/>
    <w:rsid w:val="00E76D62"/>
    <w:rsid w:val="00E80DFA"/>
    <w:rsid w:val="00E82737"/>
    <w:rsid w:val="00E87A59"/>
    <w:rsid w:val="00E90D40"/>
    <w:rsid w:val="00E92F52"/>
    <w:rsid w:val="00E93B1B"/>
    <w:rsid w:val="00E94915"/>
    <w:rsid w:val="00EA2BEE"/>
    <w:rsid w:val="00EA47E9"/>
    <w:rsid w:val="00EA5BFF"/>
    <w:rsid w:val="00EB270D"/>
    <w:rsid w:val="00EB3F80"/>
    <w:rsid w:val="00EB51CC"/>
    <w:rsid w:val="00EC4BA1"/>
    <w:rsid w:val="00EC75A7"/>
    <w:rsid w:val="00ED0367"/>
    <w:rsid w:val="00ED1D3F"/>
    <w:rsid w:val="00ED78A6"/>
    <w:rsid w:val="00EE68E9"/>
    <w:rsid w:val="00EE7E53"/>
    <w:rsid w:val="00EF2440"/>
    <w:rsid w:val="00EF275B"/>
    <w:rsid w:val="00EF29C5"/>
    <w:rsid w:val="00EF691A"/>
    <w:rsid w:val="00EF76BE"/>
    <w:rsid w:val="00F05B7F"/>
    <w:rsid w:val="00F0612A"/>
    <w:rsid w:val="00F0704B"/>
    <w:rsid w:val="00F079DA"/>
    <w:rsid w:val="00F11EF1"/>
    <w:rsid w:val="00F12CB3"/>
    <w:rsid w:val="00F12D53"/>
    <w:rsid w:val="00F145FC"/>
    <w:rsid w:val="00F15FCA"/>
    <w:rsid w:val="00F24C9D"/>
    <w:rsid w:val="00F2658B"/>
    <w:rsid w:val="00F27836"/>
    <w:rsid w:val="00F33C0C"/>
    <w:rsid w:val="00F344D6"/>
    <w:rsid w:val="00F3515F"/>
    <w:rsid w:val="00F352A1"/>
    <w:rsid w:val="00F4303D"/>
    <w:rsid w:val="00F4573F"/>
    <w:rsid w:val="00F46078"/>
    <w:rsid w:val="00F46481"/>
    <w:rsid w:val="00F50E1A"/>
    <w:rsid w:val="00F5175F"/>
    <w:rsid w:val="00F5222A"/>
    <w:rsid w:val="00F52481"/>
    <w:rsid w:val="00F54162"/>
    <w:rsid w:val="00F64E2F"/>
    <w:rsid w:val="00F67406"/>
    <w:rsid w:val="00F764B5"/>
    <w:rsid w:val="00F76AA0"/>
    <w:rsid w:val="00F849DD"/>
    <w:rsid w:val="00F8593A"/>
    <w:rsid w:val="00F85F42"/>
    <w:rsid w:val="00F86410"/>
    <w:rsid w:val="00F87372"/>
    <w:rsid w:val="00F876C0"/>
    <w:rsid w:val="00F91218"/>
    <w:rsid w:val="00F92625"/>
    <w:rsid w:val="00F95576"/>
    <w:rsid w:val="00F9796C"/>
    <w:rsid w:val="00FA002A"/>
    <w:rsid w:val="00FA04FA"/>
    <w:rsid w:val="00FA5AAC"/>
    <w:rsid w:val="00FA6720"/>
    <w:rsid w:val="00FA7F86"/>
    <w:rsid w:val="00FB51A5"/>
    <w:rsid w:val="00FB7562"/>
    <w:rsid w:val="00FC2717"/>
    <w:rsid w:val="00FC41A4"/>
    <w:rsid w:val="00FC528E"/>
    <w:rsid w:val="00FC6A84"/>
    <w:rsid w:val="00FD229A"/>
    <w:rsid w:val="00FD24CB"/>
    <w:rsid w:val="00FD3606"/>
    <w:rsid w:val="00FD6465"/>
    <w:rsid w:val="00FE54FB"/>
    <w:rsid w:val="00FE57A9"/>
    <w:rsid w:val="00FF0120"/>
    <w:rsid w:val="00FF073A"/>
    <w:rsid w:val="00FF0792"/>
    <w:rsid w:val="00FF11F5"/>
    <w:rsid w:val="00FF29E0"/>
    <w:rsid w:val="00FF3FF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690D"/>
  <w15:chartTrackingRefBased/>
  <w15:docId w15:val="{AB2752D0-5927-49D7-BEF5-2D88BFEA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6476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autoRedefine/>
    <w:uiPriority w:val="9"/>
    <w:unhideWhenUsed/>
    <w:qFormat/>
    <w:rsid w:val="008E75A7"/>
    <w:pPr>
      <w:keepNext/>
      <w:keepLines/>
      <w:spacing w:line="360"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C6476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6476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64768"/>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C64768"/>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6476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6476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6476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8E75A7"/>
    <w:rPr>
      <w:rFonts w:asciiTheme="majorHAnsi" w:eastAsiaTheme="majorEastAsia" w:hAnsiTheme="majorHAnsi" w:cstheme="majorBidi"/>
      <w:b/>
      <w:bCs/>
      <w:sz w:val="32"/>
      <w:szCs w:val="32"/>
    </w:rPr>
  </w:style>
  <w:style w:type="character" w:customStyle="1" w:styleId="10">
    <w:name w:val="标题 1 字符"/>
    <w:basedOn w:val="a0"/>
    <w:link w:val="1"/>
    <w:uiPriority w:val="9"/>
    <w:rsid w:val="00C64768"/>
    <w:rPr>
      <w:rFonts w:asciiTheme="majorHAnsi" w:eastAsiaTheme="majorEastAsia" w:hAnsiTheme="majorHAnsi" w:cstheme="majorBidi"/>
      <w:color w:val="2F5496" w:themeColor="accent1" w:themeShade="BF"/>
      <w:sz w:val="48"/>
      <w:szCs w:val="48"/>
    </w:rPr>
  </w:style>
  <w:style w:type="character" w:customStyle="1" w:styleId="30">
    <w:name w:val="标题 3 字符"/>
    <w:basedOn w:val="a0"/>
    <w:link w:val="3"/>
    <w:uiPriority w:val="9"/>
    <w:semiHidden/>
    <w:rsid w:val="00C6476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64768"/>
    <w:rPr>
      <w:rFonts w:cstheme="majorBidi"/>
      <w:color w:val="2F5496" w:themeColor="accent1" w:themeShade="BF"/>
      <w:sz w:val="28"/>
      <w:szCs w:val="28"/>
    </w:rPr>
  </w:style>
  <w:style w:type="character" w:customStyle="1" w:styleId="50">
    <w:name w:val="标题 5 字符"/>
    <w:basedOn w:val="a0"/>
    <w:link w:val="5"/>
    <w:uiPriority w:val="9"/>
    <w:semiHidden/>
    <w:rsid w:val="00C64768"/>
    <w:rPr>
      <w:rFonts w:cstheme="majorBidi"/>
      <w:color w:val="2F5496" w:themeColor="accent1" w:themeShade="BF"/>
      <w:sz w:val="24"/>
      <w:szCs w:val="24"/>
    </w:rPr>
  </w:style>
  <w:style w:type="character" w:customStyle="1" w:styleId="60">
    <w:name w:val="标题 6 字符"/>
    <w:basedOn w:val="a0"/>
    <w:link w:val="6"/>
    <w:uiPriority w:val="9"/>
    <w:semiHidden/>
    <w:rsid w:val="00C64768"/>
    <w:rPr>
      <w:rFonts w:cstheme="majorBidi"/>
      <w:b/>
      <w:bCs/>
      <w:color w:val="2F5496" w:themeColor="accent1" w:themeShade="BF"/>
    </w:rPr>
  </w:style>
  <w:style w:type="character" w:customStyle="1" w:styleId="70">
    <w:name w:val="标题 7 字符"/>
    <w:basedOn w:val="a0"/>
    <w:link w:val="7"/>
    <w:uiPriority w:val="9"/>
    <w:semiHidden/>
    <w:rsid w:val="00C64768"/>
    <w:rPr>
      <w:rFonts w:cstheme="majorBidi"/>
      <w:b/>
      <w:bCs/>
      <w:color w:val="595959" w:themeColor="text1" w:themeTint="A6"/>
    </w:rPr>
  </w:style>
  <w:style w:type="character" w:customStyle="1" w:styleId="80">
    <w:name w:val="标题 8 字符"/>
    <w:basedOn w:val="a0"/>
    <w:link w:val="8"/>
    <w:uiPriority w:val="9"/>
    <w:semiHidden/>
    <w:rsid w:val="00C64768"/>
    <w:rPr>
      <w:rFonts w:cstheme="majorBidi"/>
      <w:color w:val="595959" w:themeColor="text1" w:themeTint="A6"/>
    </w:rPr>
  </w:style>
  <w:style w:type="character" w:customStyle="1" w:styleId="90">
    <w:name w:val="标题 9 字符"/>
    <w:basedOn w:val="a0"/>
    <w:link w:val="9"/>
    <w:uiPriority w:val="9"/>
    <w:semiHidden/>
    <w:rsid w:val="00C64768"/>
    <w:rPr>
      <w:rFonts w:eastAsiaTheme="majorEastAsia" w:cstheme="majorBidi"/>
      <w:color w:val="595959" w:themeColor="text1" w:themeTint="A6"/>
    </w:rPr>
  </w:style>
  <w:style w:type="paragraph" w:styleId="a3">
    <w:name w:val="Title"/>
    <w:basedOn w:val="a"/>
    <w:next w:val="a"/>
    <w:link w:val="a4"/>
    <w:uiPriority w:val="10"/>
    <w:qFormat/>
    <w:rsid w:val="00C647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647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47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647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4768"/>
    <w:pPr>
      <w:spacing w:before="160" w:after="160"/>
      <w:jc w:val="center"/>
    </w:pPr>
    <w:rPr>
      <w:i/>
      <w:iCs/>
      <w:color w:val="404040" w:themeColor="text1" w:themeTint="BF"/>
    </w:rPr>
  </w:style>
  <w:style w:type="character" w:customStyle="1" w:styleId="a8">
    <w:name w:val="引用 字符"/>
    <w:basedOn w:val="a0"/>
    <w:link w:val="a7"/>
    <w:uiPriority w:val="29"/>
    <w:rsid w:val="00C64768"/>
    <w:rPr>
      <w:i/>
      <w:iCs/>
      <w:color w:val="404040" w:themeColor="text1" w:themeTint="BF"/>
    </w:rPr>
  </w:style>
  <w:style w:type="paragraph" w:styleId="a9">
    <w:name w:val="List Paragraph"/>
    <w:basedOn w:val="a"/>
    <w:uiPriority w:val="34"/>
    <w:qFormat/>
    <w:rsid w:val="00C64768"/>
    <w:pPr>
      <w:ind w:left="720"/>
      <w:contextualSpacing/>
    </w:pPr>
  </w:style>
  <w:style w:type="character" w:styleId="aa">
    <w:name w:val="Intense Emphasis"/>
    <w:basedOn w:val="a0"/>
    <w:uiPriority w:val="21"/>
    <w:qFormat/>
    <w:rsid w:val="00C64768"/>
    <w:rPr>
      <w:i/>
      <w:iCs/>
      <w:color w:val="2F5496" w:themeColor="accent1" w:themeShade="BF"/>
    </w:rPr>
  </w:style>
  <w:style w:type="paragraph" w:styleId="ab">
    <w:name w:val="Intense Quote"/>
    <w:basedOn w:val="a"/>
    <w:next w:val="a"/>
    <w:link w:val="ac"/>
    <w:uiPriority w:val="30"/>
    <w:qFormat/>
    <w:rsid w:val="00C647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64768"/>
    <w:rPr>
      <w:i/>
      <w:iCs/>
      <w:color w:val="2F5496" w:themeColor="accent1" w:themeShade="BF"/>
    </w:rPr>
  </w:style>
  <w:style w:type="character" w:styleId="ad">
    <w:name w:val="Intense Reference"/>
    <w:basedOn w:val="a0"/>
    <w:uiPriority w:val="32"/>
    <w:qFormat/>
    <w:rsid w:val="00C64768"/>
    <w:rPr>
      <w:b/>
      <w:bCs/>
      <w:smallCaps/>
      <w:color w:val="2F5496" w:themeColor="accent1" w:themeShade="BF"/>
      <w:spacing w:val="5"/>
    </w:rPr>
  </w:style>
  <w:style w:type="table" w:styleId="ae">
    <w:name w:val="Table Grid"/>
    <w:basedOn w:val="a1"/>
    <w:uiPriority w:val="39"/>
    <w:rsid w:val="006D3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2270</Words>
  <Characters>12945</Characters>
  <Application>Microsoft Office Word</Application>
  <DocSecurity>0</DocSecurity>
  <Lines>107</Lines>
  <Paragraphs>30</Paragraphs>
  <ScaleCrop>false</ScaleCrop>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Whw891127@outlook.com</dc:creator>
  <cp:keywords/>
  <dc:description/>
  <cp:lastModifiedBy>whw891127@outlook.com</cp:lastModifiedBy>
  <cp:revision>62</cp:revision>
  <dcterms:created xsi:type="dcterms:W3CDTF">2026-07-22T09:54:00Z</dcterms:created>
  <dcterms:modified xsi:type="dcterms:W3CDTF">2026-07-28T14:42:00Z</dcterms:modified>
</cp:coreProperties>
</file>