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8226A" w14:textId="48565453" w:rsidR="006F682A" w:rsidRPr="00286BE9" w:rsidRDefault="007639B4" w:rsidP="006F682A">
      <w:pPr>
        <w:spacing w:line="276" w:lineRule="auto"/>
        <w:rPr>
          <w:b/>
          <w:bCs/>
          <w:sz w:val="40"/>
          <w:szCs w:val="40"/>
          <w:lang w:val="en-AU"/>
        </w:rPr>
      </w:pPr>
      <w:r>
        <w:rPr>
          <w:b/>
          <w:bCs/>
          <w:sz w:val="40"/>
          <w:szCs w:val="40"/>
          <w:lang w:val="en-AU"/>
        </w:rPr>
        <w:t xml:space="preserve"> </w:t>
      </w:r>
      <w:r w:rsidR="006F682A" w:rsidRPr="00286BE9">
        <w:rPr>
          <w:b/>
          <w:bCs/>
          <w:sz w:val="40"/>
          <w:szCs w:val="40"/>
          <w:lang w:val="en-AU"/>
        </w:rPr>
        <w:t>Supplement</w:t>
      </w:r>
      <w:r w:rsidR="006F682A">
        <w:rPr>
          <w:b/>
          <w:bCs/>
          <w:sz w:val="40"/>
          <w:szCs w:val="40"/>
          <w:lang w:val="en-AU"/>
        </w:rPr>
        <w:t>ary Material:</w:t>
      </w:r>
    </w:p>
    <w:p w14:paraId="791D360A" w14:textId="77777777" w:rsidR="006F682A" w:rsidRPr="00286BE9" w:rsidRDefault="006F682A" w:rsidP="006F682A">
      <w:pPr>
        <w:rPr>
          <w:b/>
          <w:bCs/>
          <w:sz w:val="32"/>
          <w:szCs w:val="32"/>
          <w:lang w:val="en-AU"/>
        </w:rPr>
      </w:pPr>
    </w:p>
    <w:p w14:paraId="70AF0F4C" w14:textId="77777777" w:rsidR="006F682A" w:rsidRDefault="006F682A" w:rsidP="006F682A">
      <w:pPr>
        <w:spacing w:line="276" w:lineRule="auto"/>
        <w:rPr>
          <w:b/>
          <w:bCs/>
          <w:sz w:val="32"/>
          <w:szCs w:val="32"/>
          <w:lang w:val="en-AU"/>
        </w:rPr>
      </w:pPr>
      <w:r w:rsidRPr="006073E0">
        <w:rPr>
          <w:b/>
          <w:bCs/>
          <w:sz w:val="32"/>
          <w:szCs w:val="32"/>
          <w:lang w:val="en-AU"/>
        </w:rPr>
        <w:t>Remote versus In-Person DBS Programming in Parkinson’s Disease: A Randomized Clinical Trial</w:t>
      </w:r>
    </w:p>
    <w:p w14:paraId="06EAC595" w14:textId="77777777" w:rsidR="006F682A" w:rsidRPr="00286BE9" w:rsidRDefault="006F682A" w:rsidP="006F682A">
      <w:pPr>
        <w:spacing w:line="276" w:lineRule="auto"/>
        <w:rPr>
          <w:b/>
          <w:lang w:val="en-AU"/>
        </w:rPr>
      </w:pPr>
    </w:p>
    <w:p w14:paraId="66BE8334" w14:textId="24CA1896" w:rsidR="006F682A" w:rsidRPr="006F682A" w:rsidRDefault="006F682A" w:rsidP="006F682A">
      <w:pPr>
        <w:rPr>
          <w:vertAlign w:val="superscript"/>
          <w:lang w:val="en-AU"/>
        </w:rPr>
      </w:pPr>
      <w:r w:rsidRPr="00286BE9">
        <w:rPr>
          <w:lang w:val="en-AU"/>
        </w:rPr>
        <w:t>Juhi Shaik</w:t>
      </w:r>
      <w:r>
        <w:rPr>
          <w:lang w:val="en-AU"/>
        </w:rPr>
        <w:t xml:space="preserve"> et al. </w:t>
      </w:r>
    </w:p>
    <w:p w14:paraId="258D427E" w14:textId="4FBCF542" w:rsidR="00395812" w:rsidRDefault="00395812" w:rsidP="006F682A">
      <w:pPr>
        <w:spacing w:line="276" w:lineRule="auto"/>
        <w:jc w:val="both"/>
        <w:outlineLvl w:val="2"/>
        <w:rPr>
          <w:b/>
          <w:sz w:val="28"/>
          <w:szCs w:val="28"/>
          <w:u w:val="single"/>
          <w:lang w:val="en-AU"/>
        </w:rPr>
      </w:pPr>
    </w:p>
    <w:p w14:paraId="390DB15C" w14:textId="18E2B81B" w:rsidR="00395812" w:rsidRPr="00395812" w:rsidRDefault="00395812" w:rsidP="006F682A">
      <w:pPr>
        <w:spacing w:line="276" w:lineRule="auto"/>
        <w:jc w:val="both"/>
        <w:outlineLvl w:val="2"/>
        <w:rPr>
          <w:b/>
          <w:sz w:val="28"/>
          <w:szCs w:val="28"/>
          <w:lang w:val="en-AU"/>
        </w:rPr>
      </w:pPr>
      <w:r w:rsidRPr="00395812">
        <w:rPr>
          <w:b/>
          <w:sz w:val="28"/>
          <w:szCs w:val="28"/>
          <w:lang w:val="en-AU"/>
        </w:rPr>
        <w:t>Content:</w:t>
      </w:r>
    </w:p>
    <w:p w14:paraId="17FB01BB" w14:textId="77777777" w:rsidR="00395812" w:rsidRDefault="00395812" w:rsidP="006F682A">
      <w:pPr>
        <w:spacing w:line="276" w:lineRule="auto"/>
        <w:jc w:val="both"/>
        <w:outlineLvl w:val="2"/>
        <w:rPr>
          <w:b/>
          <w:sz w:val="28"/>
          <w:szCs w:val="28"/>
          <w:u w:val="single"/>
          <w:lang w:val="en-AU"/>
        </w:rPr>
      </w:pPr>
    </w:p>
    <w:tbl>
      <w:tblPr>
        <w:tblStyle w:val="Tabellenraster"/>
        <w:tblW w:w="0" w:type="auto"/>
        <w:jc w:val="center"/>
        <w:tblLook w:val="04A0" w:firstRow="1" w:lastRow="0" w:firstColumn="1" w:lastColumn="0" w:noHBand="0" w:noVBand="1"/>
      </w:tblPr>
      <w:tblGrid>
        <w:gridCol w:w="4528"/>
        <w:gridCol w:w="4528"/>
      </w:tblGrid>
      <w:tr w:rsidR="00395812" w14:paraId="2C60AD08" w14:textId="77777777" w:rsidTr="00395812">
        <w:trPr>
          <w:jc w:val="center"/>
        </w:trPr>
        <w:tc>
          <w:tcPr>
            <w:tcW w:w="4528" w:type="dxa"/>
          </w:tcPr>
          <w:p w14:paraId="47B704C5" w14:textId="39E70BAB" w:rsidR="00395812" w:rsidRPr="008A240F" w:rsidRDefault="00395812" w:rsidP="00395812">
            <w:pPr>
              <w:spacing w:line="276" w:lineRule="auto"/>
              <w:jc w:val="center"/>
              <w:outlineLvl w:val="2"/>
              <w:rPr>
                <w:b/>
                <w:lang w:val="en-AU"/>
              </w:rPr>
            </w:pPr>
            <w:r w:rsidRPr="008A240F">
              <w:rPr>
                <w:b/>
                <w:lang w:val="en-AU"/>
              </w:rPr>
              <w:t>Content</w:t>
            </w:r>
          </w:p>
        </w:tc>
        <w:tc>
          <w:tcPr>
            <w:tcW w:w="4528" w:type="dxa"/>
          </w:tcPr>
          <w:p w14:paraId="533ED43B" w14:textId="3B1F94AD" w:rsidR="00395812" w:rsidRPr="008A240F" w:rsidRDefault="00395812" w:rsidP="00395812">
            <w:pPr>
              <w:spacing w:line="276" w:lineRule="auto"/>
              <w:jc w:val="center"/>
              <w:outlineLvl w:val="2"/>
              <w:rPr>
                <w:b/>
                <w:lang w:val="en-AU"/>
              </w:rPr>
            </w:pPr>
            <w:r w:rsidRPr="008A240F">
              <w:rPr>
                <w:b/>
                <w:lang w:val="en-AU"/>
              </w:rPr>
              <w:t>Page</w:t>
            </w:r>
          </w:p>
        </w:tc>
      </w:tr>
      <w:tr w:rsidR="00395812" w14:paraId="0796FFAB" w14:textId="77777777" w:rsidTr="00395812">
        <w:trPr>
          <w:jc w:val="center"/>
        </w:trPr>
        <w:tc>
          <w:tcPr>
            <w:tcW w:w="4528" w:type="dxa"/>
          </w:tcPr>
          <w:p w14:paraId="13DADE55" w14:textId="7E1E4982" w:rsidR="00395812" w:rsidRPr="00F67EF2" w:rsidRDefault="00395812" w:rsidP="00395812">
            <w:pPr>
              <w:spacing w:line="276" w:lineRule="auto"/>
              <w:jc w:val="center"/>
              <w:outlineLvl w:val="2"/>
              <w:rPr>
                <w:b/>
                <w:lang w:val="en-AU"/>
              </w:rPr>
            </w:pPr>
            <w:r w:rsidRPr="00F67EF2">
              <w:rPr>
                <w:b/>
                <w:lang w:val="en-AU"/>
              </w:rPr>
              <w:t xml:space="preserve">Supplementary </w:t>
            </w:r>
            <w:r w:rsidR="00F67EF2" w:rsidRPr="00F67EF2">
              <w:rPr>
                <w:b/>
                <w:lang w:val="en-AU"/>
              </w:rPr>
              <w:t>Figures 1 &amp; 2</w:t>
            </w:r>
          </w:p>
        </w:tc>
        <w:tc>
          <w:tcPr>
            <w:tcW w:w="4528" w:type="dxa"/>
          </w:tcPr>
          <w:p w14:paraId="4E900EDC" w14:textId="17FC19CC" w:rsidR="00395812" w:rsidRPr="008A240F" w:rsidRDefault="00395812" w:rsidP="00395812">
            <w:pPr>
              <w:spacing w:line="276" w:lineRule="auto"/>
              <w:jc w:val="center"/>
              <w:outlineLvl w:val="2"/>
              <w:rPr>
                <w:bCs/>
                <w:lang w:val="en-AU"/>
              </w:rPr>
            </w:pPr>
            <w:r w:rsidRPr="008A240F">
              <w:rPr>
                <w:bCs/>
                <w:lang w:val="en-AU"/>
              </w:rPr>
              <w:t>1-2</w:t>
            </w:r>
          </w:p>
        </w:tc>
      </w:tr>
      <w:tr w:rsidR="00F67EF2" w14:paraId="0B64C1D9" w14:textId="77777777" w:rsidTr="00395812">
        <w:trPr>
          <w:jc w:val="center"/>
        </w:trPr>
        <w:tc>
          <w:tcPr>
            <w:tcW w:w="4528" w:type="dxa"/>
          </w:tcPr>
          <w:p w14:paraId="4CBBDF11" w14:textId="02BC7CE7" w:rsidR="00F67EF2" w:rsidRPr="00F67EF2" w:rsidRDefault="00F67EF2" w:rsidP="00395812">
            <w:pPr>
              <w:spacing w:line="276" w:lineRule="auto"/>
              <w:jc w:val="center"/>
              <w:outlineLvl w:val="2"/>
              <w:rPr>
                <w:b/>
                <w:lang w:val="en-AU"/>
              </w:rPr>
            </w:pPr>
            <w:r w:rsidRPr="00F67EF2">
              <w:rPr>
                <w:b/>
                <w:lang w:val="en-AU"/>
              </w:rPr>
              <w:t>Supplementary Table 1</w:t>
            </w:r>
          </w:p>
        </w:tc>
        <w:tc>
          <w:tcPr>
            <w:tcW w:w="4528" w:type="dxa"/>
          </w:tcPr>
          <w:p w14:paraId="5E695EC0" w14:textId="094789AD" w:rsidR="00F67EF2" w:rsidRPr="008A240F" w:rsidRDefault="00F67EF2" w:rsidP="00395812">
            <w:pPr>
              <w:spacing w:line="276" w:lineRule="auto"/>
              <w:jc w:val="center"/>
              <w:outlineLvl w:val="2"/>
              <w:rPr>
                <w:bCs/>
                <w:lang w:val="en-AU"/>
              </w:rPr>
            </w:pPr>
            <w:r>
              <w:rPr>
                <w:bCs/>
                <w:lang w:val="en-AU"/>
              </w:rPr>
              <w:t>3</w:t>
            </w:r>
          </w:p>
        </w:tc>
      </w:tr>
      <w:tr w:rsidR="00395812" w14:paraId="27010B18" w14:textId="77777777" w:rsidTr="00395812">
        <w:trPr>
          <w:jc w:val="center"/>
        </w:trPr>
        <w:tc>
          <w:tcPr>
            <w:tcW w:w="4528" w:type="dxa"/>
          </w:tcPr>
          <w:p w14:paraId="46DAEC42" w14:textId="55281095" w:rsidR="00395812" w:rsidRPr="00F67EF2" w:rsidRDefault="00395812" w:rsidP="00395812">
            <w:pPr>
              <w:spacing w:line="276" w:lineRule="auto"/>
              <w:jc w:val="center"/>
              <w:outlineLvl w:val="2"/>
              <w:rPr>
                <w:b/>
                <w:lang w:val="en-AU"/>
              </w:rPr>
            </w:pPr>
            <w:r w:rsidRPr="00F67EF2">
              <w:rPr>
                <w:b/>
                <w:lang w:val="en-AU"/>
              </w:rPr>
              <w:t>Supplementary Methods</w:t>
            </w:r>
          </w:p>
        </w:tc>
        <w:tc>
          <w:tcPr>
            <w:tcW w:w="4528" w:type="dxa"/>
          </w:tcPr>
          <w:p w14:paraId="57A66F1A" w14:textId="40C1F9EE" w:rsidR="00395812" w:rsidRPr="008A240F" w:rsidRDefault="00F67EF2" w:rsidP="00395812">
            <w:pPr>
              <w:spacing w:line="276" w:lineRule="auto"/>
              <w:jc w:val="center"/>
              <w:outlineLvl w:val="2"/>
              <w:rPr>
                <w:bCs/>
                <w:lang w:val="en-AU"/>
              </w:rPr>
            </w:pPr>
            <w:r>
              <w:rPr>
                <w:bCs/>
                <w:lang w:val="en-AU"/>
              </w:rPr>
              <w:t>4</w:t>
            </w:r>
            <w:r w:rsidR="00395812" w:rsidRPr="008A240F">
              <w:rPr>
                <w:bCs/>
                <w:lang w:val="en-AU"/>
              </w:rPr>
              <w:t>-</w:t>
            </w:r>
            <w:r>
              <w:rPr>
                <w:bCs/>
                <w:lang w:val="en-AU"/>
              </w:rPr>
              <w:t>9</w:t>
            </w:r>
          </w:p>
        </w:tc>
      </w:tr>
      <w:tr w:rsidR="00395812" w14:paraId="31088BA3" w14:textId="77777777" w:rsidTr="00395812">
        <w:trPr>
          <w:jc w:val="center"/>
        </w:trPr>
        <w:tc>
          <w:tcPr>
            <w:tcW w:w="4528" w:type="dxa"/>
          </w:tcPr>
          <w:p w14:paraId="6E13589B" w14:textId="366EF3F4" w:rsidR="00395812" w:rsidRPr="00F67EF2" w:rsidRDefault="00395812" w:rsidP="00395812">
            <w:pPr>
              <w:spacing w:line="276" w:lineRule="auto"/>
              <w:jc w:val="center"/>
              <w:outlineLvl w:val="2"/>
              <w:rPr>
                <w:b/>
                <w:lang w:val="en-AU"/>
              </w:rPr>
            </w:pPr>
            <w:r w:rsidRPr="00F67EF2">
              <w:rPr>
                <w:b/>
                <w:lang w:val="en-AU"/>
              </w:rPr>
              <w:t>Appendix: Study Protocol (SAP)</w:t>
            </w:r>
          </w:p>
        </w:tc>
        <w:tc>
          <w:tcPr>
            <w:tcW w:w="4528" w:type="dxa"/>
          </w:tcPr>
          <w:p w14:paraId="773B17AF" w14:textId="290EFE4A" w:rsidR="00395812" w:rsidRPr="008A240F" w:rsidRDefault="00F67EF2" w:rsidP="00395812">
            <w:pPr>
              <w:spacing w:line="276" w:lineRule="auto"/>
              <w:jc w:val="center"/>
              <w:outlineLvl w:val="2"/>
              <w:rPr>
                <w:bCs/>
                <w:lang w:val="en-AU"/>
              </w:rPr>
            </w:pPr>
            <w:r>
              <w:rPr>
                <w:bCs/>
                <w:lang w:val="en-AU"/>
              </w:rPr>
              <w:t>10</w:t>
            </w:r>
            <w:r w:rsidR="00395812" w:rsidRPr="008A240F">
              <w:rPr>
                <w:bCs/>
                <w:lang w:val="en-AU"/>
              </w:rPr>
              <w:t>-21</w:t>
            </w:r>
          </w:p>
        </w:tc>
      </w:tr>
    </w:tbl>
    <w:p w14:paraId="6BB19118" w14:textId="77777777" w:rsidR="00395812" w:rsidRDefault="00395812" w:rsidP="006F682A">
      <w:pPr>
        <w:spacing w:line="276" w:lineRule="auto"/>
        <w:jc w:val="both"/>
        <w:outlineLvl w:val="2"/>
        <w:rPr>
          <w:b/>
          <w:sz w:val="28"/>
          <w:szCs w:val="28"/>
          <w:u w:val="single"/>
          <w:lang w:val="en-AU"/>
        </w:rPr>
      </w:pPr>
    </w:p>
    <w:p w14:paraId="4877684A" w14:textId="77777777" w:rsidR="00F67EF2" w:rsidRPr="006F682A" w:rsidRDefault="00F67EF2" w:rsidP="00F67EF2">
      <w:pPr>
        <w:rPr>
          <w:vertAlign w:val="superscript"/>
          <w:lang w:val="en-AU"/>
        </w:rPr>
      </w:pPr>
    </w:p>
    <w:p w14:paraId="27E8ADEF" w14:textId="77777777" w:rsidR="00F67EF2" w:rsidRPr="00814D7F" w:rsidRDefault="00F67EF2" w:rsidP="00F67EF2">
      <w:pPr>
        <w:spacing w:line="276" w:lineRule="auto"/>
        <w:jc w:val="both"/>
        <w:rPr>
          <w:b/>
          <w:sz w:val="28"/>
          <w:szCs w:val="28"/>
          <w:u w:val="single"/>
          <w:lang w:val="en-AU"/>
        </w:rPr>
      </w:pPr>
      <w:r>
        <w:rPr>
          <w:noProof/>
          <w:lang w:val="en-AU"/>
          <w14:ligatures w14:val="standardContextual"/>
        </w:rPr>
        <mc:AlternateContent>
          <mc:Choice Requires="wps">
            <w:drawing>
              <wp:anchor distT="0" distB="0" distL="114300" distR="114300" simplePos="0" relativeHeight="251665408" behindDoc="0" locked="0" layoutInCell="1" allowOverlap="1" wp14:anchorId="24657581" wp14:editId="63599ADF">
                <wp:simplePos x="0" y="0"/>
                <wp:positionH relativeFrom="column">
                  <wp:posOffset>0</wp:posOffset>
                </wp:positionH>
                <wp:positionV relativeFrom="paragraph">
                  <wp:posOffset>-635</wp:posOffset>
                </wp:positionV>
                <wp:extent cx="5731328" cy="293914"/>
                <wp:effectExtent l="0" t="0" r="9525" b="11430"/>
                <wp:wrapNone/>
                <wp:docPr id="84311296" name="Textfeld 1"/>
                <wp:cNvGraphicFramePr/>
                <a:graphic xmlns:a="http://schemas.openxmlformats.org/drawingml/2006/main">
                  <a:graphicData uri="http://schemas.microsoft.com/office/word/2010/wordprocessingShape">
                    <wps:wsp>
                      <wps:cNvSpPr txBox="1"/>
                      <wps:spPr>
                        <a:xfrm>
                          <a:off x="0" y="0"/>
                          <a:ext cx="5731328" cy="293914"/>
                        </a:xfrm>
                        <a:prstGeom prst="rect">
                          <a:avLst/>
                        </a:prstGeom>
                        <a:solidFill>
                          <a:schemeClr val="bg1">
                            <a:lumMod val="95000"/>
                          </a:schemeClr>
                        </a:solidFill>
                        <a:ln w="6350">
                          <a:solidFill>
                            <a:prstClr val="black"/>
                          </a:solidFill>
                        </a:ln>
                      </wps:spPr>
                      <wps:txbx>
                        <w:txbxContent>
                          <w:p w14:paraId="73E6F3B7" w14:textId="68A401EE" w:rsidR="00F67EF2" w:rsidRPr="006073E0" w:rsidRDefault="00F67EF2" w:rsidP="00F67EF2">
                            <w:pPr>
                              <w:rPr>
                                <w:b/>
                                <w:bCs/>
                                <w:sz w:val="32"/>
                                <w:szCs w:val="32"/>
                              </w:rPr>
                            </w:pPr>
                            <w:r>
                              <w:rPr>
                                <w:b/>
                                <w:bCs/>
                                <w:sz w:val="28"/>
                                <w:szCs w:val="28"/>
                              </w:rPr>
                              <w:t xml:space="preserve">Supplementary </w:t>
                            </w:r>
                            <w:r>
                              <w:rPr>
                                <w:b/>
                                <w:bCs/>
                                <w:sz w:val="28"/>
                                <w:szCs w:val="28"/>
                              </w:rPr>
                              <w:t>Figures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4657581" id="_x0000_t202" coordsize="21600,21600" o:spt="202" path="m,l,21600r21600,l21600,xe">
                <v:stroke joinstyle="miter"/>
                <v:path gradientshapeok="t" o:connecttype="rect"/>
              </v:shapetype>
              <v:shape id="Textfeld 1" o:spid="_x0000_s1026" type="#_x0000_t202" style="position:absolute;left:0;text-align:left;margin-left:0;margin-top:-.05pt;width:451.3pt;height:23.1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" fillcolor="#f2f2f2 [3052]" strokeweight=".5pt">
                <v:textbox>
                  <w:txbxContent>
                    <w:p w14:paraId="73E6F3B7" w14:textId="68A401EE" w:rsidR="00F67EF2" w:rsidRPr="006073E0" w:rsidRDefault="00F67EF2" w:rsidP="00F67EF2">
                      <w:pPr>
                        <w:rPr>
                          <w:b/>
                          <w:bCs/>
                          <w:sz w:val="32"/>
                          <w:szCs w:val="32"/>
                        </w:rPr>
                      </w:pPr>
                      <w:r>
                        <w:rPr>
                          <w:b/>
                          <w:bCs/>
                          <w:sz w:val="28"/>
                          <w:szCs w:val="28"/>
                        </w:rPr>
                        <w:t xml:space="preserve">Supplementary </w:t>
                      </w:r>
                      <w:r>
                        <w:rPr>
                          <w:b/>
                          <w:bCs/>
                          <w:sz w:val="28"/>
                          <w:szCs w:val="28"/>
                        </w:rPr>
                        <w:t>Figures</w:t>
                      </w:r>
                    </w:p>
                  </w:txbxContent>
                </v:textbox>
              </v:shape>
            </w:pict>
          </mc:Fallback>
        </mc:AlternateContent>
      </w:r>
      <w:r w:rsidRPr="00814D7F">
        <w:rPr>
          <w:b/>
          <w:sz w:val="28"/>
          <w:szCs w:val="28"/>
          <w:u w:val="single"/>
          <w:lang w:val="en-AU"/>
        </w:rPr>
        <w:t>C. Supplemental Table 1:</w:t>
      </w:r>
    </w:p>
    <w:p w14:paraId="0F4C0EF8" w14:textId="77777777" w:rsidR="00F67EF2" w:rsidRDefault="00F67EF2" w:rsidP="006F682A">
      <w:pPr>
        <w:spacing w:line="276" w:lineRule="auto"/>
        <w:jc w:val="both"/>
        <w:outlineLvl w:val="2"/>
        <w:rPr>
          <w:b/>
          <w:sz w:val="28"/>
          <w:szCs w:val="28"/>
          <w:u w:val="single"/>
          <w:lang w:val="en-AU"/>
        </w:rPr>
      </w:pPr>
    </w:p>
    <w:p w14:paraId="22EEF5A8" w14:textId="0B0C3218" w:rsidR="00F67EF2" w:rsidRDefault="00F67EF2" w:rsidP="006F682A">
      <w:pPr>
        <w:spacing w:line="276" w:lineRule="auto"/>
        <w:jc w:val="both"/>
        <w:outlineLvl w:val="2"/>
        <w:rPr>
          <w:b/>
          <w:sz w:val="28"/>
          <w:szCs w:val="28"/>
          <w:u w:val="single"/>
          <w:lang w:val="en-AU"/>
        </w:rPr>
      </w:pPr>
      <w:r>
        <w:rPr>
          <w:b/>
          <w:noProof/>
          <w:sz w:val="28"/>
          <w:szCs w:val="28"/>
          <w:u w:val="single"/>
          <w:lang w:val="en-AU"/>
          <w14:ligatures w14:val="standardContextual"/>
        </w:rPr>
        <w:drawing>
          <wp:inline distT="0" distB="0" distL="0" distR="0" wp14:anchorId="6DEA6AA7" wp14:editId="1F31F34F">
            <wp:extent cx="5755789" cy="1893423"/>
            <wp:effectExtent l="0" t="0" r="0" b="0"/>
            <wp:docPr id="83897787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977877" name="Grafik 838977877"/>
                    <pic:cNvPicPr/>
                  </pic:nvPicPr>
                  <pic:blipFill rotWithShape="1">
                    <a:blip r:embed="rId8"/>
                    <a:srcRect t="16038" b="1"/>
                    <a:stretch>
                      <a:fillRect/>
                    </a:stretch>
                  </pic:blipFill>
                  <pic:spPr bwMode="auto">
                    <a:xfrm>
                      <a:off x="0" y="0"/>
                      <a:ext cx="5756910" cy="1893792"/>
                    </a:xfrm>
                    <a:prstGeom prst="rect">
                      <a:avLst/>
                    </a:prstGeom>
                    <a:ln>
                      <a:noFill/>
                    </a:ln>
                    <a:extLst>
                      <a:ext uri="{53640926-AAD7-44D8-BBD7-CCE9431645EC}">
                        <a14:shadowObscured xmlns:a14="http://schemas.microsoft.com/office/drawing/2010/main"/>
                      </a:ext>
                    </a:extLst>
                  </pic:spPr>
                </pic:pic>
              </a:graphicData>
            </a:graphic>
          </wp:inline>
        </w:drawing>
      </w:r>
    </w:p>
    <w:p w14:paraId="437FF85D" w14:textId="77777777" w:rsidR="00F67EF2" w:rsidRDefault="00F67EF2" w:rsidP="00F67EF2">
      <w:pPr>
        <w:spacing w:line="276" w:lineRule="auto"/>
        <w:jc w:val="both"/>
        <w:rPr>
          <w:b/>
          <w:bCs/>
          <w:lang w:val="en-US"/>
        </w:rPr>
      </w:pPr>
    </w:p>
    <w:p w14:paraId="34A8E597" w14:textId="5A4FD3DF" w:rsidR="00F67EF2" w:rsidRDefault="00F67EF2" w:rsidP="00F67EF2">
      <w:pPr>
        <w:spacing w:line="276" w:lineRule="auto"/>
        <w:jc w:val="both"/>
        <w:rPr>
          <w:lang w:val="en-US"/>
        </w:rPr>
      </w:pPr>
      <w:r>
        <w:rPr>
          <w:b/>
          <w:bCs/>
          <w:lang w:val="en-US"/>
        </w:rPr>
        <w:t xml:space="preserve">Supplementary </w:t>
      </w:r>
      <w:r w:rsidRPr="00044EC3">
        <w:rPr>
          <w:b/>
          <w:bCs/>
          <w:lang w:val="en-US"/>
        </w:rPr>
        <w:t xml:space="preserve">Figure </w:t>
      </w:r>
      <w:r>
        <w:rPr>
          <w:b/>
          <w:bCs/>
          <w:lang w:val="en-US"/>
        </w:rPr>
        <w:t>1.</w:t>
      </w:r>
      <w:r w:rsidRPr="00044EC3">
        <w:rPr>
          <w:b/>
          <w:bCs/>
          <w:lang w:val="en-US"/>
        </w:rPr>
        <w:t xml:space="preserve"> Subgroup Analyses</w:t>
      </w:r>
      <w:r>
        <w:rPr>
          <w:b/>
          <w:bCs/>
          <w:lang w:val="en-US"/>
        </w:rPr>
        <w:t xml:space="preserve"> </w:t>
      </w:r>
      <w:r w:rsidRPr="00044EC3">
        <w:rPr>
          <w:lang w:val="en-US"/>
        </w:rPr>
        <w:t>Forest plot and accompanying table showing the unpaired median difference in change from baseline in MDS-UPDRS Part III scores between SoC and remote programming across predefined subgroups: age (&lt;60 years vs ≥60 years), baseline MDS-UPDRS Part III (&lt;35 vs ≥35), cognitive function (MoCA &lt;25 vs ≥25), and levodopa equivalent daily dose (&lt;1000 mg/day vs ≥1000 mg/day). For each subgroup, the number of patients analysed per group, median values with IQRs, and median differences with 95% CIs are reported. P values were derived from the Mann–Whitney U test. Positive values indicate greater improvement in the SoC group, and negative values indicate greater improvement in the remote programming group.</w:t>
      </w:r>
    </w:p>
    <w:p w14:paraId="4E7CA866" w14:textId="77777777" w:rsidR="00F67EF2" w:rsidRDefault="00F67EF2" w:rsidP="00F67EF2">
      <w:pPr>
        <w:spacing w:line="276" w:lineRule="auto"/>
        <w:jc w:val="both"/>
        <w:rPr>
          <w:lang w:val="en-US"/>
        </w:rPr>
      </w:pPr>
    </w:p>
    <w:p w14:paraId="6FF9C0C7" w14:textId="77777777" w:rsidR="00F67EF2" w:rsidRDefault="00F67EF2" w:rsidP="00F67EF2">
      <w:pPr>
        <w:spacing w:line="276" w:lineRule="auto"/>
        <w:jc w:val="both"/>
        <w:rPr>
          <w:lang w:val="en-US"/>
        </w:rPr>
      </w:pPr>
    </w:p>
    <w:p w14:paraId="5ED5105F" w14:textId="77777777" w:rsidR="00F67EF2" w:rsidRDefault="00F67EF2" w:rsidP="00F67EF2">
      <w:pPr>
        <w:spacing w:line="276" w:lineRule="auto"/>
        <w:jc w:val="both"/>
        <w:rPr>
          <w:lang w:val="en-US"/>
        </w:rPr>
      </w:pPr>
    </w:p>
    <w:p w14:paraId="2C03F439" w14:textId="3E848950" w:rsidR="00F67EF2" w:rsidRDefault="00F67EF2" w:rsidP="00F67EF2">
      <w:pPr>
        <w:spacing w:line="276" w:lineRule="auto"/>
        <w:jc w:val="both"/>
        <w:rPr>
          <w:lang w:val="en-US"/>
        </w:rPr>
      </w:pPr>
      <w:r>
        <w:rPr>
          <w:noProof/>
          <w:lang w:val="en-US"/>
          <w14:ligatures w14:val="standardContextual"/>
        </w:rPr>
        <w:lastRenderedPageBreak/>
        <w:drawing>
          <wp:inline distT="0" distB="0" distL="0" distR="0" wp14:anchorId="7D948844" wp14:editId="47C7745F">
            <wp:extent cx="5756910" cy="7403472"/>
            <wp:effectExtent l="0" t="0" r="0" b="0"/>
            <wp:docPr id="65479141"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79141" name="Grafik 65479141"/>
                    <pic:cNvPicPr/>
                  </pic:nvPicPr>
                  <pic:blipFill rotWithShape="1">
                    <a:blip r:embed="rId9"/>
                    <a:srcRect t="9127"/>
                    <a:stretch>
                      <a:fillRect/>
                    </a:stretch>
                  </pic:blipFill>
                  <pic:spPr bwMode="auto">
                    <a:xfrm>
                      <a:off x="0" y="0"/>
                      <a:ext cx="5756910" cy="7403472"/>
                    </a:xfrm>
                    <a:prstGeom prst="rect">
                      <a:avLst/>
                    </a:prstGeom>
                    <a:ln>
                      <a:noFill/>
                    </a:ln>
                    <a:extLst>
                      <a:ext uri="{53640926-AAD7-44D8-BBD7-CCE9431645EC}">
                        <a14:shadowObscured xmlns:a14="http://schemas.microsoft.com/office/drawing/2010/main"/>
                      </a:ext>
                    </a:extLst>
                  </pic:spPr>
                </pic:pic>
              </a:graphicData>
            </a:graphic>
          </wp:inline>
        </w:drawing>
      </w:r>
    </w:p>
    <w:p w14:paraId="23B24681" w14:textId="77777777" w:rsidR="00F67EF2" w:rsidRDefault="00F67EF2" w:rsidP="00F67EF2">
      <w:pPr>
        <w:spacing w:line="276" w:lineRule="auto"/>
        <w:jc w:val="both"/>
        <w:rPr>
          <w:b/>
          <w:bCs/>
          <w:lang w:val="en-US"/>
        </w:rPr>
      </w:pPr>
    </w:p>
    <w:p w14:paraId="3BBBBD3A" w14:textId="1AC71FD3" w:rsidR="00F67EF2" w:rsidRPr="00F67EF2" w:rsidRDefault="00F67EF2" w:rsidP="00F67EF2">
      <w:pPr>
        <w:spacing w:line="276" w:lineRule="auto"/>
        <w:jc w:val="both"/>
        <w:rPr>
          <w:b/>
          <w:bCs/>
          <w:lang w:val="en-US"/>
        </w:rPr>
      </w:pPr>
      <w:r>
        <w:rPr>
          <w:b/>
          <w:bCs/>
          <w:lang w:val="en-US"/>
        </w:rPr>
        <w:t xml:space="preserve">Supplementary </w:t>
      </w:r>
      <w:r w:rsidRPr="00CB33CC">
        <w:rPr>
          <w:b/>
          <w:bCs/>
          <w:lang w:val="en-US"/>
        </w:rPr>
        <w:t xml:space="preserve">Figure </w:t>
      </w:r>
      <w:r>
        <w:rPr>
          <w:b/>
          <w:bCs/>
          <w:lang w:val="en-US"/>
        </w:rPr>
        <w:t>2</w:t>
      </w:r>
      <w:r>
        <w:rPr>
          <w:b/>
          <w:bCs/>
          <w:lang w:val="en-US"/>
        </w:rPr>
        <w:t>.</w:t>
      </w:r>
      <w:r w:rsidRPr="00CB33CC">
        <w:rPr>
          <w:b/>
          <w:bCs/>
          <w:lang w:val="en-US"/>
        </w:rPr>
        <w:t xml:space="preserve"> Electrode localization and volume of tissue activated (VTA) reconstruction.</w:t>
      </w:r>
      <w:r w:rsidRPr="00CB33CC">
        <w:rPr>
          <w:lang w:val="en-US"/>
        </w:rPr>
        <w:t xml:space="preserve"> (</w:t>
      </w:r>
      <w:r w:rsidRPr="00CB33CC">
        <w:rPr>
          <w:b/>
          <w:bCs/>
          <w:lang w:val="en-US"/>
        </w:rPr>
        <w:t>A</w:t>
      </w:r>
      <w:r w:rsidRPr="00CB33CC">
        <w:rPr>
          <w:lang w:val="en-US"/>
        </w:rPr>
        <w:t>) Anatomical reconstructions of implanted DBS electrodes in the SoC and remote programming groups, visualized in standard MNI space. (</w:t>
      </w:r>
      <w:r w:rsidRPr="00CB33CC">
        <w:rPr>
          <w:b/>
          <w:bCs/>
          <w:lang w:val="en-US"/>
        </w:rPr>
        <w:t>B</w:t>
      </w:r>
      <w:r w:rsidRPr="00CB33CC">
        <w:rPr>
          <w:lang w:val="en-US"/>
        </w:rPr>
        <w:t>) Group-level overlays of VTAs after initiation of DBS prior to the discharge from the hospital (day 1-7) and at 90 days follow up for both groups. The upper row shows individual patient VTAs overlaid in standard space; the lower row displays the corresponding group-averaged VTAs.</w:t>
      </w:r>
      <w:r>
        <w:rPr>
          <w:lang w:val="en-US"/>
        </w:rPr>
        <w:t xml:space="preserve"> N</w:t>
      </w:r>
      <w:r w:rsidRPr="00CB33CC">
        <w:rPr>
          <w:lang w:val="en-US"/>
        </w:rPr>
        <w:t xml:space="preserve">ote the changes in </w:t>
      </w:r>
      <w:r w:rsidRPr="00CB33CC">
        <w:rPr>
          <w:lang w:val="en-US"/>
        </w:rPr>
        <w:lastRenderedPageBreak/>
        <w:t>individual and mean VTAs between day 1–7 and day 90, reflecting adjustments in DBS programming during the study period.</w:t>
      </w:r>
    </w:p>
    <w:p w14:paraId="47C149E2" w14:textId="77777777" w:rsidR="00146E61" w:rsidRPr="006F682A" w:rsidRDefault="00146E61" w:rsidP="00146E61">
      <w:pPr>
        <w:rPr>
          <w:vertAlign w:val="superscript"/>
          <w:lang w:val="en-AU"/>
        </w:rPr>
      </w:pPr>
    </w:p>
    <w:p w14:paraId="5D3C4747" w14:textId="77777777" w:rsidR="00146E61" w:rsidRPr="00814D7F" w:rsidRDefault="00146E61" w:rsidP="00146E61">
      <w:pPr>
        <w:spacing w:line="276" w:lineRule="auto"/>
        <w:jc w:val="both"/>
        <w:rPr>
          <w:b/>
          <w:sz w:val="28"/>
          <w:szCs w:val="28"/>
          <w:u w:val="single"/>
          <w:lang w:val="en-AU"/>
        </w:rPr>
      </w:pPr>
      <w:r>
        <w:rPr>
          <w:noProof/>
          <w:lang w:val="en-AU"/>
          <w14:ligatures w14:val="standardContextual"/>
        </w:rPr>
        <mc:AlternateContent>
          <mc:Choice Requires="wps">
            <w:drawing>
              <wp:anchor distT="0" distB="0" distL="114300" distR="114300" simplePos="0" relativeHeight="251661312" behindDoc="0" locked="0" layoutInCell="1" allowOverlap="1" wp14:anchorId="32A07A88" wp14:editId="51897C29">
                <wp:simplePos x="0" y="0"/>
                <wp:positionH relativeFrom="column">
                  <wp:posOffset>0</wp:posOffset>
                </wp:positionH>
                <wp:positionV relativeFrom="paragraph">
                  <wp:posOffset>-635</wp:posOffset>
                </wp:positionV>
                <wp:extent cx="5731328" cy="293914"/>
                <wp:effectExtent l="0" t="0" r="9525" b="11430"/>
                <wp:wrapNone/>
                <wp:docPr id="49932258" name="Textfeld 1"/>
                <wp:cNvGraphicFramePr/>
                <a:graphic xmlns:a="http://schemas.openxmlformats.org/drawingml/2006/main">
                  <a:graphicData uri="http://schemas.microsoft.com/office/word/2010/wordprocessingShape">
                    <wps:wsp>
                      <wps:cNvSpPr txBox="1"/>
                      <wps:spPr>
                        <a:xfrm>
                          <a:off x="0" y="0"/>
                          <a:ext cx="5731328" cy="293914"/>
                        </a:xfrm>
                        <a:prstGeom prst="rect">
                          <a:avLst/>
                        </a:prstGeom>
                        <a:solidFill>
                          <a:schemeClr val="bg1">
                            <a:lumMod val="95000"/>
                          </a:schemeClr>
                        </a:solidFill>
                        <a:ln w="6350">
                          <a:solidFill>
                            <a:prstClr val="black"/>
                          </a:solidFill>
                        </a:ln>
                      </wps:spPr>
                      <wps:txbx>
                        <w:txbxContent>
                          <w:p w14:paraId="41481645" w14:textId="0EDD6F31" w:rsidR="00146E61" w:rsidRPr="006073E0" w:rsidRDefault="00146E61" w:rsidP="00146E61">
                            <w:pPr>
                              <w:rPr>
                                <w:b/>
                                <w:bCs/>
                                <w:sz w:val="32"/>
                                <w:szCs w:val="32"/>
                              </w:rPr>
                            </w:pPr>
                            <w:r>
                              <w:rPr>
                                <w:b/>
                                <w:bCs/>
                                <w:sz w:val="28"/>
                                <w:szCs w:val="28"/>
                              </w:rPr>
                              <w:t>Supplementary Table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A07A88" id="_x0000_s1027" type="#_x0000_t202" style="position:absolute;left:0;text-align:left;margin-left:0;margin-top:-.05pt;width:451.3pt;height:23.1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" fillcolor="#f2f2f2 [3052]" strokeweight=".5pt">
                <v:textbox>
                  <w:txbxContent>
                    <w:p w14:paraId="41481645" w14:textId="0EDD6F31" w:rsidR="00146E61" w:rsidRPr="006073E0" w:rsidRDefault="00146E61" w:rsidP="00146E61">
                      <w:pPr>
                        <w:rPr>
                          <w:b/>
                          <w:bCs/>
                          <w:sz w:val="32"/>
                          <w:szCs w:val="32"/>
                        </w:rPr>
                      </w:pPr>
                      <w:r>
                        <w:rPr>
                          <w:b/>
                          <w:bCs/>
                          <w:sz w:val="28"/>
                          <w:szCs w:val="28"/>
                        </w:rPr>
                        <w:t>Supplementary Table</w:t>
                      </w:r>
                    </w:p>
                  </w:txbxContent>
                </v:textbox>
              </v:shape>
            </w:pict>
          </mc:Fallback>
        </mc:AlternateContent>
      </w:r>
      <w:r w:rsidRPr="00814D7F">
        <w:rPr>
          <w:b/>
          <w:sz w:val="28"/>
          <w:szCs w:val="28"/>
          <w:u w:val="single"/>
          <w:lang w:val="en-AU"/>
        </w:rPr>
        <w:t>C. Supplemental Table 1:</w:t>
      </w:r>
    </w:p>
    <w:p w14:paraId="6C876960" w14:textId="77777777" w:rsidR="00146E61" w:rsidRDefault="00146E61" w:rsidP="00146E61">
      <w:pPr>
        <w:spacing w:line="276" w:lineRule="auto"/>
        <w:jc w:val="both"/>
        <w:rPr>
          <w:b/>
          <w:sz w:val="26"/>
          <w:szCs w:val="26"/>
          <w:lang w:val="en-AU"/>
        </w:rPr>
      </w:pPr>
    </w:p>
    <w:p w14:paraId="05BCF05E" w14:textId="77777777" w:rsidR="00146E61" w:rsidRPr="00286BE9" w:rsidRDefault="00146E61" w:rsidP="00146E61">
      <w:pPr>
        <w:spacing w:line="276" w:lineRule="auto"/>
        <w:jc w:val="both"/>
        <w:rPr>
          <w:b/>
          <w:sz w:val="26"/>
          <w:szCs w:val="26"/>
          <w:lang w:val="en-AU"/>
        </w:rPr>
      </w:pPr>
    </w:p>
    <w:tbl>
      <w:tblPr>
        <w:tblStyle w:val="EinfacheTabelle4"/>
        <w:tblW w:w="0" w:type="auto"/>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
        <w:gridCol w:w="1360"/>
        <w:gridCol w:w="717"/>
        <w:gridCol w:w="1409"/>
        <w:gridCol w:w="1460"/>
        <w:gridCol w:w="1404"/>
        <w:gridCol w:w="878"/>
        <w:gridCol w:w="871"/>
      </w:tblGrid>
      <w:tr w:rsidR="00146E61" w:rsidRPr="00286BE9" w14:paraId="7B9B14E2" w14:textId="77777777" w:rsidTr="001E3B42">
        <w:trPr>
          <w:cnfStyle w:val="100000000000" w:firstRow="1" w:lastRow="0" w:firstColumn="0" w:lastColumn="0" w:oddVBand="0" w:evenVBand="0" w:oddHBand="0" w:evenHBand="0" w:firstRowFirstColumn="0" w:firstRowLastColumn="0" w:lastRowFirstColumn="0" w:lastRowLastColumn="0"/>
          <w:trHeight w:val="808"/>
        </w:trPr>
        <w:tc>
          <w:tcPr>
            <w:cnfStyle w:val="001000000000" w:firstRow="0" w:lastRow="0" w:firstColumn="1" w:lastColumn="0" w:oddVBand="0" w:evenVBand="0" w:oddHBand="0" w:evenHBand="0" w:firstRowFirstColumn="0" w:firstRowLastColumn="0" w:lastRowFirstColumn="0" w:lastRowLastColumn="0"/>
            <w:tcW w:w="1847" w:type="dxa"/>
          </w:tcPr>
          <w:p w14:paraId="3C5DFF3F" w14:textId="77777777" w:rsidR="00146E61" w:rsidRPr="00286BE9" w:rsidRDefault="00146E61" w:rsidP="001E3B42">
            <w:pPr>
              <w:jc w:val="center"/>
              <w:rPr>
                <w:color w:val="000000"/>
                <w:lang w:val="en-AU"/>
              </w:rPr>
            </w:pPr>
            <w:r w:rsidRPr="00286BE9">
              <w:rPr>
                <w:color w:val="000000"/>
                <w:lang w:val="en-AU"/>
              </w:rPr>
              <w:t>Time Point</w:t>
            </w:r>
          </w:p>
        </w:tc>
        <w:tc>
          <w:tcPr>
            <w:tcW w:w="2199" w:type="dxa"/>
          </w:tcPr>
          <w:p w14:paraId="7D15D718" w14:textId="77777777" w:rsidR="00146E61" w:rsidRPr="00286BE9" w:rsidRDefault="00146E61" w:rsidP="001E3B42">
            <w:pPr>
              <w:jc w:val="center"/>
              <w:cnfStyle w:val="100000000000" w:firstRow="1" w:lastRow="0" w:firstColumn="0" w:lastColumn="0" w:oddVBand="0" w:evenVBand="0" w:oddHBand="0" w:evenHBand="0" w:firstRowFirstColumn="0" w:firstRowLastColumn="0" w:lastRowFirstColumn="0" w:lastRowLastColumn="0"/>
              <w:rPr>
                <w:color w:val="000000"/>
                <w:lang w:val="en-AU"/>
              </w:rPr>
            </w:pPr>
            <w:r w:rsidRPr="00286BE9">
              <w:rPr>
                <w:color w:val="000000"/>
                <w:lang w:val="en-AU"/>
              </w:rPr>
              <w:t>Electrode</w:t>
            </w:r>
          </w:p>
        </w:tc>
        <w:tc>
          <w:tcPr>
            <w:tcW w:w="971" w:type="dxa"/>
          </w:tcPr>
          <w:p w14:paraId="49E9B14C" w14:textId="77777777" w:rsidR="00146E61" w:rsidRPr="00286BE9" w:rsidRDefault="00146E61" w:rsidP="001E3B42">
            <w:pPr>
              <w:jc w:val="center"/>
              <w:cnfStyle w:val="100000000000" w:firstRow="1" w:lastRow="0" w:firstColumn="0" w:lastColumn="0" w:oddVBand="0" w:evenVBand="0" w:oddHBand="0" w:evenHBand="0" w:firstRowFirstColumn="0" w:firstRowLastColumn="0" w:lastRowFirstColumn="0" w:lastRowLastColumn="0"/>
              <w:rPr>
                <w:lang w:val="en-AU"/>
              </w:rPr>
            </w:pPr>
            <w:r w:rsidRPr="00286BE9">
              <w:rPr>
                <w:color w:val="000000"/>
                <w:lang w:val="en-AU"/>
              </w:rPr>
              <w:t>Axis</w:t>
            </w:r>
          </w:p>
        </w:tc>
        <w:tc>
          <w:tcPr>
            <w:tcW w:w="1950" w:type="dxa"/>
          </w:tcPr>
          <w:p w14:paraId="25439AEF" w14:textId="77777777" w:rsidR="00146E61" w:rsidRPr="00286BE9" w:rsidRDefault="00146E61" w:rsidP="001E3B42">
            <w:pPr>
              <w:jc w:val="center"/>
              <w:cnfStyle w:val="100000000000" w:firstRow="1" w:lastRow="0" w:firstColumn="0" w:lastColumn="0" w:oddVBand="0" w:evenVBand="0" w:oddHBand="0" w:evenHBand="0" w:firstRowFirstColumn="0" w:firstRowLastColumn="0" w:lastRowFirstColumn="0" w:lastRowLastColumn="0"/>
              <w:rPr>
                <w:lang w:val="en-AU"/>
              </w:rPr>
            </w:pPr>
            <w:r w:rsidRPr="00286BE9">
              <w:rPr>
                <w:color w:val="000000"/>
                <w:lang w:val="en-AU"/>
              </w:rPr>
              <w:t>SoC (</w:t>
            </w:r>
            <w:r w:rsidRPr="00286BE9">
              <w:rPr>
                <w:lang w:val="en-AU"/>
              </w:rPr>
              <w:t>Mean ± SD</w:t>
            </w:r>
          </w:p>
        </w:tc>
        <w:tc>
          <w:tcPr>
            <w:tcW w:w="2275" w:type="dxa"/>
          </w:tcPr>
          <w:p w14:paraId="2D9B9300" w14:textId="77777777" w:rsidR="00146E61" w:rsidRPr="00286BE9" w:rsidRDefault="00146E61" w:rsidP="001E3B42">
            <w:pPr>
              <w:jc w:val="center"/>
              <w:cnfStyle w:val="100000000000" w:firstRow="1" w:lastRow="0" w:firstColumn="0" w:lastColumn="0" w:oddVBand="0" w:evenVBand="0" w:oddHBand="0" w:evenHBand="0" w:firstRowFirstColumn="0" w:firstRowLastColumn="0" w:lastRowFirstColumn="0" w:lastRowLastColumn="0"/>
              <w:rPr>
                <w:lang w:val="en-AU"/>
              </w:rPr>
            </w:pPr>
            <w:r w:rsidRPr="00286BE9">
              <w:rPr>
                <w:lang w:val="en-AU"/>
              </w:rPr>
              <w:t>Remote (Mean ± SD)</w:t>
            </w:r>
          </w:p>
        </w:tc>
        <w:tc>
          <w:tcPr>
            <w:tcW w:w="2054" w:type="dxa"/>
          </w:tcPr>
          <w:p w14:paraId="4463281D" w14:textId="77777777" w:rsidR="00146E61" w:rsidRPr="00286BE9" w:rsidRDefault="00146E61" w:rsidP="001E3B42">
            <w:pPr>
              <w:jc w:val="center"/>
              <w:cnfStyle w:val="100000000000" w:firstRow="1" w:lastRow="0" w:firstColumn="0" w:lastColumn="0" w:oddVBand="0" w:evenVBand="0" w:oddHBand="0" w:evenHBand="0" w:firstRowFirstColumn="0" w:firstRowLastColumn="0" w:lastRowFirstColumn="0" w:lastRowLastColumn="0"/>
              <w:rPr>
                <w:color w:val="000000"/>
                <w:lang w:val="en-AU"/>
              </w:rPr>
            </w:pPr>
            <w:r w:rsidRPr="00286BE9">
              <w:rPr>
                <w:lang w:val="en-AU"/>
              </w:rPr>
              <w:t>Mean Difference (95% CI)</w:t>
            </w:r>
          </w:p>
        </w:tc>
        <w:tc>
          <w:tcPr>
            <w:tcW w:w="1493" w:type="dxa"/>
          </w:tcPr>
          <w:p w14:paraId="2B06B475" w14:textId="77777777" w:rsidR="00146E61" w:rsidRPr="00286BE9" w:rsidRDefault="00146E61" w:rsidP="001E3B42">
            <w:pPr>
              <w:jc w:val="center"/>
              <w:cnfStyle w:val="100000000000" w:firstRow="1" w:lastRow="0" w:firstColumn="0" w:lastColumn="0" w:oddVBand="0" w:evenVBand="0" w:oddHBand="0" w:evenHBand="0" w:firstRowFirstColumn="0" w:firstRowLastColumn="0" w:lastRowFirstColumn="0" w:lastRowLastColumn="0"/>
              <w:rPr>
                <w:lang w:val="en-AU"/>
              </w:rPr>
            </w:pPr>
            <w:r w:rsidRPr="00286BE9">
              <w:rPr>
                <w:color w:val="000000"/>
                <w:lang w:val="en-AU"/>
              </w:rPr>
              <w:t>t-value</w:t>
            </w:r>
          </w:p>
        </w:tc>
        <w:tc>
          <w:tcPr>
            <w:tcW w:w="1447" w:type="dxa"/>
          </w:tcPr>
          <w:p w14:paraId="3B45B0C4" w14:textId="77777777" w:rsidR="00146E61" w:rsidRPr="00286BE9" w:rsidRDefault="00146E61" w:rsidP="001E3B42">
            <w:pPr>
              <w:jc w:val="center"/>
              <w:cnfStyle w:val="100000000000" w:firstRow="1" w:lastRow="0" w:firstColumn="0" w:lastColumn="0" w:oddVBand="0" w:evenVBand="0" w:oddHBand="0" w:evenHBand="0" w:firstRowFirstColumn="0" w:firstRowLastColumn="0" w:lastRowFirstColumn="0" w:lastRowLastColumn="0"/>
              <w:rPr>
                <w:lang w:val="en-AU"/>
              </w:rPr>
            </w:pPr>
            <w:r w:rsidRPr="00286BE9">
              <w:rPr>
                <w:color w:val="000000"/>
                <w:lang w:val="en-AU"/>
              </w:rPr>
              <w:t>P-value</w:t>
            </w:r>
          </w:p>
        </w:tc>
      </w:tr>
      <w:tr w:rsidR="00146E61" w:rsidRPr="00286BE9" w14:paraId="7A7A7CE8" w14:textId="77777777" w:rsidTr="001E3B42">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847" w:type="dxa"/>
          </w:tcPr>
          <w:p w14:paraId="077D1F76" w14:textId="77777777" w:rsidR="00146E61" w:rsidRPr="00286BE9" w:rsidRDefault="00146E61" w:rsidP="001E3B42">
            <w:pPr>
              <w:jc w:val="center"/>
              <w:rPr>
                <w:lang w:val="en-AU"/>
              </w:rPr>
            </w:pPr>
            <w:r w:rsidRPr="00286BE9">
              <w:rPr>
                <w:lang w:val="en-AU"/>
              </w:rPr>
              <w:t>Day 0</w:t>
            </w:r>
          </w:p>
        </w:tc>
        <w:tc>
          <w:tcPr>
            <w:tcW w:w="2199" w:type="dxa"/>
          </w:tcPr>
          <w:p w14:paraId="662CA0FF" w14:textId="77777777" w:rsidR="00146E61" w:rsidRPr="00286BE9" w:rsidRDefault="00146E61" w:rsidP="001E3B42">
            <w:pPr>
              <w:jc w:val="center"/>
              <w:cnfStyle w:val="000000100000" w:firstRow="0" w:lastRow="0" w:firstColumn="0" w:lastColumn="0" w:oddVBand="0" w:evenVBand="0" w:oddHBand="1" w:evenHBand="0" w:firstRowFirstColumn="0" w:firstRowLastColumn="0" w:lastRowFirstColumn="0" w:lastRowLastColumn="0"/>
              <w:rPr>
                <w:lang w:val="en-AU"/>
              </w:rPr>
            </w:pPr>
            <w:r w:rsidRPr="00286BE9">
              <w:rPr>
                <w:lang w:val="en-AU"/>
              </w:rPr>
              <w:t>Left</w:t>
            </w:r>
          </w:p>
        </w:tc>
        <w:tc>
          <w:tcPr>
            <w:tcW w:w="971" w:type="dxa"/>
          </w:tcPr>
          <w:p w14:paraId="59293A24" w14:textId="77777777" w:rsidR="00146E61" w:rsidRPr="00286BE9" w:rsidRDefault="00146E61" w:rsidP="001E3B42">
            <w:pPr>
              <w:jc w:val="center"/>
              <w:cnfStyle w:val="000000100000" w:firstRow="0" w:lastRow="0" w:firstColumn="0" w:lastColumn="0" w:oddVBand="0" w:evenVBand="0" w:oddHBand="1" w:evenHBand="0" w:firstRowFirstColumn="0" w:firstRowLastColumn="0" w:lastRowFirstColumn="0" w:lastRowLastColumn="0"/>
              <w:rPr>
                <w:lang w:val="en-AU"/>
              </w:rPr>
            </w:pPr>
            <w:r w:rsidRPr="00286BE9">
              <w:rPr>
                <w:lang w:val="en-AU"/>
              </w:rPr>
              <w:t>X</w:t>
            </w:r>
          </w:p>
        </w:tc>
        <w:tc>
          <w:tcPr>
            <w:tcW w:w="1950" w:type="dxa"/>
          </w:tcPr>
          <w:p w14:paraId="1DA85950" w14:textId="77777777" w:rsidR="00146E61" w:rsidRPr="00286BE9" w:rsidRDefault="00146E61" w:rsidP="001E3B42">
            <w:pPr>
              <w:jc w:val="center"/>
              <w:cnfStyle w:val="000000100000" w:firstRow="0" w:lastRow="0" w:firstColumn="0" w:lastColumn="0" w:oddVBand="0" w:evenVBand="0" w:oddHBand="1" w:evenHBand="0" w:firstRowFirstColumn="0" w:firstRowLastColumn="0" w:lastRowFirstColumn="0" w:lastRowLastColumn="0"/>
              <w:rPr>
                <w:color w:val="000000"/>
                <w:lang w:val="en-AU"/>
              </w:rPr>
            </w:pPr>
            <w:r w:rsidRPr="00286BE9">
              <w:rPr>
                <w:color w:val="000000"/>
                <w:lang w:val="en-AU"/>
              </w:rPr>
              <w:t>-12.70±1.54</w:t>
            </w:r>
          </w:p>
          <w:p w14:paraId="5E770A8F" w14:textId="77777777" w:rsidR="00146E61" w:rsidRPr="00286BE9" w:rsidRDefault="00146E61" w:rsidP="001E3B42">
            <w:pPr>
              <w:jc w:val="center"/>
              <w:cnfStyle w:val="000000100000" w:firstRow="0" w:lastRow="0" w:firstColumn="0" w:lastColumn="0" w:oddVBand="0" w:evenVBand="0" w:oddHBand="1" w:evenHBand="0" w:firstRowFirstColumn="0" w:firstRowLastColumn="0" w:lastRowFirstColumn="0" w:lastRowLastColumn="0"/>
              <w:rPr>
                <w:lang w:val="en-AU"/>
              </w:rPr>
            </w:pPr>
          </w:p>
        </w:tc>
        <w:tc>
          <w:tcPr>
            <w:tcW w:w="2275" w:type="dxa"/>
          </w:tcPr>
          <w:p w14:paraId="17DCE825" w14:textId="77777777" w:rsidR="00146E61" w:rsidRPr="00286BE9" w:rsidRDefault="00146E61" w:rsidP="001E3B42">
            <w:pPr>
              <w:jc w:val="center"/>
              <w:cnfStyle w:val="000000100000" w:firstRow="0" w:lastRow="0" w:firstColumn="0" w:lastColumn="0" w:oddVBand="0" w:evenVBand="0" w:oddHBand="1" w:evenHBand="0" w:firstRowFirstColumn="0" w:firstRowLastColumn="0" w:lastRowFirstColumn="0" w:lastRowLastColumn="0"/>
              <w:rPr>
                <w:color w:val="000000"/>
                <w:lang w:val="en-AU"/>
              </w:rPr>
            </w:pPr>
            <w:r w:rsidRPr="00286BE9">
              <w:rPr>
                <w:color w:val="000000"/>
                <w:lang w:val="en-AU"/>
              </w:rPr>
              <w:t>-12.95±1.32</w:t>
            </w:r>
          </w:p>
          <w:p w14:paraId="10C27EE7" w14:textId="77777777" w:rsidR="00146E61" w:rsidRPr="00286BE9" w:rsidRDefault="00146E61" w:rsidP="001E3B42">
            <w:pPr>
              <w:jc w:val="center"/>
              <w:cnfStyle w:val="000000100000" w:firstRow="0" w:lastRow="0" w:firstColumn="0" w:lastColumn="0" w:oddVBand="0" w:evenVBand="0" w:oddHBand="1" w:evenHBand="0" w:firstRowFirstColumn="0" w:firstRowLastColumn="0" w:lastRowFirstColumn="0" w:lastRowLastColumn="0"/>
              <w:rPr>
                <w:lang w:val="en-AU"/>
              </w:rPr>
            </w:pPr>
          </w:p>
        </w:tc>
        <w:tc>
          <w:tcPr>
            <w:tcW w:w="2054" w:type="dxa"/>
          </w:tcPr>
          <w:p w14:paraId="108B24E2" w14:textId="77777777" w:rsidR="00146E61" w:rsidRPr="00286BE9" w:rsidRDefault="00146E61" w:rsidP="001E3B42">
            <w:pPr>
              <w:jc w:val="center"/>
              <w:cnfStyle w:val="000000100000" w:firstRow="0" w:lastRow="0" w:firstColumn="0" w:lastColumn="0" w:oddVBand="0" w:evenVBand="0" w:oddHBand="1" w:evenHBand="0" w:firstRowFirstColumn="0" w:firstRowLastColumn="0" w:lastRowFirstColumn="0" w:lastRowLastColumn="0"/>
              <w:rPr>
                <w:color w:val="000000"/>
                <w:lang w:val="en-AU"/>
              </w:rPr>
            </w:pPr>
            <w:r w:rsidRPr="00286BE9">
              <w:rPr>
                <w:color w:val="000000"/>
                <w:lang w:val="en-AU"/>
              </w:rPr>
              <w:t>-0.25 [-1.19, 0.69]</w:t>
            </w:r>
          </w:p>
          <w:p w14:paraId="4512B816" w14:textId="77777777" w:rsidR="00146E61" w:rsidRPr="00286BE9" w:rsidRDefault="00146E61" w:rsidP="001E3B42">
            <w:pPr>
              <w:jc w:val="center"/>
              <w:cnfStyle w:val="000000100000" w:firstRow="0" w:lastRow="0" w:firstColumn="0" w:lastColumn="0" w:oddVBand="0" w:evenVBand="0" w:oddHBand="1" w:evenHBand="0" w:firstRowFirstColumn="0" w:firstRowLastColumn="0" w:lastRowFirstColumn="0" w:lastRowLastColumn="0"/>
              <w:rPr>
                <w:lang w:val="en-AU"/>
              </w:rPr>
            </w:pPr>
          </w:p>
        </w:tc>
        <w:tc>
          <w:tcPr>
            <w:tcW w:w="1493" w:type="dxa"/>
          </w:tcPr>
          <w:p w14:paraId="7A2CF07E" w14:textId="77777777" w:rsidR="00146E61" w:rsidRPr="00286BE9" w:rsidRDefault="00146E61" w:rsidP="001E3B42">
            <w:pPr>
              <w:jc w:val="center"/>
              <w:cnfStyle w:val="000000100000" w:firstRow="0" w:lastRow="0" w:firstColumn="0" w:lastColumn="0" w:oddVBand="0" w:evenVBand="0" w:oddHBand="1" w:evenHBand="0" w:firstRowFirstColumn="0" w:firstRowLastColumn="0" w:lastRowFirstColumn="0" w:lastRowLastColumn="0"/>
              <w:rPr>
                <w:color w:val="000000"/>
                <w:lang w:val="en-AU"/>
              </w:rPr>
            </w:pPr>
            <w:r w:rsidRPr="00286BE9">
              <w:rPr>
                <w:color w:val="000000"/>
                <w:lang w:val="en-AU"/>
              </w:rPr>
              <w:t>-0.53</w:t>
            </w:r>
          </w:p>
          <w:p w14:paraId="2912FD13" w14:textId="77777777" w:rsidR="00146E61" w:rsidRPr="00286BE9" w:rsidRDefault="00146E61" w:rsidP="001E3B42">
            <w:pPr>
              <w:jc w:val="center"/>
              <w:cnfStyle w:val="000000100000" w:firstRow="0" w:lastRow="0" w:firstColumn="0" w:lastColumn="0" w:oddVBand="0" w:evenVBand="0" w:oddHBand="1" w:evenHBand="0" w:firstRowFirstColumn="0" w:firstRowLastColumn="0" w:lastRowFirstColumn="0" w:lastRowLastColumn="0"/>
              <w:rPr>
                <w:lang w:val="en-AU"/>
              </w:rPr>
            </w:pPr>
          </w:p>
        </w:tc>
        <w:tc>
          <w:tcPr>
            <w:tcW w:w="1447" w:type="dxa"/>
          </w:tcPr>
          <w:p w14:paraId="58837993" w14:textId="77777777" w:rsidR="00146E61" w:rsidRPr="00286BE9" w:rsidRDefault="00146E61" w:rsidP="001E3B42">
            <w:pPr>
              <w:jc w:val="center"/>
              <w:cnfStyle w:val="000000100000" w:firstRow="0" w:lastRow="0" w:firstColumn="0" w:lastColumn="0" w:oddVBand="0" w:evenVBand="0" w:oddHBand="1" w:evenHBand="0" w:firstRowFirstColumn="0" w:firstRowLastColumn="0" w:lastRowFirstColumn="0" w:lastRowLastColumn="0"/>
              <w:rPr>
                <w:color w:val="000000"/>
                <w:lang w:val="en-AU"/>
              </w:rPr>
            </w:pPr>
            <w:r w:rsidRPr="00286BE9">
              <w:rPr>
                <w:color w:val="000000"/>
                <w:lang w:val="en-AU"/>
              </w:rPr>
              <w:t>0.59</w:t>
            </w:r>
          </w:p>
          <w:p w14:paraId="46DBD4AB" w14:textId="77777777" w:rsidR="00146E61" w:rsidRPr="00286BE9" w:rsidRDefault="00146E61" w:rsidP="001E3B42">
            <w:pPr>
              <w:jc w:val="center"/>
              <w:cnfStyle w:val="000000100000" w:firstRow="0" w:lastRow="0" w:firstColumn="0" w:lastColumn="0" w:oddVBand="0" w:evenVBand="0" w:oddHBand="1" w:evenHBand="0" w:firstRowFirstColumn="0" w:firstRowLastColumn="0" w:lastRowFirstColumn="0" w:lastRowLastColumn="0"/>
              <w:rPr>
                <w:lang w:val="en-AU"/>
              </w:rPr>
            </w:pPr>
          </w:p>
        </w:tc>
      </w:tr>
      <w:tr w:rsidR="00146E61" w:rsidRPr="00286BE9" w14:paraId="68ECAE22" w14:textId="77777777" w:rsidTr="001E3B42">
        <w:trPr>
          <w:trHeight w:val="276"/>
        </w:trPr>
        <w:tc>
          <w:tcPr>
            <w:cnfStyle w:val="001000000000" w:firstRow="0" w:lastRow="0" w:firstColumn="1" w:lastColumn="0" w:oddVBand="0" w:evenVBand="0" w:oddHBand="0" w:evenHBand="0" w:firstRowFirstColumn="0" w:firstRowLastColumn="0" w:lastRowFirstColumn="0" w:lastRowLastColumn="0"/>
            <w:tcW w:w="1847" w:type="dxa"/>
          </w:tcPr>
          <w:p w14:paraId="4816D9D9" w14:textId="77777777" w:rsidR="00146E61" w:rsidRPr="00286BE9" w:rsidRDefault="00146E61" w:rsidP="001E3B42">
            <w:pPr>
              <w:jc w:val="center"/>
              <w:rPr>
                <w:lang w:val="en-AU"/>
              </w:rPr>
            </w:pPr>
          </w:p>
        </w:tc>
        <w:tc>
          <w:tcPr>
            <w:tcW w:w="2199" w:type="dxa"/>
          </w:tcPr>
          <w:p w14:paraId="2FB0468E" w14:textId="77777777" w:rsidR="00146E61" w:rsidRPr="00286BE9" w:rsidRDefault="00146E61" w:rsidP="001E3B42">
            <w:pPr>
              <w:jc w:val="center"/>
              <w:cnfStyle w:val="000000000000" w:firstRow="0" w:lastRow="0" w:firstColumn="0" w:lastColumn="0" w:oddVBand="0" w:evenVBand="0" w:oddHBand="0" w:evenHBand="0" w:firstRowFirstColumn="0" w:firstRowLastColumn="0" w:lastRowFirstColumn="0" w:lastRowLastColumn="0"/>
              <w:rPr>
                <w:lang w:val="en-AU"/>
              </w:rPr>
            </w:pPr>
          </w:p>
        </w:tc>
        <w:tc>
          <w:tcPr>
            <w:tcW w:w="971" w:type="dxa"/>
          </w:tcPr>
          <w:p w14:paraId="188F7E92" w14:textId="77777777" w:rsidR="00146E61" w:rsidRPr="00286BE9" w:rsidRDefault="00146E61" w:rsidP="001E3B42">
            <w:pPr>
              <w:jc w:val="center"/>
              <w:cnfStyle w:val="000000000000" w:firstRow="0" w:lastRow="0" w:firstColumn="0" w:lastColumn="0" w:oddVBand="0" w:evenVBand="0" w:oddHBand="0" w:evenHBand="0" w:firstRowFirstColumn="0" w:firstRowLastColumn="0" w:lastRowFirstColumn="0" w:lastRowLastColumn="0"/>
              <w:rPr>
                <w:lang w:val="en-AU"/>
              </w:rPr>
            </w:pPr>
            <w:r w:rsidRPr="00286BE9">
              <w:rPr>
                <w:lang w:val="en-AU"/>
              </w:rPr>
              <w:t>Y</w:t>
            </w:r>
          </w:p>
        </w:tc>
        <w:tc>
          <w:tcPr>
            <w:tcW w:w="1950" w:type="dxa"/>
          </w:tcPr>
          <w:p w14:paraId="53F7575E" w14:textId="77777777" w:rsidR="00146E61" w:rsidRPr="00286BE9" w:rsidRDefault="00146E61" w:rsidP="001E3B42">
            <w:pPr>
              <w:jc w:val="center"/>
              <w:cnfStyle w:val="000000000000" w:firstRow="0" w:lastRow="0" w:firstColumn="0" w:lastColumn="0" w:oddVBand="0" w:evenVBand="0" w:oddHBand="0" w:evenHBand="0" w:firstRowFirstColumn="0" w:firstRowLastColumn="0" w:lastRowFirstColumn="0" w:lastRowLastColumn="0"/>
              <w:rPr>
                <w:color w:val="000000"/>
                <w:lang w:val="en-AU"/>
              </w:rPr>
            </w:pPr>
            <w:r w:rsidRPr="00286BE9">
              <w:rPr>
                <w:color w:val="000000"/>
                <w:lang w:val="en-AU"/>
              </w:rPr>
              <w:t>-13.73±1.57</w:t>
            </w:r>
          </w:p>
          <w:p w14:paraId="52DF910E" w14:textId="77777777" w:rsidR="00146E61" w:rsidRPr="00286BE9" w:rsidRDefault="00146E61" w:rsidP="001E3B42">
            <w:pPr>
              <w:jc w:val="center"/>
              <w:cnfStyle w:val="000000000000" w:firstRow="0" w:lastRow="0" w:firstColumn="0" w:lastColumn="0" w:oddVBand="0" w:evenVBand="0" w:oddHBand="0" w:evenHBand="0" w:firstRowFirstColumn="0" w:firstRowLastColumn="0" w:lastRowFirstColumn="0" w:lastRowLastColumn="0"/>
              <w:rPr>
                <w:lang w:val="en-AU"/>
              </w:rPr>
            </w:pPr>
          </w:p>
        </w:tc>
        <w:tc>
          <w:tcPr>
            <w:tcW w:w="2275" w:type="dxa"/>
          </w:tcPr>
          <w:p w14:paraId="65CCB31B" w14:textId="77777777" w:rsidR="00146E61" w:rsidRPr="00286BE9" w:rsidRDefault="00146E61" w:rsidP="001E3B42">
            <w:pPr>
              <w:jc w:val="center"/>
              <w:cnfStyle w:val="000000000000" w:firstRow="0" w:lastRow="0" w:firstColumn="0" w:lastColumn="0" w:oddVBand="0" w:evenVBand="0" w:oddHBand="0" w:evenHBand="0" w:firstRowFirstColumn="0" w:firstRowLastColumn="0" w:lastRowFirstColumn="0" w:lastRowLastColumn="0"/>
              <w:rPr>
                <w:color w:val="000000"/>
                <w:lang w:val="en-AU"/>
              </w:rPr>
            </w:pPr>
            <w:r w:rsidRPr="00286BE9">
              <w:rPr>
                <w:color w:val="000000"/>
                <w:lang w:val="en-AU"/>
              </w:rPr>
              <w:t>-13.83±1.16</w:t>
            </w:r>
          </w:p>
          <w:p w14:paraId="78FFF7A9" w14:textId="77777777" w:rsidR="00146E61" w:rsidRPr="00286BE9" w:rsidRDefault="00146E61" w:rsidP="001E3B42">
            <w:pPr>
              <w:jc w:val="center"/>
              <w:cnfStyle w:val="000000000000" w:firstRow="0" w:lastRow="0" w:firstColumn="0" w:lastColumn="0" w:oddVBand="0" w:evenVBand="0" w:oddHBand="0" w:evenHBand="0" w:firstRowFirstColumn="0" w:firstRowLastColumn="0" w:lastRowFirstColumn="0" w:lastRowLastColumn="0"/>
              <w:rPr>
                <w:lang w:val="en-AU"/>
              </w:rPr>
            </w:pPr>
          </w:p>
        </w:tc>
        <w:tc>
          <w:tcPr>
            <w:tcW w:w="2054" w:type="dxa"/>
          </w:tcPr>
          <w:p w14:paraId="0ECCFAF8" w14:textId="77777777" w:rsidR="00146E61" w:rsidRPr="00286BE9" w:rsidRDefault="00146E61" w:rsidP="001E3B42">
            <w:pPr>
              <w:jc w:val="center"/>
              <w:cnfStyle w:val="000000000000" w:firstRow="0" w:lastRow="0" w:firstColumn="0" w:lastColumn="0" w:oddVBand="0" w:evenVBand="0" w:oddHBand="0" w:evenHBand="0" w:firstRowFirstColumn="0" w:firstRowLastColumn="0" w:lastRowFirstColumn="0" w:lastRowLastColumn="0"/>
              <w:rPr>
                <w:color w:val="000000"/>
                <w:lang w:val="en-AU"/>
              </w:rPr>
            </w:pPr>
            <w:r w:rsidRPr="00286BE9">
              <w:rPr>
                <w:color w:val="000000"/>
                <w:lang w:val="en-AU"/>
              </w:rPr>
              <w:t>-0.1 [-1.00, 0.81]</w:t>
            </w:r>
          </w:p>
          <w:p w14:paraId="68C4B736" w14:textId="77777777" w:rsidR="00146E61" w:rsidRPr="00286BE9" w:rsidRDefault="00146E61" w:rsidP="001E3B42">
            <w:pPr>
              <w:jc w:val="center"/>
              <w:cnfStyle w:val="000000000000" w:firstRow="0" w:lastRow="0" w:firstColumn="0" w:lastColumn="0" w:oddVBand="0" w:evenVBand="0" w:oddHBand="0" w:evenHBand="0" w:firstRowFirstColumn="0" w:firstRowLastColumn="0" w:lastRowFirstColumn="0" w:lastRowLastColumn="0"/>
              <w:rPr>
                <w:lang w:val="en-AU"/>
              </w:rPr>
            </w:pPr>
          </w:p>
        </w:tc>
        <w:tc>
          <w:tcPr>
            <w:tcW w:w="1493" w:type="dxa"/>
            <w:vAlign w:val="center"/>
          </w:tcPr>
          <w:p w14:paraId="5DB57885" w14:textId="77777777" w:rsidR="00146E61" w:rsidRPr="00286BE9" w:rsidRDefault="00146E61" w:rsidP="001E3B42">
            <w:pPr>
              <w:jc w:val="center"/>
              <w:cnfStyle w:val="000000000000" w:firstRow="0" w:lastRow="0" w:firstColumn="0" w:lastColumn="0" w:oddVBand="0" w:evenVBand="0" w:oddHBand="0" w:evenHBand="0" w:firstRowFirstColumn="0" w:firstRowLastColumn="0" w:lastRowFirstColumn="0" w:lastRowLastColumn="0"/>
              <w:rPr>
                <w:lang w:val="en-AU"/>
              </w:rPr>
            </w:pPr>
            <w:r w:rsidRPr="00286BE9">
              <w:rPr>
                <w:color w:val="000000"/>
                <w:lang w:val="en-AU"/>
              </w:rPr>
              <w:t>-0.20</w:t>
            </w:r>
          </w:p>
        </w:tc>
        <w:tc>
          <w:tcPr>
            <w:tcW w:w="1447" w:type="dxa"/>
            <w:vAlign w:val="center"/>
          </w:tcPr>
          <w:p w14:paraId="15DD615B" w14:textId="77777777" w:rsidR="00146E61" w:rsidRPr="00286BE9" w:rsidRDefault="00146E61" w:rsidP="001E3B42">
            <w:pPr>
              <w:jc w:val="center"/>
              <w:cnfStyle w:val="000000000000" w:firstRow="0" w:lastRow="0" w:firstColumn="0" w:lastColumn="0" w:oddVBand="0" w:evenVBand="0" w:oddHBand="0" w:evenHBand="0" w:firstRowFirstColumn="0" w:firstRowLastColumn="0" w:lastRowFirstColumn="0" w:lastRowLastColumn="0"/>
              <w:rPr>
                <w:lang w:val="en-AU"/>
              </w:rPr>
            </w:pPr>
            <w:r w:rsidRPr="00286BE9">
              <w:rPr>
                <w:color w:val="000000"/>
                <w:lang w:val="en-AU"/>
              </w:rPr>
              <w:t>0.83</w:t>
            </w:r>
          </w:p>
        </w:tc>
      </w:tr>
      <w:tr w:rsidR="00146E61" w:rsidRPr="00286BE9" w14:paraId="4D008B37" w14:textId="77777777" w:rsidTr="001E3B42">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847" w:type="dxa"/>
          </w:tcPr>
          <w:p w14:paraId="5AE13288" w14:textId="77777777" w:rsidR="00146E61" w:rsidRPr="00286BE9" w:rsidRDefault="00146E61" w:rsidP="001E3B42">
            <w:pPr>
              <w:jc w:val="center"/>
              <w:rPr>
                <w:lang w:val="en-AU"/>
              </w:rPr>
            </w:pPr>
          </w:p>
        </w:tc>
        <w:tc>
          <w:tcPr>
            <w:tcW w:w="2199" w:type="dxa"/>
          </w:tcPr>
          <w:p w14:paraId="0C5C5FA1" w14:textId="77777777" w:rsidR="00146E61" w:rsidRPr="00286BE9" w:rsidRDefault="00146E61" w:rsidP="001E3B42">
            <w:pPr>
              <w:jc w:val="center"/>
              <w:cnfStyle w:val="000000100000" w:firstRow="0" w:lastRow="0" w:firstColumn="0" w:lastColumn="0" w:oddVBand="0" w:evenVBand="0" w:oddHBand="1" w:evenHBand="0" w:firstRowFirstColumn="0" w:firstRowLastColumn="0" w:lastRowFirstColumn="0" w:lastRowLastColumn="0"/>
              <w:rPr>
                <w:lang w:val="en-AU"/>
              </w:rPr>
            </w:pPr>
          </w:p>
        </w:tc>
        <w:tc>
          <w:tcPr>
            <w:tcW w:w="971" w:type="dxa"/>
          </w:tcPr>
          <w:p w14:paraId="4ECD5D42" w14:textId="77777777" w:rsidR="00146E61" w:rsidRPr="00286BE9" w:rsidRDefault="00146E61" w:rsidP="001E3B42">
            <w:pPr>
              <w:jc w:val="center"/>
              <w:cnfStyle w:val="000000100000" w:firstRow="0" w:lastRow="0" w:firstColumn="0" w:lastColumn="0" w:oddVBand="0" w:evenVBand="0" w:oddHBand="1" w:evenHBand="0" w:firstRowFirstColumn="0" w:firstRowLastColumn="0" w:lastRowFirstColumn="0" w:lastRowLastColumn="0"/>
              <w:rPr>
                <w:lang w:val="en-AU"/>
              </w:rPr>
            </w:pPr>
            <w:r w:rsidRPr="00286BE9">
              <w:rPr>
                <w:lang w:val="en-AU"/>
              </w:rPr>
              <w:t>Z</w:t>
            </w:r>
          </w:p>
        </w:tc>
        <w:tc>
          <w:tcPr>
            <w:tcW w:w="1950" w:type="dxa"/>
          </w:tcPr>
          <w:p w14:paraId="377F888A" w14:textId="77777777" w:rsidR="00146E61" w:rsidRPr="00286BE9" w:rsidRDefault="00146E61" w:rsidP="001E3B42">
            <w:pPr>
              <w:jc w:val="center"/>
              <w:cnfStyle w:val="000000100000" w:firstRow="0" w:lastRow="0" w:firstColumn="0" w:lastColumn="0" w:oddVBand="0" w:evenVBand="0" w:oddHBand="1" w:evenHBand="0" w:firstRowFirstColumn="0" w:firstRowLastColumn="0" w:lastRowFirstColumn="0" w:lastRowLastColumn="0"/>
              <w:rPr>
                <w:color w:val="000000"/>
                <w:lang w:val="en-AU"/>
              </w:rPr>
            </w:pPr>
            <w:r w:rsidRPr="00286BE9">
              <w:rPr>
                <w:color w:val="000000"/>
                <w:lang w:val="en-AU"/>
              </w:rPr>
              <w:t>-6.95±1.57</w:t>
            </w:r>
          </w:p>
          <w:p w14:paraId="32A5EEA0" w14:textId="77777777" w:rsidR="00146E61" w:rsidRPr="00286BE9" w:rsidRDefault="00146E61" w:rsidP="001E3B42">
            <w:pPr>
              <w:jc w:val="center"/>
              <w:cnfStyle w:val="000000100000" w:firstRow="0" w:lastRow="0" w:firstColumn="0" w:lastColumn="0" w:oddVBand="0" w:evenVBand="0" w:oddHBand="1" w:evenHBand="0" w:firstRowFirstColumn="0" w:firstRowLastColumn="0" w:lastRowFirstColumn="0" w:lastRowLastColumn="0"/>
              <w:rPr>
                <w:lang w:val="en-AU"/>
              </w:rPr>
            </w:pPr>
          </w:p>
        </w:tc>
        <w:tc>
          <w:tcPr>
            <w:tcW w:w="2275" w:type="dxa"/>
          </w:tcPr>
          <w:p w14:paraId="22C03775" w14:textId="77777777" w:rsidR="00146E61" w:rsidRPr="00286BE9" w:rsidRDefault="00146E61" w:rsidP="001E3B42">
            <w:pPr>
              <w:jc w:val="center"/>
              <w:cnfStyle w:val="000000100000" w:firstRow="0" w:lastRow="0" w:firstColumn="0" w:lastColumn="0" w:oddVBand="0" w:evenVBand="0" w:oddHBand="1" w:evenHBand="0" w:firstRowFirstColumn="0" w:firstRowLastColumn="0" w:lastRowFirstColumn="0" w:lastRowLastColumn="0"/>
              <w:rPr>
                <w:color w:val="000000"/>
                <w:lang w:val="en-AU"/>
              </w:rPr>
            </w:pPr>
            <w:r w:rsidRPr="00286BE9">
              <w:rPr>
                <w:color w:val="000000"/>
                <w:lang w:val="en-AU"/>
              </w:rPr>
              <w:t>-6.16±1.11</w:t>
            </w:r>
          </w:p>
          <w:p w14:paraId="431C5A59" w14:textId="77777777" w:rsidR="00146E61" w:rsidRPr="00286BE9" w:rsidRDefault="00146E61" w:rsidP="001E3B42">
            <w:pPr>
              <w:jc w:val="center"/>
              <w:cnfStyle w:val="000000100000" w:firstRow="0" w:lastRow="0" w:firstColumn="0" w:lastColumn="0" w:oddVBand="0" w:evenVBand="0" w:oddHBand="1" w:evenHBand="0" w:firstRowFirstColumn="0" w:firstRowLastColumn="0" w:lastRowFirstColumn="0" w:lastRowLastColumn="0"/>
              <w:rPr>
                <w:lang w:val="en-AU"/>
              </w:rPr>
            </w:pPr>
          </w:p>
        </w:tc>
        <w:tc>
          <w:tcPr>
            <w:tcW w:w="2054" w:type="dxa"/>
          </w:tcPr>
          <w:p w14:paraId="31C2CFD1" w14:textId="77777777" w:rsidR="00146E61" w:rsidRPr="00286BE9" w:rsidRDefault="00146E61" w:rsidP="001E3B42">
            <w:pPr>
              <w:jc w:val="center"/>
              <w:cnfStyle w:val="000000100000" w:firstRow="0" w:lastRow="0" w:firstColumn="0" w:lastColumn="0" w:oddVBand="0" w:evenVBand="0" w:oddHBand="1" w:evenHBand="0" w:firstRowFirstColumn="0" w:firstRowLastColumn="0" w:lastRowFirstColumn="0" w:lastRowLastColumn="0"/>
              <w:rPr>
                <w:color w:val="000000"/>
                <w:lang w:val="en-AU"/>
              </w:rPr>
            </w:pPr>
            <w:r w:rsidRPr="00286BE9">
              <w:rPr>
                <w:color w:val="000000"/>
                <w:lang w:val="en-AU"/>
              </w:rPr>
              <w:t>0.79 [-0.10, 1.68]</w:t>
            </w:r>
          </w:p>
          <w:p w14:paraId="19AB4358" w14:textId="77777777" w:rsidR="00146E61" w:rsidRPr="00286BE9" w:rsidRDefault="00146E61" w:rsidP="001E3B42">
            <w:pPr>
              <w:jc w:val="center"/>
              <w:cnfStyle w:val="000000100000" w:firstRow="0" w:lastRow="0" w:firstColumn="0" w:lastColumn="0" w:oddVBand="0" w:evenVBand="0" w:oddHBand="1" w:evenHBand="0" w:firstRowFirstColumn="0" w:firstRowLastColumn="0" w:lastRowFirstColumn="0" w:lastRowLastColumn="0"/>
              <w:rPr>
                <w:lang w:val="en-AU"/>
              </w:rPr>
            </w:pPr>
          </w:p>
        </w:tc>
        <w:tc>
          <w:tcPr>
            <w:tcW w:w="1493" w:type="dxa"/>
            <w:vAlign w:val="center"/>
          </w:tcPr>
          <w:p w14:paraId="5A434635" w14:textId="77777777" w:rsidR="00146E61" w:rsidRPr="00286BE9" w:rsidRDefault="00146E61" w:rsidP="001E3B42">
            <w:pPr>
              <w:jc w:val="center"/>
              <w:cnfStyle w:val="000000100000" w:firstRow="0" w:lastRow="0" w:firstColumn="0" w:lastColumn="0" w:oddVBand="0" w:evenVBand="0" w:oddHBand="1" w:evenHBand="0" w:firstRowFirstColumn="0" w:firstRowLastColumn="0" w:lastRowFirstColumn="0" w:lastRowLastColumn="0"/>
              <w:rPr>
                <w:lang w:val="en-AU"/>
              </w:rPr>
            </w:pPr>
            <w:r w:rsidRPr="00286BE9">
              <w:rPr>
                <w:color w:val="000000"/>
                <w:lang w:val="en-AU"/>
              </w:rPr>
              <w:t>1.8</w:t>
            </w:r>
          </w:p>
        </w:tc>
        <w:tc>
          <w:tcPr>
            <w:tcW w:w="1447" w:type="dxa"/>
            <w:vAlign w:val="center"/>
          </w:tcPr>
          <w:p w14:paraId="61E944C8" w14:textId="77777777" w:rsidR="00146E61" w:rsidRPr="00286BE9" w:rsidRDefault="00146E61" w:rsidP="001E3B42">
            <w:pPr>
              <w:jc w:val="center"/>
              <w:cnfStyle w:val="000000100000" w:firstRow="0" w:lastRow="0" w:firstColumn="0" w:lastColumn="0" w:oddVBand="0" w:evenVBand="0" w:oddHBand="1" w:evenHBand="0" w:firstRowFirstColumn="0" w:firstRowLastColumn="0" w:lastRowFirstColumn="0" w:lastRowLastColumn="0"/>
              <w:rPr>
                <w:lang w:val="en-AU"/>
              </w:rPr>
            </w:pPr>
            <w:r w:rsidRPr="00286BE9">
              <w:rPr>
                <w:color w:val="000000"/>
                <w:lang w:val="en-AU"/>
              </w:rPr>
              <w:t>0.08</w:t>
            </w:r>
          </w:p>
        </w:tc>
      </w:tr>
      <w:tr w:rsidR="00146E61" w:rsidRPr="00286BE9" w14:paraId="6154BC4A" w14:textId="77777777" w:rsidTr="001E3B42">
        <w:trPr>
          <w:trHeight w:val="287"/>
        </w:trPr>
        <w:tc>
          <w:tcPr>
            <w:cnfStyle w:val="001000000000" w:firstRow="0" w:lastRow="0" w:firstColumn="1" w:lastColumn="0" w:oddVBand="0" w:evenVBand="0" w:oddHBand="0" w:evenHBand="0" w:firstRowFirstColumn="0" w:firstRowLastColumn="0" w:lastRowFirstColumn="0" w:lastRowLastColumn="0"/>
            <w:tcW w:w="1847" w:type="dxa"/>
          </w:tcPr>
          <w:p w14:paraId="28E99FAA" w14:textId="77777777" w:rsidR="00146E61" w:rsidRPr="00286BE9" w:rsidRDefault="00146E61" w:rsidP="001E3B42">
            <w:pPr>
              <w:jc w:val="center"/>
              <w:rPr>
                <w:lang w:val="en-AU"/>
              </w:rPr>
            </w:pPr>
          </w:p>
        </w:tc>
        <w:tc>
          <w:tcPr>
            <w:tcW w:w="2199" w:type="dxa"/>
          </w:tcPr>
          <w:p w14:paraId="259EF8B4" w14:textId="77777777" w:rsidR="00146E61" w:rsidRPr="00286BE9" w:rsidRDefault="00146E61" w:rsidP="001E3B42">
            <w:pPr>
              <w:jc w:val="center"/>
              <w:cnfStyle w:val="000000000000" w:firstRow="0" w:lastRow="0" w:firstColumn="0" w:lastColumn="0" w:oddVBand="0" w:evenVBand="0" w:oddHBand="0" w:evenHBand="0" w:firstRowFirstColumn="0" w:firstRowLastColumn="0" w:lastRowFirstColumn="0" w:lastRowLastColumn="0"/>
              <w:rPr>
                <w:lang w:val="en-AU"/>
              </w:rPr>
            </w:pPr>
            <w:r w:rsidRPr="00286BE9">
              <w:rPr>
                <w:lang w:val="en-AU"/>
              </w:rPr>
              <w:t>Right</w:t>
            </w:r>
          </w:p>
        </w:tc>
        <w:tc>
          <w:tcPr>
            <w:tcW w:w="971" w:type="dxa"/>
          </w:tcPr>
          <w:p w14:paraId="5EB7D0DA" w14:textId="77777777" w:rsidR="00146E61" w:rsidRPr="00286BE9" w:rsidRDefault="00146E61" w:rsidP="001E3B42">
            <w:pPr>
              <w:jc w:val="center"/>
              <w:cnfStyle w:val="000000000000" w:firstRow="0" w:lastRow="0" w:firstColumn="0" w:lastColumn="0" w:oddVBand="0" w:evenVBand="0" w:oddHBand="0" w:evenHBand="0" w:firstRowFirstColumn="0" w:firstRowLastColumn="0" w:lastRowFirstColumn="0" w:lastRowLastColumn="0"/>
              <w:rPr>
                <w:lang w:val="en-AU"/>
              </w:rPr>
            </w:pPr>
            <w:r w:rsidRPr="00286BE9">
              <w:rPr>
                <w:lang w:val="en-AU"/>
              </w:rPr>
              <w:t>X</w:t>
            </w:r>
          </w:p>
        </w:tc>
        <w:tc>
          <w:tcPr>
            <w:tcW w:w="1950" w:type="dxa"/>
          </w:tcPr>
          <w:p w14:paraId="4CD435A1" w14:textId="77777777" w:rsidR="00146E61" w:rsidRPr="00286BE9" w:rsidRDefault="00146E61" w:rsidP="001E3B42">
            <w:pPr>
              <w:jc w:val="center"/>
              <w:cnfStyle w:val="000000000000" w:firstRow="0" w:lastRow="0" w:firstColumn="0" w:lastColumn="0" w:oddVBand="0" w:evenVBand="0" w:oddHBand="0" w:evenHBand="0" w:firstRowFirstColumn="0" w:firstRowLastColumn="0" w:lastRowFirstColumn="0" w:lastRowLastColumn="0"/>
              <w:rPr>
                <w:color w:val="000000"/>
                <w:lang w:val="en-AU"/>
              </w:rPr>
            </w:pPr>
            <w:r w:rsidRPr="00286BE9">
              <w:rPr>
                <w:color w:val="000000"/>
                <w:lang w:val="en-AU"/>
              </w:rPr>
              <w:t>12.69±1.62</w:t>
            </w:r>
          </w:p>
          <w:p w14:paraId="041A33B0" w14:textId="77777777" w:rsidR="00146E61" w:rsidRPr="00286BE9" w:rsidRDefault="00146E61" w:rsidP="001E3B42">
            <w:pPr>
              <w:jc w:val="center"/>
              <w:cnfStyle w:val="000000000000" w:firstRow="0" w:lastRow="0" w:firstColumn="0" w:lastColumn="0" w:oddVBand="0" w:evenVBand="0" w:oddHBand="0" w:evenHBand="0" w:firstRowFirstColumn="0" w:firstRowLastColumn="0" w:lastRowFirstColumn="0" w:lastRowLastColumn="0"/>
              <w:rPr>
                <w:lang w:val="en-AU"/>
              </w:rPr>
            </w:pPr>
          </w:p>
        </w:tc>
        <w:tc>
          <w:tcPr>
            <w:tcW w:w="2275" w:type="dxa"/>
          </w:tcPr>
          <w:p w14:paraId="7C3DA460" w14:textId="77777777" w:rsidR="00146E61" w:rsidRPr="00286BE9" w:rsidRDefault="00146E61" w:rsidP="001E3B42">
            <w:pPr>
              <w:jc w:val="center"/>
              <w:cnfStyle w:val="000000000000" w:firstRow="0" w:lastRow="0" w:firstColumn="0" w:lastColumn="0" w:oddVBand="0" w:evenVBand="0" w:oddHBand="0" w:evenHBand="0" w:firstRowFirstColumn="0" w:firstRowLastColumn="0" w:lastRowFirstColumn="0" w:lastRowLastColumn="0"/>
              <w:rPr>
                <w:color w:val="000000"/>
                <w:lang w:val="en-AU"/>
              </w:rPr>
            </w:pPr>
            <w:r w:rsidRPr="00286BE9">
              <w:rPr>
                <w:color w:val="000000"/>
                <w:lang w:val="en-AU"/>
              </w:rPr>
              <w:t>12.60±1.32</w:t>
            </w:r>
          </w:p>
          <w:p w14:paraId="63D7F4FA" w14:textId="77777777" w:rsidR="00146E61" w:rsidRPr="00286BE9" w:rsidRDefault="00146E61" w:rsidP="001E3B42">
            <w:pPr>
              <w:jc w:val="center"/>
              <w:cnfStyle w:val="000000000000" w:firstRow="0" w:lastRow="0" w:firstColumn="0" w:lastColumn="0" w:oddVBand="0" w:evenVBand="0" w:oddHBand="0" w:evenHBand="0" w:firstRowFirstColumn="0" w:firstRowLastColumn="0" w:lastRowFirstColumn="0" w:lastRowLastColumn="0"/>
              <w:rPr>
                <w:lang w:val="en-AU"/>
              </w:rPr>
            </w:pPr>
          </w:p>
        </w:tc>
        <w:tc>
          <w:tcPr>
            <w:tcW w:w="2054" w:type="dxa"/>
          </w:tcPr>
          <w:p w14:paraId="6EDE0FA2" w14:textId="77777777" w:rsidR="00146E61" w:rsidRPr="00286BE9" w:rsidRDefault="00146E61" w:rsidP="001E3B42">
            <w:pPr>
              <w:jc w:val="center"/>
              <w:cnfStyle w:val="000000000000" w:firstRow="0" w:lastRow="0" w:firstColumn="0" w:lastColumn="0" w:oddVBand="0" w:evenVBand="0" w:oddHBand="0" w:evenHBand="0" w:firstRowFirstColumn="0" w:firstRowLastColumn="0" w:lastRowFirstColumn="0" w:lastRowLastColumn="0"/>
              <w:rPr>
                <w:color w:val="000000"/>
                <w:lang w:val="en-AU"/>
              </w:rPr>
            </w:pPr>
            <w:r w:rsidRPr="00286BE9">
              <w:rPr>
                <w:color w:val="000000"/>
                <w:lang w:val="en-AU"/>
              </w:rPr>
              <w:t>0.09 [-1.06, 0.88]</w:t>
            </w:r>
          </w:p>
          <w:p w14:paraId="580A9A82" w14:textId="77777777" w:rsidR="00146E61" w:rsidRPr="00286BE9" w:rsidRDefault="00146E61" w:rsidP="001E3B42">
            <w:pPr>
              <w:jc w:val="center"/>
              <w:cnfStyle w:val="000000000000" w:firstRow="0" w:lastRow="0" w:firstColumn="0" w:lastColumn="0" w:oddVBand="0" w:evenVBand="0" w:oddHBand="0" w:evenHBand="0" w:firstRowFirstColumn="0" w:firstRowLastColumn="0" w:lastRowFirstColumn="0" w:lastRowLastColumn="0"/>
              <w:rPr>
                <w:lang w:val="en-AU"/>
              </w:rPr>
            </w:pPr>
          </w:p>
        </w:tc>
        <w:tc>
          <w:tcPr>
            <w:tcW w:w="1493" w:type="dxa"/>
            <w:vAlign w:val="center"/>
          </w:tcPr>
          <w:p w14:paraId="29D6535B" w14:textId="77777777" w:rsidR="00146E61" w:rsidRPr="00286BE9" w:rsidRDefault="00146E61" w:rsidP="001E3B42">
            <w:pPr>
              <w:jc w:val="center"/>
              <w:cnfStyle w:val="000000000000" w:firstRow="0" w:lastRow="0" w:firstColumn="0" w:lastColumn="0" w:oddVBand="0" w:evenVBand="0" w:oddHBand="0" w:evenHBand="0" w:firstRowFirstColumn="0" w:firstRowLastColumn="0" w:lastRowFirstColumn="0" w:lastRowLastColumn="0"/>
              <w:rPr>
                <w:lang w:val="en-AU"/>
              </w:rPr>
            </w:pPr>
            <w:r w:rsidRPr="00286BE9">
              <w:rPr>
                <w:color w:val="000000"/>
                <w:lang w:val="en-AU"/>
              </w:rPr>
              <w:t>-0.19</w:t>
            </w:r>
          </w:p>
        </w:tc>
        <w:tc>
          <w:tcPr>
            <w:tcW w:w="1447" w:type="dxa"/>
            <w:vAlign w:val="center"/>
          </w:tcPr>
          <w:p w14:paraId="1E4893A4" w14:textId="77777777" w:rsidR="00146E61" w:rsidRPr="00286BE9" w:rsidRDefault="00146E61" w:rsidP="001E3B42">
            <w:pPr>
              <w:jc w:val="center"/>
              <w:cnfStyle w:val="000000000000" w:firstRow="0" w:lastRow="0" w:firstColumn="0" w:lastColumn="0" w:oddVBand="0" w:evenVBand="0" w:oddHBand="0" w:evenHBand="0" w:firstRowFirstColumn="0" w:firstRowLastColumn="0" w:lastRowFirstColumn="0" w:lastRowLastColumn="0"/>
              <w:rPr>
                <w:lang w:val="en-AU"/>
              </w:rPr>
            </w:pPr>
            <w:r w:rsidRPr="00286BE9">
              <w:rPr>
                <w:color w:val="000000"/>
                <w:lang w:val="en-AU"/>
              </w:rPr>
              <w:t>0.85</w:t>
            </w:r>
          </w:p>
        </w:tc>
      </w:tr>
      <w:tr w:rsidR="00146E61" w:rsidRPr="00286BE9" w14:paraId="213F4B8E" w14:textId="77777777" w:rsidTr="001E3B42">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847" w:type="dxa"/>
          </w:tcPr>
          <w:p w14:paraId="0AC84830" w14:textId="77777777" w:rsidR="00146E61" w:rsidRPr="00286BE9" w:rsidRDefault="00146E61" w:rsidP="001E3B42">
            <w:pPr>
              <w:jc w:val="center"/>
              <w:rPr>
                <w:lang w:val="en-AU"/>
              </w:rPr>
            </w:pPr>
          </w:p>
        </w:tc>
        <w:tc>
          <w:tcPr>
            <w:tcW w:w="2199" w:type="dxa"/>
          </w:tcPr>
          <w:p w14:paraId="40862318" w14:textId="77777777" w:rsidR="00146E61" w:rsidRPr="00286BE9" w:rsidRDefault="00146E61" w:rsidP="001E3B42">
            <w:pPr>
              <w:jc w:val="center"/>
              <w:cnfStyle w:val="000000100000" w:firstRow="0" w:lastRow="0" w:firstColumn="0" w:lastColumn="0" w:oddVBand="0" w:evenVBand="0" w:oddHBand="1" w:evenHBand="0" w:firstRowFirstColumn="0" w:firstRowLastColumn="0" w:lastRowFirstColumn="0" w:lastRowLastColumn="0"/>
              <w:rPr>
                <w:lang w:val="en-AU"/>
              </w:rPr>
            </w:pPr>
          </w:p>
        </w:tc>
        <w:tc>
          <w:tcPr>
            <w:tcW w:w="971" w:type="dxa"/>
          </w:tcPr>
          <w:p w14:paraId="74FD1865" w14:textId="77777777" w:rsidR="00146E61" w:rsidRPr="00286BE9" w:rsidRDefault="00146E61" w:rsidP="001E3B42">
            <w:pPr>
              <w:jc w:val="center"/>
              <w:cnfStyle w:val="000000100000" w:firstRow="0" w:lastRow="0" w:firstColumn="0" w:lastColumn="0" w:oddVBand="0" w:evenVBand="0" w:oddHBand="1" w:evenHBand="0" w:firstRowFirstColumn="0" w:firstRowLastColumn="0" w:lastRowFirstColumn="0" w:lastRowLastColumn="0"/>
              <w:rPr>
                <w:lang w:val="en-AU"/>
              </w:rPr>
            </w:pPr>
            <w:r w:rsidRPr="00286BE9">
              <w:rPr>
                <w:lang w:val="en-AU"/>
              </w:rPr>
              <w:t>Y</w:t>
            </w:r>
          </w:p>
        </w:tc>
        <w:tc>
          <w:tcPr>
            <w:tcW w:w="1950" w:type="dxa"/>
          </w:tcPr>
          <w:p w14:paraId="2C9DE23D" w14:textId="77777777" w:rsidR="00146E61" w:rsidRPr="00286BE9" w:rsidRDefault="00146E61" w:rsidP="001E3B42">
            <w:pPr>
              <w:jc w:val="center"/>
              <w:cnfStyle w:val="000000100000" w:firstRow="0" w:lastRow="0" w:firstColumn="0" w:lastColumn="0" w:oddVBand="0" w:evenVBand="0" w:oddHBand="1" w:evenHBand="0" w:firstRowFirstColumn="0" w:firstRowLastColumn="0" w:lastRowFirstColumn="0" w:lastRowLastColumn="0"/>
              <w:rPr>
                <w:color w:val="000000"/>
                <w:lang w:val="en-AU"/>
              </w:rPr>
            </w:pPr>
            <w:r w:rsidRPr="00286BE9">
              <w:rPr>
                <w:color w:val="000000"/>
                <w:lang w:val="en-AU"/>
              </w:rPr>
              <w:t>-13.68±1.76</w:t>
            </w:r>
          </w:p>
          <w:p w14:paraId="3FFD0844" w14:textId="77777777" w:rsidR="00146E61" w:rsidRPr="00286BE9" w:rsidRDefault="00146E61" w:rsidP="001E3B42">
            <w:pPr>
              <w:jc w:val="center"/>
              <w:cnfStyle w:val="000000100000" w:firstRow="0" w:lastRow="0" w:firstColumn="0" w:lastColumn="0" w:oddVBand="0" w:evenVBand="0" w:oddHBand="1" w:evenHBand="0" w:firstRowFirstColumn="0" w:firstRowLastColumn="0" w:lastRowFirstColumn="0" w:lastRowLastColumn="0"/>
              <w:rPr>
                <w:lang w:val="en-AU"/>
              </w:rPr>
            </w:pPr>
          </w:p>
        </w:tc>
        <w:tc>
          <w:tcPr>
            <w:tcW w:w="2275" w:type="dxa"/>
          </w:tcPr>
          <w:p w14:paraId="6932E4D4" w14:textId="77777777" w:rsidR="00146E61" w:rsidRPr="00286BE9" w:rsidRDefault="00146E61" w:rsidP="001E3B42">
            <w:pPr>
              <w:jc w:val="center"/>
              <w:cnfStyle w:val="000000100000" w:firstRow="0" w:lastRow="0" w:firstColumn="0" w:lastColumn="0" w:oddVBand="0" w:evenVBand="0" w:oddHBand="1" w:evenHBand="0" w:firstRowFirstColumn="0" w:firstRowLastColumn="0" w:lastRowFirstColumn="0" w:lastRowLastColumn="0"/>
              <w:rPr>
                <w:color w:val="000000"/>
                <w:lang w:val="en-AU"/>
              </w:rPr>
            </w:pPr>
            <w:r w:rsidRPr="00286BE9">
              <w:rPr>
                <w:color w:val="000000"/>
                <w:lang w:val="en-AU"/>
              </w:rPr>
              <w:t>-12.89±1.61</w:t>
            </w:r>
          </w:p>
          <w:p w14:paraId="608187D5" w14:textId="77777777" w:rsidR="00146E61" w:rsidRPr="00286BE9" w:rsidRDefault="00146E61" w:rsidP="001E3B42">
            <w:pPr>
              <w:jc w:val="center"/>
              <w:cnfStyle w:val="000000100000" w:firstRow="0" w:lastRow="0" w:firstColumn="0" w:lastColumn="0" w:oddVBand="0" w:evenVBand="0" w:oddHBand="1" w:evenHBand="0" w:firstRowFirstColumn="0" w:firstRowLastColumn="0" w:lastRowFirstColumn="0" w:lastRowLastColumn="0"/>
              <w:rPr>
                <w:lang w:val="en-AU"/>
              </w:rPr>
            </w:pPr>
          </w:p>
        </w:tc>
        <w:tc>
          <w:tcPr>
            <w:tcW w:w="2054" w:type="dxa"/>
          </w:tcPr>
          <w:p w14:paraId="6444E904" w14:textId="77777777" w:rsidR="00146E61" w:rsidRPr="00286BE9" w:rsidRDefault="00146E61" w:rsidP="001E3B42">
            <w:pPr>
              <w:jc w:val="center"/>
              <w:cnfStyle w:val="000000100000" w:firstRow="0" w:lastRow="0" w:firstColumn="0" w:lastColumn="0" w:oddVBand="0" w:evenVBand="0" w:oddHBand="1" w:evenHBand="0" w:firstRowFirstColumn="0" w:firstRowLastColumn="0" w:lastRowFirstColumn="0" w:lastRowLastColumn="0"/>
              <w:rPr>
                <w:color w:val="000000"/>
                <w:lang w:val="en-AU"/>
              </w:rPr>
            </w:pPr>
            <w:r w:rsidRPr="00286BE9">
              <w:rPr>
                <w:color w:val="000000"/>
                <w:lang w:val="en-AU"/>
              </w:rPr>
              <w:t>0.79 [-0.32, 1.90]</w:t>
            </w:r>
          </w:p>
          <w:p w14:paraId="42AC3B35" w14:textId="77777777" w:rsidR="00146E61" w:rsidRPr="00286BE9" w:rsidRDefault="00146E61" w:rsidP="001E3B42">
            <w:pPr>
              <w:jc w:val="center"/>
              <w:cnfStyle w:val="000000100000" w:firstRow="0" w:lastRow="0" w:firstColumn="0" w:lastColumn="0" w:oddVBand="0" w:evenVBand="0" w:oddHBand="1" w:evenHBand="0" w:firstRowFirstColumn="0" w:firstRowLastColumn="0" w:lastRowFirstColumn="0" w:lastRowLastColumn="0"/>
              <w:rPr>
                <w:lang w:val="en-AU"/>
              </w:rPr>
            </w:pPr>
          </w:p>
        </w:tc>
        <w:tc>
          <w:tcPr>
            <w:tcW w:w="1493" w:type="dxa"/>
            <w:vAlign w:val="center"/>
          </w:tcPr>
          <w:p w14:paraId="64684AA6" w14:textId="77777777" w:rsidR="00146E61" w:rsidRPr="00286BE9" w:rsidRDefault="00146E61" w:rsidP="001E3B42">
            <w:pPr>
              <w:jc w:val="center"/>
              <w:cnfStyle w:val="000000100000" w:firstRow="0" w:lastRow="0" w:firstColumn="0" w:lastColumn="0" w:oddVBand="0" w:evenVBand="0" w:oddHBand="1" w:evenHBand="0" w:firstRowFirstColumn="0" w:firstRowLastColumn="0" w:lastRowFirstColumn="0" w:lastRowLastColumn="0"/>
              <w:rPr>
                <w:lang w:val="en-AU"/>
              </w:rPr>
            </w:pPr>
            <w:r w:rsidRPr="00286BE9">
              <w:rPr>
                <w:color w:val="000000"/>
                <w:lang w:val="en-AU"/>
              </w:rPr>
              <w:t>1.45</w:t>
            </w:r>
          </w:p>
        </w:tc>
        <w:tc>
          <w:tcPr>
            <w:tcW w:w="1447" w:type="dxa"/>
            <w:vAlign w:val="center"/>
          </w:tcPr>
          <w:p w14:paraId="1004BFD0" w14:textId="77777777" w:rsidR="00146E61" w:rsidRPr="00286BE9" w:rsidRDefault="00146E61" w:rsidP="001E3B42">
            <w:pPr>
              <w:jc w:val="center"/>
              <w:cnfStyle w:val="000000100000" w:firstRow="0" w:lastRow="0" w:firstColumn="0" w:lastColumn="0" w:oddVBand="0" w:evenVBand="0" w:oddHBand="1" w:evenHBand="0" w:firstRowFirstColumn="0" w:firstRowLastColumn="0" w:lastRowFirstColumn="0" w:lastRowLastColumn="0"/>
              <w:rPr>
                <w:lang w:val="en-AU"/>
              </w:rPr>
            </w:pPr>
            <w:r w:rsidRPr="00286BE9">
              <w:rPr>
                <w:color w:val="000000"/>
                <w:lang w:val="en-AU"/>
              </w:rPr>
              <w:t>0.15</w:t>
            </w:r>
          </w:p>
        </w:tc>
      </w:tr>
      <w:tr w:rsidR="00146E61" w:rsidRPr="00286BE9" w14:paraId="6B24522D" w14:textId="77777777" w:rsidTr="001E3B42">
        <w:trPr>
          <w:trHeight w:val="287"/>
        </w:trPr>
        <w:tc>
          <w:tcPr>
            <w:cnfStyle w:val="001000000000" w:firstRow="0" w:lastRow="0" w:firstColumn="1" w:lastColumn="0" w:oddVBand="0" w:evenVBand="0" w:oddHBand="0" w:evenHBand="0" w:firstRowFirstColumn="0" w:firstRowLastColumn="0" w:lastRowFirstColumn="0" w:lastRowLastColumn="0"/>
            <w:tcW w:w="1847" w:type="dxa"/>
          </w:tcPr>
          <w:p w14:paraId="14425AE2" w14:textId="77777777" w:rsidR="00146E61" w:rsidRPr="00286BE9" w:rsidRDefault="00146E61" w:rsidP="001E3B42">
            <w:pPr>
              <w:jc w:val="center"/>
              <w:rPr>
                <w:lang w:val="en-AU"/>
              </w:rPr>
            </w:pPr>
          </w:p>
        </w:tc>
        <w:tc>
          <w:tcPr>
            <w:tcW w:w="2199" w:type="dxa"/>
          </w:tcPr>
          <w:p w14:paraId="50A550D7" w14:textId="77777777" w:rsidR="00146E61" w:rsidRPr="00286BE9" w:rsidRDefault="00146E61" w:rsidP="001E3B42">
            <w:pPr>
              <w:jc w:val="center"/>
              <w:cnfStyle w:val="000000000000" w:firstRow="0" w:lastRow="0" w:firstColumn="0" w:lastColumn="0" w:oddVBand="0" w:evenVBand="0" w:oddHBand="0" w:evenHBand="0" w:firstRowFirstColumn="0" w:firstRowLastColumn="0" w:lastRowFirstColumn="0" w:lastRowLastColumn="0"/>
              <w:rPr>
                <w:lang w:val="en-AU"/>
              </w:rPr>
            </w:pPr>
          </w:p>
        </w:tc>
        <w:tc>
          <w:tcPr>
            <w:tcW w:w="971" w:type="dxa"/>
          </w:tcPr>
          <w:p w14:paraId="711B1F8B" w14:textId="77777777" w:rsidR="00146E61" w:rsidRPr="00286BE9" w:rsidRDefault="00146E61" w:rsidP="001E3B42">
            <w:pPr>
              <w:jc w:val="center"/>
              <w:cnfStyle w:val="000000000000" w:firstRow="0" w:lastRow="0" w:firstColumn="0" w:lastColumn="0" w:oddVBand="0" w:evenVBand="0" w:oddHBand="0" w:evenHBand="0" w:firstRowFirstColumn="0" w:firstRowLastColumn="0" w:lastRowFirstColumn="0" w:lastRowLastColumn="0"/>
              <w:rPr>
                <w:lang w:val="en-AU"/>
              </w:rPr>
            </w:pPr>
            <w:r w:rsidRPr="00286BE9">
              <w:rPr>
                <w:lang w:val="en-AU"/>
              </w:rPr>
              <w:t>Z</w:t>
            </w:r>
          </w:p>
        </w:tc>
        <w:tc>
          <w:tcPr>
            <w:tcW w:w="1950" w:type="dxa"/>
          </w:tcPr>
          <w:p w14:paraId="389616BA" w14:textId="77777777" w:rsidR="00146E61" w:rsidRPr="00286BE9" w:rsidRDefault="00146E61" w:rsidP="001E3B42">
            <w:pPr>
              <w:jc w:val="center"/>
              <w:cnfStyle w:val="000000000000" w:firstRow="0" w:lastRow="0" w:firstColumn="0" w:lastColumn="0" w:oddVBand="0" w:evenVBand="0" w:oddHBand="0" w:evenHBand="0" w:firstRowFirstColumn="0" w:firstRowLastColumn="0" w:lastRowFirstColumn="0" w:lastRowLastColumn="0"/>
              <w:rPr>
                <w:color w:val="000000"/>
                <w:lang w:val="en-AU"/>
              </w:rPr>
            </w:pPr>
            <w:r w:rsidRPr="00286BE9">
              <w:rPr>
                <w:color w:val="000000"/>
                <w:lang w:val="en-AU"/>
              </w:rPr>
              <w:t>-6.67±1.33</w:t>
            </w:r>
          </w:p>
          <w:p w14:paraId="70F2A187" w14:textId="77777777" w:rsidR="00146E61" w:rsidRPr="00286BE9" w:rsidRDefault="00146E61" w:rsidP="001E3B42">
            <w:pPr>
              <w:jc w:val="center"/>
              <w:cnfStyle w:val="000000000000" w:firstRow="0" w:lastRow="0" w:firstColumn="0" w:lastColumn="0" w:oddVBand="0" w:evenVBand="0" w:oddHBand="0" w:evenHBand="0" w:firstRowFirstColumn="0" w:firstRowLastColumn="0" w:lastRowFirstColumn="0" w:lastRowLastColumn="0"/>
              <w:rPr>
                <w:lang w:val="en-AU"/>
              </w:rPr>
            </w:pPr>
          </w:p>
        </w:tc>
        <w:tc>
          <w:tcPr>
            <w:tcW w:w="2275" w:type="dxa"/>
          </w:tcPr>
          <w:p w14:paraId="272BAE95" w14:textId="77777777" w:rsidR="00146E61" w:rsidRPr="00286BE9" w:rsidRDefault="00146E61" w:rsidP="001E3B42">
            <w:pPr>
              <w:jc w:val="center"/>
              <w:cnfStyle w:val="000000000000" w:firstRow="0" w:lastRow="0" w:firstColumn="0" w:lastColumn="0" w:oddVBand="0" w:evenVBand="0" w:oddHBand="0" w:evenHBand="0" w:firstRowFirstColumn="0" w:firstRowLastColumn="0" w:lastRowFirstColumn="0" w:lastRowLastColumn="0"/>
              <w:rPr>
                <w:color w:val="000000"/>
                <w:lang w:val="en-AU"/>
              </w:rPr>
            </w:pPr>
            <w:r w:rsidRPr="00286BE9">
              <w:rPr>
                <w:color w:val="000000"/>
                <w:lang w:val="en-AU"/>
              </w:rPr>
              <w:t>-6.73±1.41</w:t>
            </w:r>
          </w:p>
          <w:p w14:paraId="51D54B64" w14:textId="77777777" w:rsidR="00146E61" w:rsidRPr="00286BE9" w:rsidRDefault="00146E61" w:rsidP="001E3B42">
            <w:pPr>
              <w:jc w:val="center"/>
              <w:cnfStyle w:val="000000000000" w:firstRow="0" w:lastRow="0" w:firstColumn="0" w:lastColumn="0" w:oddVBand="0" w:evenVBand="0" w:oddHBand="0" w:evenHBand="0" w:firstRowFirstColumn="0" w:firstRowLastColumn="0" w:lastRowFirstColumn="0" w:lastRowLastColumn="0"/>
              <w:rPr>
                <w:lang w:val="en-AU"/>
              </w:rPr>
            </w:pPr>
          </w:p>
        </w:tc>
        <w:tc>
          <w:tcPr>
            <w:tcW w:w="2054" w:type="dxa"/>
          </w:tcPr>
          <w:p w14:paraId="7EBA1D2E" w14:textId="77777777" w:rsidR="00146E61" w:rsidRPr="00286BE9" w:rsidRDefault="00146E61" w:rsidP="001E3B42">
            <w:pPr>
              <w:jc w:val="center"/>
              <w:cnfStyle w:val="000000000000" w:firstRow="0" w:lastRow="0" w:firstColumn="0" w:lastColumn="0" w:oddVBand="0" w:evenVBand="0" w:oddHBand="0" w:evenHBand="0" w:firstRowFirstColumn="0" w:firstRowLastColumn="0" w:lastRowFirstColumn="0" w:lastRowLastColumn="0"/>
              <w:rPr>
                <w:color w:val="000000"/>
                <w:lang w:val="en-AU"/>
              </w:rPr>
            </w:pPr>
            <w:r w:rsidRPr="00286BE9">
              <w:rPr>
                <w:color w:val="000000"/>
                <w:lang w:val="en-AU"/>
              </w:rPr>
              <w:t>-0.06 [-0.96, 0.85]</w:t>
            </w:r>
          </w:p>
          <w:p w14:paraId="44FE7675" w14:textId="77777777" w:rsidR="00146E61" w:rsidRPr="00286BE9" w:rsidRDefault="00146E61" w:rsidP="001E3B42">
            <w:pPr>
              <w:jc w:val="center"/>
              <w:cnfStyle w:val="000000000000" w:firstRow="0" w:lastRow="0" w:firstColumn="0" w:lastColumn="0" w:oddVBand="0" w:evenVBand="0" w:oddHBand="0" w:evenHBand="0" w:firstRowFirstColumn="0" w:firstRowLastColumn="0" w:lastRowFirstColumn="0" w:lastRowLastColumn="0"/>
              <w:rPr>
                <w:lang w:val="en-AU"/>
              </w:rPr>
            </w:pPr>
          </w:p>
        </w:tc>
        <w:tc>
          <w:tcPr>
            <w:tcW w:w="1493" w:type="dxa"/>
            <w:vAlign w:val="center"/>
          </w:tcPr>
          <w:p w14:paraId="71132D02" w14:textId="77777777" w:rsidR="00146E61" w:rsidRPr="00286BE9" w:rsidRDefault="00146E61" w:rsidP="001E3B42">
            <w:pPr>
              <w:jc w:val="center"/>
              <w:cnfStyle w:val="000000000000" w:firstRow="0" w:lastRow="0" w:firstColumn="0" w:lastColumn="0" w:oddVBand="0" w:evenVBand="0" w:oddHBand="0" w:evenHBand="0" w:firstRowFirstColumn="0" w:firstRowLastColumn="0" w:lastRowFirstColumn="0" w:lastRowLastColumn="0"/>
              <w:rPr>
                <w:lang w:val="en-AU"/>
              </w:rPr>
            </w:pPr>
            <w:r w:rsidRPr="00286BE9">
              <w:rPr>
                <w:color w:val="000000"/>
                <w:lang w:val="en-AU"/>
              </w:rPr>
              <w:t>-0.13</w:t>
            </w:r>
          </w:p>
        </w:tc>
        <w:tc>
          <w:tcPr>
            <w:tcW w:w="1447" w:type="dxa"/>
            <w:vAlign w:val="center"/>
          </w:tcPr>
          <w:p w14:paraId="07B2A303" w14:textId="77777777" w:rsidR="00146E61" w:rsidRPr="00286BE9" w:rsidRDefault="00146E61" w:rsidP="001E3B42">
            <w:pPr>
              <w:jc w:val="center"/>
              <w:cnfStyle w:val="000000000000" w:firstRow="0" w:lastRow="0" w:firstColumn="0" w:lastColumn="0" w:oddVBand="0" w:evenVBand="0" w:oddHBand="0" w:evenHBand="0" w:firstRowFirstColumn="0" w:firstRowLastColumn="0" w:lastRowFirstColumn="0" w:lastRowLastColumn="0"/>
              <w:rPr>
                <w:lang w:val="en-AU"/>
              </w:rPr>
            </w:pPr>
            <w:r w:rsidRPr="00286BE9">
              <w:rPr>
                <w:color w:val="000000"/>
                <w:lang w:val="en-AU"/>
              </w:rPr>
              <w:t>0.89</w:t>
            </w:r>
          </w:p>
        </w:tc>
      </w:tr>
      <w:tr w:rsidR="00146E61" w:rsidRPr="00286BE9" w14:paraId="4DC6A072" w14:textId="77777777" w:rsidTr="001E3B42">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847" w:type="dxa"/>
          </w:tcPr>
          <w:p w14:paraId="6B716901" w14:textId="77777777" w:rsidR="00146E61" w:rsidRPr="00286BE9" w:rsidRDefault="00146E61" w:rsidP="001E3B42">
            <w:pPr>
              <w:jc w:val="center"/>
              <w:rPr>
                <w:lang w:val="en-AU"/>
              </w:rPr>
            </w:pPr>
            <w:r w:rsidRPr="00286BE9">
              <w:rPr>
                <w:lang w:val="en-AU"/>
              </w:rPr>
              <w:t>Day 90</w:t>
            </w:r>
          </w:p>
        </w:tc>
        <w:tc>
          <w:tcPr>
            <w:tcW w:w="2199" w:type="dxa"/>
          </w:tcPr>
          <w:p w14:paraId="78D6317D" w14:textId="77777777" w:rsidR="00146E61" w:rsidRPr="00286BE9" w:rsidRDefault="00146E61" w:rsidP="001E3B42">
            <w:pPr>
              <w:jc w:val="center"/>
              <w:cnfStyle w:val="000000100000" w:firstRow="0" w:lastRow="0" w:firstColumn="0" w:lastColumn="0" w:oddVBand="0" w:evenVBand="0" w:oddHBand="1" w:evenHBand="0" w:firstRowFirstColumn="0" w:firstRowLastColumn="0" w:lastRowFirstColumn="0" w:lastRowLastColumn="0"/>
              <w:rPr>
                <w:lang w:val="en-AU"/>
              </w:rPr>
            </w:pPr>
            <w:r w:rsidRPr="00286BE9">
              <w:rPr>
                <w:lang w:val="en-AU"/>
              </w:rPr>
              <w:t>Left</w:t>
            </w:r>
          </w:p>
        </w:tc>
        <w:tc>
          <w:tcPr>
            <w:tcW w:w="971" w:type="dxa"/>
          </w:tcPr>
          <w:p w14:paraId="4C35786D" w14:textId="77777777" w:rsidR="00146E61" w:rsidRPr="00286BE9" w:rsidRDefault="00146E61" w:rsidP="001E3B42">
            <w:pPr>
              <w:jc w:val="center"/>
              <w:cnfStyle w:val="000000100000" w:firstRow="0" w:lastRow="0" w:firstColumn="0" w:lastColumn="0" w:oddVBand="0" w:evenVBand="0" w:oddHBand="1" w:evenHBand="0" w:firstRowFirstColumn="0" w:firstRowLastColumn="0" w:lastRowFirstColumn="0" w:lastRowLastColumn="0"/>
              <w:rPr>
                <w:lang w:val="en-AU"/>
              </w:rPr>
            </w:pPr>
            <w:r w:rsidRPr="00286BE9">
              <w:rPr>
                <w:lang w:val="en-AU"/>
              </w:rPr>
              <w:t>X</w:t>
            </w:r>
          </w:p>
        </w:tc>
        <w:tc>
          <w:tcPr>
            <w:tcW w:w="1950" w:type="dxa"/>
          </w:tcPr>
          <w:p w14:paraId="3A59DCB8" w14:textId="77777777" w:rsidR="00146E61" w:rsidRPr="00286BE9" w:rsidRDefault="00146E61" w:rsidP="001E3B42">
            <w:pPr>
              <w:jc w:val="center"/>
              <w:cnfStyle w:val="000000100000" w:firstRow="0" w:lastRow="0" w:firstColumn="0" w:lastColumn="0" w:oddVBand="0" w:evenVBand="0" w:oddHBand="1" w:evenHBand="0" w:firstRowFirstColumn="0" w:firstRowLastColumn="0" w:lastRowFirstColumn="0" w:lastRowLastColumn="0"/>
              <w:rPr>
                <w:color w:val="000000"/>
                <w:lang w:val="en-AU"/>
              </w:rPr>
            </w:pPr>
            <w:r w:rsidRPr="00286BE9">
              <w:rPr>
                <w:color w:val="000000"/>
                <w:lang w:val="en-AU"/>
              </w:rPr>
              <w:t>-12.65±1.49</w:t>
            </w:r>
          </w:p>
          <w:p w14:paraId="247540A2" w14:textId="77777777" w:rsidR="00146E61" w:rsidRPr="00286BE9" w:rsidRDefault="00146E61" w:rsidP="001E3B42">
            <w:pPr>
              <w:jc w:val="center"/>
              <w:cnfStyle w:val="000000100000" w:firstRow="0" w:lastRow="0" w:firstColumn="0" w:lastColumn="0" w:oddVBand="0" w:evenVBand="0" w:oddHBand="1" w:evenHBand="0" w:firstRowFirstColumn="0" w:firstRowLastColumn="0" w:lastRowFirstColumn="0" w:lastRowLastColumn="0"/>
              <w:rPr>
                <w:lang w:val="en-AU"/>
              </w:rPr>
            </w:pPr>
          </w:p>
        </w:tc>
        <w:tc>
          <w:tcPr>
            <w:tcW w:w="2275" w:type="dxa"/>
          </w:tcPr>
          <w:p w14:paraId="413D4CC3" w14:textId="77777777" w:rsidR="00146E61" w:rsidRPr="00286BE9" w:rsidRDefault="00146E61" w:rsidP="001E3B42">
            <w:pPr>
              <w:jc w:val="center"/>
              <w:cnfStyle w:val="000000100000" w:firstRow="0" w:lastRow="0" w:firstColumn="0" w:lastColumn="0" w:oddVBand="0" w:evenVBand="0" w:oddHBand="1" w:evenHBand="0" w:firstRowFirstColumn="0" w:firstRowLastColumn="0" w:lastRowFirstColumn="0" w:lastRowLastColumn="0"/>
              <w:rPr>
                <w:color w:val="000000"/>
                <w:lang w:val="en-AU"/>
              </w:rPr>
            </w:pPr>
            <w:r w:rsidRPr="00286BE9">
              <w:rPr>
                <w:color w:val="000000"/>
                <w:lang w:val="en-AU"/>
              </w:rPr>
              <w:t>-12.86±1.49</w:t>
            </w:r>
          </w:p>
          <w:p w14:paraId="67B69A5F" w14:textId="77777777" w:rsidR="00146E61" w:rsidRPr="00286BE9" w:rsidRDefault="00146E61" w:rsidP="001E3B42">
            <w:pPr>
              <w:jc w:val="center"/>
              <w:cnfStyle w:val="000000100000" w:firstRow="0" w:lastRow="0" w:firstColumn="0" w:lastColumn="0" w:oddVBand="0" w:evenVBand="0" w:oddHBand="1" w:evenHBand="0" w:firstRowFirstColumn="0" w:firstRowLastColumn="0" w:lastRowFirstColumn="0" w:lastRowLastColumn="0"/>
              <w:rPr>
                <w:lang w:val="en-AU"/>
              </w:rPr>
            </w:pPr>
          </w:p>
        </w:tc>
        <w:tc>
          <w:tcPr>
            <w:tcW w:w="2054" w:type="dxa"/>
          </w:tcPr>
          <w:p w14:paraId="634D1DEE" w14:textId="77777777" w:rsidR="00146E61" w:rsidRPr="00286BE9" w:rsidRDefault="00146E61" w:rsidP="001E3B42">
            <w:pPr>
              <w:jc w:val="center"/>
              <w:cnfStyle w:val="000000100000" w:firstRow="0" w:lastRow="0" w:firstColumn="0" w:lastColumn="0" w:oddVBand="0" w:evenVBand="0" w:oddHBand="1" w:evenHBand="0" w:firstRowFirstColumn="0" w:firstRowLastColumn="0" w:lastRowFirstColumn="0" w:lastRowLastColumn="0"/>
              <w:rPr>
                <w:color w:val="000000"/>
                <w:lang w:val="en-AU"/>
              </w:rPr>
            </w:pPr>
            <w:r w:rsidRPr="00286BE9">
              <w:rPr>
                <w:color w:val="000000"/>
                <w:lang w:val="en-AU"/>
              </w:rPr>
              <w:t>-0.21 [-1.19, 0.77]</w:t>
            </w:r>
          </w:p>
          <w:p w14:paraId="20821120" w14:textId="77777777" w:rsidR="00146E61" w:rsidRPr="00286BE9" w:rsidRDefault="00146E61" w:rsidP="001E3B42">
            <w:pPr>
              <w:jc w:val="center"/>
              <w:cnfStyle w:val="000000100000" w:firstRow="0" w:lastRow="0" w:firstColumn="0" w:lastColumn="0" w:oddVBand="0" w:evenVBand="0" w:oddHBand="1" w:evenHBand="0" w:firstRowFirstColumn="0" w:firstRowLastColumn="0" w:lastRowFirstColumn="0" w:lastRowLastColumn="0"/>
              <w:rPr>
                <w:lang w:val="en-AU"/>
              </w:rPr>
            </w:pPr>
          </w:p>
        </w:tc>
        <w:tc>
          <w:tcPr>
            <w:tcW w:w="1493" w:type="dxa"/>
            <w:vAlign w:val="center"/>
          </w:tcPr>
          <w:p w14:paraId="38D7AE0D" w14:textId="77777777" w:rsidR="00146E61" w:rsidRPr="00286BE9" w:rsidRDefault="00146E61" w:rsidP="001E3B42">
            <w:pPr>
              <w:jc w:val="center"/>
              <w:cnfStyle w:val="000000100000" w:firstRow="0" w:lastRow="0" w:firstColumn="0" w:lastColumn="0" w:oddVBand="0" w:evenVBand="0" w:oddHBand="1" w:evenHBand="0" w:firstRowFirstColumn="0" w:firstRowLastColumn="0" w:lastRowFirstColumn="0" w:lastRowLastColumn="0"/>
              <w:rPr>
                <w:lang w:val="en-AU"/>
              </w:rPr>
            </w:pPr>
            <w:r w:rsidRPr="00286BE9">
              <w:rPr>
                <w:color w:val="000000"/>
                <w:lang w:val="en-AU"/>
              </w:rPr>
              <w:t>-0.43</w:t>
            </w:r>
          </w:p>
        </w:tc>
        <w:tc>
          <w:tcPr>
            <w:tcW w:w="1447" w:type="dxa"/>
            <w:vAlign w:val="center"/>
          </w:tcPr>
          <w:p w14:paraId="453CEFC1" w14:textId="77777777" w:rsidR="00146E61" w:rsidRPr="00286BE9" w:rsidRDefault="00146E61" w:rsidP="001E3B42">
            <w:pPr>
              <w:jc w:val="center"/>
              <w:cnfStyle w:val="000000100000" w:firstRow="0" w:lastRow="0" w:firstColumn="0" w:lastColumn="0" w:oddVBand="0" w:evenVBand="0" w:oddHBand="1" w:evenHBand="0" w:firstRowFirstColumn="0" w:firstRowLastColumn="0" w:lastRowFirstColumn="0" w:lastRowLastColumn="0"/>
              <w:rPr>
                <w:lang w:val="en-AU"/>
              </w:rPr>
            </w:pPr>
            <w:r w:rsidRPr="00286BE9">
              <w:rPr>
                <w:color w:val="000000"/>
                <w:lang w:val="en-AU"/>
              </w:rPr>
              <w:t>0.66</w:t>
            </w:r>
          </w:p>
        </w:tc>
      </w:tr>
      <w:tr w:rsidR="00146E61" w:rsidRPr="00286BE9" w14:paraId="3A1799D0" w14:textId="77777777" w:rsidTr="001E3B42">
        <w:trPr>
          <w:trHeight w:val="276"/>
        </w:trPr>
        <w:tc>
          <w:tcPr>
            <w:cnfStyle w:val="001000000000" w:firstRow="0" w:lastRow="0" w:firstColumn="1" w:lastColumn="0" w:oddVBand="0" w:evenVBand="0" w:oddHBand="0" w:evenHBand="0" w:firstRowFirstColumn="0" w:firstRowLastColumn="0" w:lastRowFirstColumn="0" w:lastRowLastColumn="0"/>
            <w:tcW w:w="1847" w:type="dxa"/>
          </w:tcPr>
          <w:p w14:paraId="58060D61" w14:textId="77777777" w:rsidR="00146E61" w:rsidRPr="00286BE9" w:rsidRDefault="00146E61" w:rsidP="001E3B42">
            <w:pPr>
              <w:jc w:val="center"/>
              <w:rPr>
                <w:lang w:val="en-AU"/>
              </w:rPr>
            </w:pPr>
          </w:p>
        </w:tc>
        <w:tc>
          <w:tcPr>
            <w:tcW w:w="2199" w:type="dxa"/>
          </w:tcPr>
          <w:p w14:paraId="7B3C2584" w14:textId="77777777" w:rsidR="00146E61" w:rsidRPr="00286BE9" w:rsidRDefault="00146E61" w:rsidP="001E3B42">
            <w:pPr>
              <w:jc w:val="center"/>
              <w:cnfStyle w:val="000000000000" w:firstRow="0" w:lastRow="0" w:firstColumn="0" w:lastColumn="0" w:oddVBand="0" w:evenVBand="0" w:oddHBand="0" w:evenHBand="0" w:firstRowFirstColumn="0" w:firstRowLastColumn="0" w:lastRowFirstColumn="0" w:lastRowLastColumn="0"/>
              <w:rPr>
                <w:lang w:val="en-AU"/>
              </w:rPr>
            </w:pPr>
          </w:p>
        </w:tc>
        <w:tc>
          <w:tcPr>
            <w:tcW w:w="971" w:type="dxa"/>
          </w:tcPr>
          <w:p w14:paraId="4D782CA4" w14:textId="77777777" w:rsidR="00146E61" w:rsidRPr="00286BE9" w:rsidRDefault="00146E61" w:rsidP="001E3B42">
            <w:pPr>
              <w:jc w:val="center"/>
              <w:cnfStyle w:val="000000000000" w:firstRow="0" w:lastRow="0" w:firstColumn="0" w:lastColumn="0" w:oddVBand="0" w:evenVBand="0" w:oddHBand="0" w:evenHBand="0" w:firstRowFirstColumn="0" w:firstRowLastColumn="0" w:lastRowFirstColumn="0" w:lastRowLastColumn="0"/>
              <w:rPr>
                <w:lang w:val="en-AU"/>
              </w:rPr>
            </w:pPr>
            <w:r w:rsidRPr="00286BE9">
              <w:rPr>
                <w:lang w:val="en-AU"/>
              </w:rPr>
              <w:t>Y</w:t>
            </w:r>
          </w:p>
        </w:tc>
        <w:tc>
          <w:tcPr>
            <w:tcW w:w="1950" w:type="dxa"/>
          </w:tcPr>
          <w:p w14:paraId="16557ACE" w14:textId="77777777" w:rsidR="00146E61" w:rsidRPr="00286BE9" w:rsidRDefault="00146E61" w:rsidP="001E3B42">
            <w:pPr>
              <w:jc w:val="center"/>
              <w:cnfStyle w:val="000000000000" w:firstRow="0" w:lastRow="0" w:firstColumn="0" w:lastColumn="0" w:oddVBand="0" w:evenVBand="0" w:oddHBand="0" w:evenHBand="0" w:firstRowFirstColumn="0" w:firstRowLastColumn="0" w:lastRowFirstColumn="0" w:lastRowLastColumn="0"/>
              <w:rPr>
                <w:color w:val="000000"/>
                <w:lang w:val="en-AU"/>
              </w:rPr>
            </w:pPr>
            <w:r w:rsidRPr="00286BE9">
              <w:rPr>
                <w:color w:val="000000"/>
                <w:lang w:val="en-AU"/>
              </w:rPr>
              <w:t>-13.65±1.71</w:t>
            </w:r>
          </w:p>
          <w:p w14:paraId="6854E18A" w14:textId="77777777" w:rsidR="00146E61" w:rsidRPr="00286BE9" w:rsidRDefault="00146E61" w:rsidP="001E3B42">
            <w:pPr>
              <w:jc w:val="center"/>
              <w:cnfStyle w:val="000000000000" w:firstRow="0" w:lastRow="0" w:firstColumn="0" w:lastColumn="0" w:oddVBand="0" w:evenVBand="0" w:oddHBand="0" w:evenHBand="0" w:firstRowFirstColumn="0" w:firstRowLastColumn="0" w:lastRowFirstColumn="0" w:lastRowLastColumn="0"/>
              <w:rPr>
                <w:lang w:val="en-AU"/>
              </w:rPr>
            </w:pPr>
          </w:p>
        </w:tc>
        <w:tc>
          <w:tcPr>
            <w:tcW w:w="2275" w:type="dxa"/>
          </w:tcPr>
          <w:p w14:paraId="1B5D4786" w14:textId="77777777" w:rsidR="00146E61" w:rsidRPr="00286BE9" w:rsidRDefault="00146E61" w:rsidP="001E3B42">
            <w:pPr>
              <w:jc w:val="center"/>
              <w:cnfStyle w:val="000000000000" w:firstRow="0" w:lastRow="0" w:firstColumn="0" w:lastColumn="0" w:oddVBand="0" w:evenVBand="0" w:oddHBand="0" w:evenHBand="0" w:firstRowFirstColumn="0" w:firstRowLastColumn="0" w:lastRowFirstColumn="0" w:lastRowLastColumn="0"/>
              <w:rPr>
                <w:color w:val="000000"/>
                <w:lang w:val="en-AU"/>
              </w:rPr>
            </w:pPr>
            <w:r w:rsidRPr="00286BE9">
              <w:rPr>
                <w:color w:val="000000"/>
                <w:lang w:val="en-AU"/>
              </w:rPr>
              <w:t>-13.97±1.31</w:t>
            </w:r>
          </w:p>
          <w:p w14:paraId="648D91BB" w14:textId="77777777" w:rsidR="00146E61" w:rsidRPr="00286BE9" w:rsidRDefault="00146E61" w:rsidP="001E3B42">
            <w:pPr>
              <w:jc w:val="center"/>
              <w:cnfStyle w:val="000000000000" w:firstRow="0" w:lastRow="0" w:firstColumn="0" w:lastColumn="0" w:oddVBand="0" w:evenVBand="0" w:oddHBand="0" w:evenHBand="0" w:firstRowFirstColumn="0" w:firstRowLastColumn="0" w:lastRowFirstColumn="0" w:lastRowLastColumn="0"/>
              <w:rPr>
                <w:lang w:val="en-AU"/>
              </w:rPr>
            </w:pPr>
          </w:p>
        </w:tc>
        <w:tc>
          <w:tcPr>
            <w:tcW w:w="2054" w:type="dxa"/>
          </w:tcPr>
          <w:p w14:paraId="261C99AA" w14:textId="77777777" w:rsidR="00146E61" w:rsidRPr="00286BE9" w:rsidRDefault="00146E61" w:rsidP="001E3B42">
            <w:pPr>
              <w:jc w:val="center"/>
              <w:cnfStyle w:val="000000000000" w:firstRow="0" w:lastRow="0" w:firstColumn="0" w:lastColumn="0" w:oddVBand="0" w:evenVBand="0" w:oddHBand="0" w:evenHBand="0" w:firstRowFirstColumn="0" w:firstRowLastColumn="0" w:lastRowFirstColumn="0" w:lastRowLastColumn="0"/>
              <w:rPr>
                <w:color w:val="000000"/>
                <w:lang w:val="en-AU"/>
              </w:rPr>
            </w:pPr>
            <w:r w:rsidRPr="00286BE9">
              <w:rPr>
                <w:color w:val="000000"/>
                <w:lang w:val="en-AU"/>
              </w:rPr>
              <w:t>-0.32 [-1.32, 0.67]</w:t>
            </w:r>
          </w:p>
          <w:p w14:paraId="323FC35C" w14:textId="77777777" w:rsidR="00146E61" w:rsidRPr="00286BE9" w:rsidRDefault="00146E61" w:rsidP="001E3B42">
            <w:pPr>
              <w:jc w:val="center"/>
              <w:cnfStyle w:val="000000000000" w:firstRow="0" w:lastRow="0" w:firstColumn="0" w:lastColumn="0" w:oddVBand="0" w:evenVBand="0" w:oddHBand="0" w:evenHBand="0" w:firstRowFirstColumn="0" w:firstRowLastColumn="0" w:lastRowFirstColumn="0" w:lastRowLastColumn="0"/>
              <w:rPr>
                <w:lang w:val="en-AU"/>
              </w:rPr>
            </w:pPr>
          </w:p>
        </w:tc>
        <w:tc>
          <w:tcPr>
            <w:tcW w:w="1493" w:type="dxa"/>
            <w:vAlign w:val="center"/>
          </w:tcPr>
          <w:p w14:paraId="53366787" w14:textId="77777777" w:rsidR="00146E61" w:rsidRPr="00286BE9" w:rsidRDefault="00146E61" w:rsidP="001E3B42">
            <w:pPr>
              <w:jc w:val="center"/>
              <w:cnfStyle w:val="000000000000" w:firstRow="0" w:lastRow="0" w:firstColumn="0" w:lastColumn="0" w:oddVBand="0" w:evenVBand="0" w:oddHBand="0" w:evenHBand="0" w:firstRowFirstColumn="0" w:firstRowLastColumn="0" w:lastRowFirstColumn="0" w:lastRowLastColumn="0"/>
              <w:rPr>
                <w:lang w:val="en-AU"/>
              </w:rPr>
            </w:pPr>
            <w:r w:rsidRPr="00286BE9">
              <w:rPr>
                <w:color w:val="000000"/>
                <w:lang w:val="en-AU"/>
              </w:rPr>
              <w:t>-0.66</w:t>
            </w:r>
          </w:p>
        </w:tc>
        <w:tc>
          <w:tcPr>
            <w:tcW w:w="1447" w:type="dxa"/>
            <w:vAlign w:val="center"/>
          </w:tcPr>
          <w:p w14:paraId="692E8E57" w14:textId="77777777" w:rsidR="00146E61" w:rsidRPr="00286BE9" w:rsidRDefault="00146E61" w:rsidP="001E3B42">
            <w:pPr>
              <w:jc w:val="center"/>
              <w:cnfStyle w:val="000000000000" w:firstRow="0" w:lastRow="0" w:firstColumn="0" w:lastColumn="0" w:oddVBand="0" w:evenVBand="0" w:oddHBand="0" w:evenHBand="0" w:firstRowFirstColumn="0" w:firstRowLastColumn="0" w:lastRowFirstColumn="0" w:lastRowLastColumn="0"/>
              <w:rPr>
                <w:lang w:val="en-AU"/>
              </w:rPr>
            </w:pPr>
            <w:r w:rsidRPr="00286BE9">
              <w:rPr>
                <w:color w:val="000000"/>
                <w:lang w:val="en-AU"/>
              </w:rPr>
              <w:t>0.51</w:t>
            </w:r>
          </w:p>
        </w:tc>
      </w:tr>
      <w:tr w:rsidR="00146E61" w:rsidRPr="00286BE9" w14:paraId="6594B23B" w14:textId="77777777" w:rsidTr="001E3B42">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847" w:type="dxa"/>
          </w:tcPr>
          <w:p w14:paraId="3674A438" w14:textId="77777777" w:rsidR="00146E61" w:rsidRPr="00286BE9" w:rsidRDefault="00146E61" w:rsidP="001E3B42">
            <w:pPr>
              <w:jc w:val="center"/>
              <w:rPr>
                <w:lang w:val="en-AU"/>
              </w:rPr>
            </w:pPr>
          </w:p>
        </w:tc>
        <w:tc>
          <w:tcPr>
            <w:tcW w:w="2199" w:type="dxa"/>
          </w:tcPr>
          <w:p w14:paraId="33CCC226" w14:textId="77777777" w:rsidR="00146E61" w:rsidRPr="00286BE9" w:rsidRDefault="00146E61" w:rsidP="001E3B42">
            <w:pPr>
              <w:jc w:val="center"/>
              <w:cnfStyle w:val="000000100000" w:firstRow="0" w:lastRow="0" w:firstColumn="0" w:lastColumn="0" w:oddVBand="0" w:evenVBand="0" w:oddHBand="1" w:evenHBand="0" w:firstRowFirstColumn="0" w:firstRowLastColumn="0" w:lastRowFirstColumn="0" w:lastRowLastColumn="0"/>
              <w:rPr>
                <w:lang w:val="en-AU"/>
              </w:rPr>
            </w:pPr>
          </w:p>
        </w:tc>
        <w:tc>
          <w:tcPr>
            <w:tcW w:w="971" w:type="dxa"/>
          </w:tcPr>
          <w:p w14:paraId="5141026C" w14:textId="77777777" w:rsidR="00146E61" w:rsidRPr="00286BE9" w:rsidRDefault="00146E61" w:rsidP="001E3B42">
            <w:pPr>
              <w:jc w:val="center"/>
              <w:cnfStyle w:val="000000100000" w:firstRow="0" w:lastRow="0" w:firstColumn="0" w:lastColumn="0" w:oddVBand="0" w:evenVBand="0" w:oddHBand="1" w:evenHBand="0" w:firstRowFirstColumn="0" w:firstRowLastColumn="0" w:lastRowFirstColumn="0" w:lastRowLastColumn="0"/>
              <w:rPr>
                <w:lang w:val="en-AU"/>
              </w:rPr>
            </w:pPr>
            <w:r w:rsidRPr="00286BE9">
              <w:rPr>
                <w:lang w:val="en-AU"/>
              </w:rPr>
              <w:t>Z</w:t>
            </w:r>
          </w:p>
        </w:tc>
        <w:tc>
          <w:tcPr>
            <w:tcW w:w="1950" w:type="dxa"/>
          </w:tcPr>
          <w:p w14:paraId="4606C22D" w14:textId="77777777" w:rsidR="00146E61" w:rsidRPr="00286BE9" w:rsidRDefault="00146E61" w:rsidP="001E3B42">
            <w:pPr>
              <w:jc w:val="center"/>
              <w:cnfStyle w:val="000000100000" w:firstRow="0" w:lastRow="0" w:firstColumn="0" w:lastColumn="0" w:oddVBand="0" w:evenVBand="0" w:oddHBand="1" w:evenHBand="0" w:firstRowFirstColumn="0" w:firstRowLastColumn="0" w:lastRowFirstColumn="0" w:lastRowLastColumn="0"/>
              <w:rPr>
                <w:color w:val="000000"/>
                <w:lang w:val="en-AU"/>
              </w:rPr>
            </w:pPr>
            <w:r w:rsidRPr="00286BE9">
              <w:rPr>
                <w:color w:val="000000"/>
                <w:lang w:val="en-AU"/>
              </w:rPr>
              <w:t>-6.85±1.90</w:t>
            </w:r>
          </w:p>
          <w:p w14:paraId="0C540321" w14:textId="77777777" w:rsidR="00146E61" w:rsidRPr="00286BE9" w:rsidRDefault="00146E61" w:rsidP="001E3B42">
            <w:pPr>
              <w:jc w:val="center"/>
              <w:cnfStyle w:val="000000100000" w:firstRow="0" w:lastRow="0" w:firstColumn="0" w:lastColumn="0" w:oddVBand="0" w:evenVBand="0" w:oddHBand="1" w:evenHBand="0" w:firstRowFirstColumn="0" w:firstRowLastColumn="0" w:lastRowFirstColumn="0" w:lastRowLastColumn="0"/>
              <w:rPr>
                <w:lang w:val="en-AU"/>
              </w:rPr>
            </w:pPr>
          </w:p>
        </w:tc>
        <w:tc>
          <w:tcPr>
            <w:tcW w:w="2275" w:type="dxa"/>
          </w:tcPr>
          <w:p w14:paraId="0E08C71B" w14:textId="77777777" w:rsidR="00146E61" w:rsidRPr="00286BE9" w:rsidRDefault="00146E61" w:rsidP="001E3B42">
            <w:pPr>
              <w:jc w:val="center"/>
              <w:cnfStyle w:val="000000100000" w:firstRow="0" w:lastRow="0" w:firstColumn="0" w:lastColumn="0" w:oddVBand="0" w:evenVBand="0" w:oddHBand="1" w:evenHBand="0" w:firstRowFirstColumn="0" w:firstRowLastColumn="0" w:lastRowFirstColumn="0" w:lastRowLastColumn="0"/>
              <w:rPr>
                <w:color w:val="000000"/>
                <w:lang w:val="en-AU"/>
              </w:rPr>
            </w:pPr>
            <w:r w:rsidRPr="00286BE9">
              <w:rPr>
                <w:color w:val="000000"/>
                <w:lang w:val="en-AU"/>
              </w:rPr>
              <w:t>-6.63±1.42</w:t>
            </w:r>
          </w:p>
          <w:p w14:paraId="01CB208B" w14:textId="77777777" w:rsidR="00146E61" w:rsidRPr="00286BE9" w:rsidRDefault="00146E61" w:rsidP="001E3B42">
            <w:pPr>
              <w:jc w:val="center"/>
              <w:cnfStyle w:val="000000100000" w:firstRow="0" w:lastRow="0" w:firstColumn="0" w:lastColumn="0" w:oddVBand="0" w:evenVBand="0" w:oddHBand="1" w:evenHBand="0" w:firstRowFirstColumn="0" w:firstRowLastColumn="0" w:lastRowFirstColumn="0" w:lastRowLastColumn="0"/>
              <w:rPr>
                <w:lang w:val="en-AU"/>
              </w:rPr>
            </w:pPr>
          </w:p>
        </w:tc>
        <w:tc>
          <w:tcPr>
            <w:tcW w:w="2054" w:type="dxa"/>
          </w:tcPr>
          <w:p w14:paraId="68AC1DC8" w14:textId="77777777" w:rsidR="00146E61" w:rsidRPr="00286BE9" w:rsidRDefault="00146E61" w:rsidP="001E3B42">
            <w:pPr>
              <w:jc w:val="center"/>
              <w:cnfStyle w:val="000000100000" w:firstRow="0" w:lastRow="0" w:firstColumn="0" w:lastColumn="0" w:oddVBand="0" w:evenVBand="0" w:oddHBand="1" w:evenHBand="0" w:firstRowFirstColumn="0" w:firstRowLastColumn="0" w:lastRowFirstColumn="0" w:lastRowLastColumn="0"/>
              <w:rPr>
                <w:color w:val="000000"/>
                <w:lang w:val="en-AU"/>
              </w:rPr>
            </w:pPr>
            <w:r w:rsidRPr="00286BE9">
              <w:rPr>
                <w:color w:val="000000"/>
                <w:lang w:val="en-AU"/>
              </w:rPr>
              <w:t>0.22 [-0.86, 1.31]</w:t>
            </w:r>
          </w:p>
          <w:p w14:paraId="2DFF5EB9" w14:textId="77777777" w:rsidR="00146E61" w:rsidRPr="00286BE9" w:rsidRDefault="00146E61" w:rsidP="001E3B42">
            <w:pPr>
              <w:jc w:val="center"/>
              <w:cnfStyle w:val="000000100000" w:firstRow="0" w:lastRow="0" w:firstColumn="0" w:lastColumn="0" w:oddVBand="0" w:evenVBand="0" w:oddHBand="1" w:evenHBand="0" w:firstRowFirstColumn="0" w:firstRowLastColumn="0" w:lastRowFirstColumn="0" w:lastRowLastColumn="0"/>
              <w:rPr>
                <w:lang w:val="en-AU"/>
              </w:rPr>
            </w:pPr>
          </w:p>
        </w:tc>
        <w:tc>
          <w:tcPr>
            <w:tcW w:w="1493" w:type="dxa"/>
            <w:vAlign w:val="center"/>
          </w:tcPr>
          <w:p w14:paraId="38E19A40" w14:textId="77777777" w:rsidR="00146E61" w:rsidRPr="00286BE9" w:rsidRDefault="00146E61" w:rsidP="001E3B42">
            <w:pPr>
              <w:jc w:val="center"/>
              <w:cnfStyle w:val="000000100000" w:firstRow="0" w:lastRow="0" w:firstColumn="0" w:lastColumn="0" w:oddVBand="0" w:evenVBand="0" w:oddHBand="1" w:evenHBand="0" w:firstRowFirstColumn="0" w:firstRowLastColumn="0" w:lastRowFirstColumn="0" w:lastRowLastColumn="0"/>
              <w:rPr>
                <w:lang w:val="en-AU"/>
              </w:rPr>
            </w:pPr>
            <w:r w:rsidRPr="00286BE9">
              <w:rPr>
                <w:color w:val="000000"/>
                <w:lang w:val="en-AU"/>
              </w:rPr>
              <w:t>0.4</w:t>
            </w:r>
          </w:p>
        </w:tc>
        <w:tc>
          <w:tcPr>
            <w:tcW w:w="1447" w:type="dxa"/>
            <w:vAlign w:val="center"/>
          </w:tcPr>
          <w:p w14:paraId="41E7682F" w14:textId="77777777" w:rsidR="00146E61" w:rsidRPr="00286BE9" w:rsidRDefault="00146E61" w:rsidP="001E3B42">
            <w:pPr>
              <w:jc w:val="center"/>
              <w:cnfStyle w:val="000000100000" w:firstRow="0" w:lastRow="0" w:firstColumn="0" w:lastColumn="0" w:oddVBand="0" w:evenVBand="0" w:oddHBand="1" w:evenHBand="0" w:firstRowFirstColumn="0" w:firstRowLastColumn="0" w:lastRowFirstColumn="0" w:lastRowLastColumn="0"/>
              <w:rPr>
                <w:lang w:val="en-AU"/>
              </w:rPr>
            </w:pPr>
            <w:r w:rsidRPr="00286BE9">
              <w:rPr>
                <w:color w:val="000000"/>
                <w:lang w:val="en-AU"/>
              </w:rPr>
              <w:t>0.69</w:t>
            </w:r>
          </w:p>
        </w:tc>
      </w:tr>
      <w:tr w:rsidR="00146E61" w:rsidRPr="00286BE9" w14:paraId="49D6ED67" w14:textId="77777777" w:rsidTr="001E3B42">
        <w:trPr>
          <w:trHeight w:val="287"/>
        </w:trPr>
        <w:tc>
          <w:tcPr>
            <w:cnfStyle w:val="001000000000" w:firstRow="0" w:lastRow="0" w:firstColumn="1" w:lastColumn="0" w:oddVBand="0" w:evenVBand="0" w:oddHBand="0" w:evenHBand="0" w:firstRowFirstColumn="0" w:firstRowLastColumn="0" w:lastRowFirstColumn="0" w:lastRowLastColumn="0"/>
            <w:tcW w:w="1847" w:type="dxa"/>
          </w:tcPr>
          <w:p w14:paraId="14867580" w14:textId="77777777" w:rsidR="00146E61" w:rsidRPr="00286BE9" w:rsidRDefault="00146E61" w:rsidP="001E3B42">
            <w:pPr>
              <w:jc w:val="center"/>
              <w:rPr>
                <w:lang w:val="en-AU"/>
              </w:rPr>
            </w:pPr>
          </w:p>
        </w:tc>
        <w:tc>
          <w:tcPr>
            <w:tcW w:w="2199" w:type="dxa"/>
          </w:tcPr>
          <w:p w14:paraId="055670D7" w14:textId="77777777" w:rsidR="00146E61" w:rsidRPr="00286BE9" w:rsidRDefault="00146E61" w:rsidP="001E3B42">
            <w:pPr>
              <w:jc w:val="center"/>
              <w:cnfStyle w:val="000000000000" w:firstRow="0" w:lastRow="0" w:firstColumn="0" w:lastColumn="0" w:oddVBand="0" w:evenVBand="0" w:oddHBand="0" w:evenHBand="0" w:firstRowFirstColumn="0" w:firstRowLastColumn="0" w:lastRowFirstColumn="0" w:lastRowLastColumn="0"/>
              <w:rPr>
                <w:lang w:val="en-AU"/>
              </w:rPr>
            </w:pPr>
            <w:r w:rsidRPr="00286BE9">
              <w:rPr>
                <w:lang w:val="en-AU"/>
              </w:rPr>
              <w:t xml:space="preserve"> Right</w:t>
            </w:r>
          </w:p>
        </w:tc>
        <w:tc>
          <w:tcPr>
            <w:tcW w:w="971" w:type="dxa"/>
          </w:tcPr>
          <w:p w14:paraId="6033AA91" w14:textId="77777777" w:rsidR="00146E61" w:rsidRPr="00286BE9" w:rsidRDefault="00146E61" w:rsidP="001E3B42">
            <w:pPr>
              <w:jc w:val="center"/>
              <w:cnfStyle w:val="000000000000" w:firstRow="0" w:lastRow="0" w:firstColumn="0" w:lastColumn="0" w:oddVBand="0" w:evenVBand="0" w:oddHBand="0" w:evenHBand="0" w:firstRowFirstColumn="0" w:firstRowLastColumn="0" w:lastRowFirstColumn="0" w:lastRowLastColumn="0"/>
              <w:rPr>
                <w:lang w:val="en-AU"/>
              </w:rPr>
            </w:pPr>
            <w:r w:rsidRPr="00286BE9">
              <w:rPr>
                <w:lang w:val="en-AU"/>
              </w:rPr>
              <w:t>X</w:t>
            </w:r>
          </w:p>
        </w:tc>
        <w:tc>
          <w:tcPr>
            <w:tcW w:w="1950" w:type="dxa"/>
          </w:tcPr>
          <w:p w14:paraId="39235AF0" w14:textId="77777777" w:rsidR="00146E61" w:rsidRPr="00286BE9" w:rsidRDefault="00146E61" w:rsidP="001E3B42">
            <w:pPr>
              <w:jc w:val="center"/>
              <w:cnfStyle w:val="000000000000" w:firstRow="0" w:lastRow="0" w:firstColumn="0" w:lastColumn="0" w:oddVBand="0" w:evenVBand="0" w:oddHBand="0" w:evenHBand="0" w:firstRowFirstColumn="0" w:firstRowLastColumn="0" w:lastRowFirstColumn="0" w:lastRowLastColumn="0"/>
              <w:rPr>
                <w:color w:val="000000"/>
                <w:lang w:val="en-AU"/>
              </w:rPr>
            </w:pPr>
            <w:r w:rsidRPr="00286BE9">
              <w:rPr>
                <w:color w:val="000000"/>
                <w:lang w:val="en-AU"/>
              </w:rPr>
              <w:t>12.84±1.60</w:t>
            </w:r>
          </w:p>
          <w:p w14:paraId="1C646FFF" w14:textId="77777777" w:rsidR="00146E61" w:rsidRPr="00286BE9" w:rsidRDefault="00146E61" w:rsidP="001E3B42">
            <w:pPr>
              <w:jc w:val="center"/>
              <w:cnfStyle w:val="000000000000" w:firstRow="0" w:lastRow="0" w:firstColumn="0" w:lastColumn="0" w:oddVBand="0" w:evenVBand="0" w:oddHBand="0" w:evenHBand="0" w:firstRowFirstColumn="0" w:firstRowLastColumn="0" w:lastRowFirstColumn="0" w:lastRowLastColumn="0"/>
              <w:rPr>
                <w:lang w:val="en-AU"/>
              </w:rPr>
            </w:pPr>
          </w:p>
        </w:tc>
        <w:tc>
          <w:tcPr>
            <w:tcW w:w="2275" w:type="dxa"/>
          </w:tcPr>
          <w:p w14:paraId="54295610" w14:textId="77777777" w:rsidR="00146E61" w:rsidRPr="00286BE9" w:rsidRDefault="00146E61" w:rsidP="001E3B42">
            <w:pPr>
              <w:jc w:val="center"/>
              <w:cnfStyle w:val="000000000000" w:firstRow="0" w:lastRow="0" w:firstColumn="0" w:lastColumn="0" w:oddVBand="0" w:evenVBand="0" w:oddHBand="0" w:evenHBand="0" w:firstRowFirstColumn="0" w:firstRowLastColumn="0" w:lastRowFirstColumn="0" w:lastRowLastColumn="0"/>
              <w:rPr>
                <w:color w:val="000000"/>
                <w:lang w:val="en-AU"/>
              </w:rPr>
            </w:pPr>
            <w:r w:rsidRPr="00286BE9">
              <w:rPr>
                <w:color w:val="000000"/>
                <w:lang w:val="en-AU"/>
              </w:rPr>
              <w:t>12.51±1.14</w:t>
            </w:r>
          </w:p>
          <w:p w14:paraId="50D78824" w14:textId="77777777" w:rsidR="00146E61" w:rsidRPr="00286BE9" w:rsidRDefault="00146E61" w:rsidP="001E3B42">
            <w:pPr>
              <w:jc w:val="center"/>
              <w:cnfStyle w:val="000000000000" w:firstRow="0" w:lastRow="0" w:firstColumn="0" w:lastColumn="0" w:oddVBand="0" w:evenVBand="0" w:oddHBand="0" w:evenHBand="0" w:firstRowFirstColumn="0" w:firstRowLastColumn="0" w:lastRowFirstColumn="0" w:lastRowLastColumn="0"/>
              <w:rPr>
                <w:lang w:val="en-AU"/>
              </w:rPr>
            </w:pPr>
          </w:p>
        </w:tc>
        <w:tc>
          <w:tcPr>
            <w:tcW w:w="2054" w:type="dxa"/>
          </w:tcPr>
          <w:p w14:paraId="778EAF3B" w14:textId="77777777" w:rsidR="00146E61" w:rsidRPr="00286BE9" w:rsidRDefault="00146E61" w:rsidP="001E3B42">
            <w:pPr>
              <w:jc w:val="center"/>
              <w:cnfStyle w:val="000000000000" w:firstRow="0" w:lastRow="0" w:firstColumn="0" w:lastColumn="0" w:oddVBand="0" w:evenVBand="0" w:oddHBand="0" w:evenHBand="0" w:firstRowFirstColumn="0" w:firstRowLastColumn="0" w:lastRowFirstColumn="0" w:lastRowLastColumn="0"/>
              <w:rPr>
                <w:color w:val="000000"/>
                <w:lang w:val="en-AU"/>
              </w:rPr>
            </w:pPr>
            <w:r w:rsidRPr="00286BE9">
              <w:rPr>
                <w:color w:val="000000"/>
                <w:lang w:val="en-AU"/>
              </w:rPr>
              <w:t>0.33 [-1.32, 0.67]</w:t>
            </w:r>
          </w:p>
          <w:p w14:paraId="37E568B0" w14:textId="77777777" w:rsidR="00146E61" w:rsidRPr="00286BE9" w:rsidRDefault="00146E61" w:rsidP="001E3B42">
            <w:pPr>
              <w:jc w:val="center"/>
              <w:cnfStyle w:val="000000000000" w:firstRow="0" w:lastRow="0" w:firstColumn="0" w:lastColumn="0" w:oddVBand="0" w:evenVBand="0" w:oddHBand="0" w:evenHBand="0" w:firstRowFirstColumn="0" w:firstRowLastColumn="0" w:lastRowFirstColumn="0" w:lastRowLastColumn="0"/>
              <w:rPr>
                <w:lang w:val="en-AU"/>
              </w:rPr>
            </w:pPr>
          </w:p>
        </w:tc>
        <w:tc>
          <w:tcPr>
            <w:tcW w:w="1493" w:type="dxa"/>
            <w:vAlign w:val="center"/>
          </w:tcPr>
          <w:p w14:paraId="76EE0452" w14:textId="77777777" w:rsidR="00146E61" w:rsidRPr="00286BE9" w:rsidRDefault="00146E61" w:rsidP="001E3B42">
            <w:pPr>
              <w:jc w:val="center"/>
              <w:cnfStyle w:val="000000000000" w:firstRow="0" w:lastRow="0" w:firstColumn="0" w:lastColumn="0" w:oddVBand="0" w:evenVBand="0" w:oddHBand="0" w:evenHBand="0" w:firstRowFirstColumn="0" w:firstRowLastColumn="0" w:lastRowFirstColumn="0" w:lastRowLastColumn="0"/>
              <w:rPr>
                <w:lang w:val="en-AU"/>
              </w:rPr>
            </w:pPr>
            <w:r w:rsidRPr="00286BE9">
              <w:rPr>
                <w:color w:val="000000"/>
                <w:lang w:val="en-AU"/>
              </w:rPr>
              <w:t>-0.67</w:t>
            </w:r>
          </w:p>
        </w:tc>
        <w:tc>
          <w:tcPr>
            <w:tcW w:w="1447" w:type="dxa"/>
            <w:vAlign w:val="center"/>
          </w:tcPr>
          <w:p w14:paraId="2428BC92" w14:textId="77777777" w:rsidR="00146E61" w:rsidRPr="00286BE9" w:rsidRDefault="00146E61" w:rsidP="001E3B42">
            <w:pPr>
              <w:jc w:val="center"/>
              <w:cnfStyle w:val="000000000000" w:firstRow="0" w:lastRow="0" w:firstColumn="0" w:lastColumn="0" w:oddVBand="0" w:evenVBand="0" w:oddHBand="0" w:evenHBand="0" w:firstRowFirstColumn="0" w:firstRowLastColumn="0" w:lastRowFirstColumn="0" w:lastRowLastColumn="0"/>
              <w:rPr>
                <w:lang w:val="en-AU"/>
              </w:rPr>
            </w:pPr>
            <w:r w:rsidRPr="00286BE9">
              <w:rPr>
                <w:color w:val="000000"/>
                <w:lang w:val="en-AU"/>
              </w:rPr>
              <w:t>0.51</w:t>
            </w:r>
          </w:p>
        </w:tc>
      </w:tr>
      <w:tr w:rsidR="00146E61" w:rsidRPr="00286BE9" w14:paraId="002550A7" w14:textId="77777777" w:rsidTr="001E3B42">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847" w:type="dxa"/>
          </w:tcPr>
          <w:p w14:paraId="555E6361" w14:textId="77777777" w:rsidR="00146E61" w:rsidRPr="00286BE9" w:rsidRDefault="00146E61" w:rsidP="001E3B42">
            <w:pPr>
              <w:jc w:val="center"/>
              <w:rPr>
                <w:lang w:val="en-AU"/>
              </w:rPr>
            </w:pPr>
          </w:p>
        </w:tc>
        <w:tc>
          <w:tcPr>
            <w:tcW w:w="2199" w:type="dxa"/>
          </w:tcPr>
          <w:p w14:paraId="21176DB6" w14:textId="77777777" w:rsidR="00146E61" w:rsidRPr="00286BE9" w:rsidRDefault="00146E61" w:rsidP="001E3B42">
            <w:pPr>
              <w:jc w:val="center"/>
              <w:cnfStyle w:val="000000100000" w:firstRow="0" w:lastRow="0" w:firstColumn="0" w:lastColumn="0" w:oddVBand="0" w:evenVBand="0" w:oddHBand="1" w:evenHBand="0" w:firstRowFirstColumn="0" w:firstRowLastColumn="0" w:lastRowFirstColumn="0" w:lastRowLastColumn="0"/>
              <w:rPr>
                <w:lang w:val="en-AU"/>
              </w:rPr>
            </w:pPr>
          </w:p>
        </w:tc>
        <w:tc>
          <w:tcPr>
            <w:tcW w:w="971" w:type="dxa"/>
          </w:tcPr>
          <w:p w14:paraId="1AD8A10F" w14:textId="77777777" w:rsidR="00146E61" w:rsidRPr="00286BE9" w:rsidRDefault="00146E61" w:rsidP="001E3B42">
            <w:pPr>
              <w:jc w:val="center"/>
              <w:cnfStyle w:val="000000100000" w:firstRow="0" w:lastRow="0" w:firstColumn="0" w:lastColumn="0" w:oddVBand="0" w:evenVBand="0" w:oddHBand="1" w:evenHBand="0" w:firstRowFirstColumn="0" w:firstRowLastColumn="0" w:lastRowFirstColumn="0" w:lastRowLastColumn="0"/>
              <w:rPr>
                <w:lang w:val="en-AU"/>
              </w:rPr>
            </w:pPr>
            <w:r w:rsidRPr="00286BE9">
              <w:rPr>
                <w:lang w:val="en-AU"/>
              </w:rPr>
              <w:t>Y</w:t>
            </w:r>
          </w:p>
        </w:tc>
        <w:tc>
          <w:tcPr>
            <w:tcW w:w="1950" w:type="dxa"/>
          </w:tcPr>
          <w:p w14:paraId="03A769EF" w14:textId="77777777" w:rsidR="00146E61" w:rsidRPr="00286BE9" w:rsidRDefault="00146E61" w:rsidP="001E3B42">
            <w:pPr>
              <w:jc w:val="center"/>
              <w:cnfStyle w:val="000000100000" w:firstRow="0" w:lastRow="0" w:firstColumn="0" w:lastColumn="0" w:oddVBand="0" w:evenVBand="0" w:oddHBand="1" w:evenHBand="0" w:firstRowFirstColumn="0" w:firstRowLastColumn="0" w:lastRowFirstColumn="0" w:lastRowLastColumn="0"/>
              <w:rPr>
                <w:color w:val="000000"/>
                <w:lang w:val="en-AU"/>
              </w:rPr>
            </w:pPr>
            <w:r w:rsidRPr="00286BE9">
              <w:rPr>
                <w:color w:val="000000"/>
                <w:lang w:val="en-AU"/>
              </w:rPr>
              <w:t>-13.35±1.73</w:t>
            </w:r>
          </w:p>
          <w:p w14:paraId="4897B31E" w14:textId="77777777" w:rsidR="00146E61" w:rsidRPr="00286BE9" w:rsidRDefault="00146E61" w:rsidP="001E3B42">
            <w:pPr>
              <w:jc w:val="center"/>
              <w:cnfStyle w:val="000000100000" w:firstRow="0" w:lastRow="0" w:firstColumn="0" w:lastColumn="0" w:oddVBand="0" w:evenVBand="0" w:oddHBand="1" w:evenHBand="0" w:firstRowFirstColumn="0" w:firstRowLastColumn="0" w:lastRowFirstColumn="0" w:lastRowLastColumn="0"/>
              <w:rPr>
                <w:lang w:val="en-AU"/>
              </w:rPr>
            </w:pPr>
          </w:p>
        </w:tc>
        <w:tc>
          <w:tcPr>
            <w:tcW w:w="2275" w:type="dxa"/>
          </w:tcPr>
          <w:p w14:paraId="7EBF4FB3" w14:textId="77777777" w:rsidR="00146E61" w:rsidRPr="00286BE9" w:rsidRDefault="00146E61" w:rsidP="001E3B42">
            <w:pPr>
              <w:jc w:val="center"/>
              <w:cnfStyle w:val="000000100000" w:firstRow="0" w:lastRow="0" w:firstColumn="0" w:lastColumn="0" w:oddVBand="0" w:evenVBand="0" w:oddHBand="1" w:evenHBand="0" w:firstRowFirstColumn="0" w:firstRowLastColumn="0" w:lastRowFirstColumn="0" w:lastRowLastColumn="0"/>
              <w:rPr>
                <w:color w:val="000000"/>
                <w:lang w:val="en-AU"/>
              </w:rPr>
            </w:pPr>
            <w:r w:rsidRPr="00286BE9">
              <w:rPr>
                <w:color w:val="000000"/>
                <w:lang w:val="en-AU"/>
              </w:rPr>
              <w:t>-13.10±1.70</w:t>
            </w:r>
          </w:p>
          <w:p w14:paraId="0C618303" w14:textId="77777777" w:rsidR="00146E61" w:rsidRPr="00286BE9" w:rsidRDefault="00146E61" w:rsidP="001E3B42">
            <w:pPr>
              <w:jc w:val="center"/>
              <w:cnfStyle w:val="000000100000" w:firstRow="0" w:lastRow="0" w:firstColumn="0" w:lastColumn="0" w:oddVBand="0" w:evenVBand="0" w:oddHBand="1" w:evenHBand="0" w:firstRowFirstColumn="0" w:firstRowLastColumn="0" w:lastRowFirstColumn="0" w:lastRowLastColumn="0"/>
              <w:rPr>
                <w:lang w:val="en-AU"/>
              </w:rPr>
            </w:pPr>
          </w:p>
        </w:tc>
        <w:tc>
          <w:tcPr>
            <w:tcW w:w="2054" w:type="dxa"/>
          </w:tcPr>
          <w:p w14:paraId="13EBBCAB" w14:textId="77777777" w:rsidR="00146E61" w:rsidRPr="00286BE9" w:rsidRDefault="00146E61" w:rsidP="001E3B42">
            <w:pPr>
              <w:jc w:val="center"/>
              <w:cnfStyle w:val="000000100000" w:firstRow="0" w:lastRow="0" w:firstColumn="0" w:lastColumn="0" w:oddVBand="0" w:evenVBand="0" w:oddHBand="1" w:evenHBand="0" w:firstRowFirstColumn="0" w:firstRowLastColumn="0" w:lastRowFirstColumn="0" w:lastRowLastColumn="0"/>
              <w:rPr>
                <w:color w:val="000000"/>
                <w:lang w:val="en-AU"/>
              </w:rPr>
            </w:pPr>
            <w:r w:rsidRPr="00286BE9">
              <w:rPr>
                <w:color w:val="000000"/>
                <w:lang w:val="en-AU"/>
              </w:rPr>
              <w:t>0.25 [-0.87, 1.39]</w:t>
            </w:r>
          </w:p>
          <w:p w14:paraId="55B1B6E6" w14:textId="77777777" w:rsidR="00146E61" w:rsidRPr="00286BE9" w:rsidRDefault="00146E61" w:rsidP="001E3B42">
            <w:pPr>
              <w:jc w:val="center"/>
              <w:cnfStyle w:val="000000100000" w:firstRow="0" w:lastRow="0" w:firstColumn="0" w:lastColumn="0" w:oddVBand="0" w:evenVBand="0" w:oddHBand="1" w:evenHBand="0" w:firstRowFirstColumn="0" w:firstRowLastColumn="0" w:lastRowFirstColumn="0" w:lastRowLastColumn="0"/>
              <w:rPr>
                <w:lang w:val="en-AU"/>
              </w:rPr>
            </w:pPr>
          </w:p>
        </w:tc>
        <w:tc>
          <w:tcPr>
            <w:tcW w:w="1493" w:type="dxa"/>
            <w:vAlign w:val="center"/>
          </w:tcPr>
          <w:p w14:paraId="1DC27A09" w14:textId="77777777" w:rsidR="00146E61" w:rsidRPr="00286BE9" w:rsidRDefault="00146E61" w:rsidP="001E3B42">
            <w:pPr>
              <w:jc w:val="center"/>
              <w:cnfStyle w:val="000000100000" w:firstRow="0" w:lastRow="0" w:firstColumn="0" w:lastColumn="0" w:oddVBand="0" w:evenVBand="0" w:oddHBand="1" w:evenHBand="0" w:firstRowFirstColumn="0" w:firstRowLastColumn="0" w:lastRowFirstColumn="0" w:lastRowLastColumn="0"/>
              <w:rPr>
                <w:lang w:val="en-AU"/>
              </w:rPr>
            </w:pPr>
            <w:r w:rsidRPr="00286BE9">
              <w:rPr>
                <w:color w:val="000000"/>
                <w:lang w:val="en-AU"/>
              </w:rPr>
              <w:t>0.47</w:t>
            </w:r>
          </w:p>
        </w:tc>
        <w:tc>
          <w:tcPr>
            <w:tcW w:w="1447" w:type="dxa"/>
            <w:vAlign w:val="center"/>
          </w:tcPr>
          <w:p w14:paraId="48D07500" w14:textId="77777777" w:rsidR="00146E61" w:rsidRPr="00286BE9" w:rsidRDefault="00146E61" w:rsidP="001E3B42">
            <w:pPr>
              <w:jc w:val="center"/>
              <w:cnfStyle w:val="000000100000" w:firstRow="0" w:lastRow="0" w:firstColumn="0" w:lastColumn="0" w:oddVBand="0" w:evenVBand="0" w:oddHBand="1" w:evenHBand="0" w:firstRowFirstColumn="0" w:firstRowLastColumn="0" w:lastRowFirstColumn="0" w:lastRowLastColumn="0"/>
              <w:rPr>
                <w:lang w:val="en-AU"/>
              </w:rPr>
            </w:pPr>
            <w:r w:rsidRPr="00286BE9">
              <w:rPr>
                <w:color w:val="000000"/>
                <w:lang w:val="en-AU"/>
              </w:rPr>
              <w:t>0.64</w:t>
            </w:r>
          </w:p>
        </w:tc>
      </w:tr>
      <w:tr w:rsidR="00146E61" w:rsidRPr="00286BE9" w14:paraId="4A54FC33" w14:textId="77777777" w:rsidTr="001E3B42">
        <w:trPr>
          <w:trHeight w:val="287"/>
        </w:trPr>
        <w:tc>
          <w:tcPr>
            <w:cnfStyle w:val="001000000000" w:firstRow="0" w:lastRow="0" w:firstColumn="1" w:lastColumn="0" w:oddVBand="0" w:evenVBand="0" w:oddHBand="0" w:evenHBand="0" w:firstRowFirstColumn="0" w:firstRowLastColumn="0" w:lastRowFirstColumn="0" w:lastRowLastColumn="0"/>
            <w:tcW w:w="1847" w:type="dxa"/>
          </w:tcPr>
          <w:p w14:paraId="3293CD5E" w14:textId="77777777" w:rsidR="00146E61" w:rsidRPr="00286BE9" w:rsidRDefault="00146E61" w:rsidP="001E3B42">
            <w:pPr>
              <w:jc w:val="center"/>
              <w:rPr>
                <w:lang w:val="en-AU"/>
              </w:rPr>
            </w:pPr>
          </w:p>
        </w:tc>
        <w:tc>
          <w:tcPr>
            <w:tcW w:w="2199" w:type="dxa"/>
          </w:tcPr>
          <w:p w14:paraId="6B3A598D" w14:textId="77777777" w:rsidR="00146E61" w:rsidRPr="00286BE9" w:rsidRDefault="00146E61" w:rsidP="001E3B42">
            <w:pPr>
              <w:jc w:val="center"/>
              <w:cnfStyle w:val="000000000000" w:firstRow="0" w:lastRow="0" w:firstColumn="0" w:lastColumn="0" w:oddVBand="0" w:evenVBand="0" w:oddHBand="0" w:evenHBand="0" w:firstRowFirstColumn="0" w:firstRowLastColumn="0" w:lastRowFirstColumn="0" w:lastRowLastColumn="0"/>
              <w:rPr>
                <w:lang w:val="en-AU"/>
              </w:rPr>
            </w:pPr>
          </w:p>
        </w:tc>
        <w:tc>
          <w:tcPr>
            <w:tcW w:w="971" w:type="dxa"/>
          </w:tcPr>
          <w:p w14:paraId="388A6C9C" w14:textId="77777777" w:rsidR="00146E61" w:rsidRPr="00286BE9" w:rsidRDefault="00146E61" w:rsidP="001E3B42">
            <w:pPr>
              <w:jc w:val="center"/>
              <w:cnfStyle w:val="000000000000" w:firstRow="0" w:lastRow="0" w:firstColumn="0" w:lastColumn="0" w:oddVBand="0" w:evenVBand="0" w:oddHBand="0" w:evenHBand="0" w:firstRowFirstColumn="0" w:firstRowLastColumn="0" w:lastRowFirstColumn="0" w:lastRowLastColumn="0"/>
              <w:rPr>
                <w:lang w:val="en-AU"/>
              </w:rPr>
            </w:pPr>
            <w:r w:rsidRPr="00286BE9">
              <w:rPr>
                <w:lang w:val="en-AU"/>
              </w:rPr>
              <w:t>Z</w:t>
            </w:r>
          </w:p>
        </w:tc>
        <w:tc>
          <w:tcPr>
            <w:tcW w:w="1950" w:type="dxa"/>
          </w:tcPr>
          <w:p w14:paraId="31757636" w14:textId="77777777" w:rsidR="00146E61" w:rsidRPr="00286BE9" w:rsidRDefault="00146E61" w:rsidP="001E3B42">
            <w:pPr>
              <w:jc w:val="center"/>
              <w:cnfStyle w:val="000000000000" w:firstRow="0" w:lastRow="0" w:firstColumn="0" w:lastColumn="0" w:oddVBand="0" w:evenVBand="0" w:oddHBand="0" w:evenHBand="0" w:firstRowFirstColumn="0" w:firstRowLastColumn="0" w:lastRowFirstColumn="0" w:lastRowLastColumn="0"/>
              <w:rPr>
                <w:color w:val="000000"/>
                <w:lang w:val="en-AU"/>
              </w:rPr>
            </w:pPr>
            <w:r w:rsidRPr="00286BE9">
              <w:rPr>
                <w:color w:val="000000"/>
                <w:lang w:val="en-AU"/>
              </w:rPr>
              <w:t>-6.48±1.85</w:t>
            </w:r>
          </w:p>
          <w:p w14:paraId="0244D1C8" w14:textId="77777777" w:rsidR="00146E61" w:rsidRPr="00286BE9" w:rsidRDefault="00146E61" w:rsidP="001E3B42">
            <w:pPr>
              <w:jc w:val="center"/>
              <w:cnfStyle w:val="000000000000" w:firstRow="0" w:lastRow="0" w:firstColumn="0" w:lastColumn="0" w:oddVBand="0" w:evenVBand="0" w:oddHBand="0" w:evenHBand="0" w:firstRowFirstColumn="0" w:firstRowLastColumn="0" w:lastRowFirstColumn="0" w:lastRowLastColumn="0"/>
              <w:rPr>
                <w:lang w:val="en-AU"/>
              </w:rPr>
            </w:pPr>
          </w:p>
        </w:tc>
        <w:tc>
          <w:tcPr>
            <w:tcW w:w="2275" w:type="dxa"/>
          </w:tcPr>
          <w:p w14:paraId="2530A92B" w14:textId="77777777" w:rsidR="00146E61" w:rsidRPr="00286BE9" w:rsidRDefault="00146E61" w:rsidP="001E3B42">
            <w:pPr>
              <w:jc w:val="center"/>
              <w:cnfStyle w:val="000000000000" w:firstRow="0" w:lastRow="0" w:firstColumn="0" w:lastColumn="0" w:oddVBand="0" w:evenVBand="0" w:oddHBand="0" w:evenHBand="0" w:firstRowFirstColumn="0" w:firstRowLastColumn="0" w:lastRowFirstColumn="0" w:lastRowLastColumn="0"/>
              <w:rPr>
                <w:color w:val="000000"/>
                <w:lang w:val="en-AU"/>
              </w:rPr>
            </w:pPr>
            <w:r w:rsidRPr="00286BE9">
              <w:rPr>
                <w:color w:val="000000"/>
                <w:lang w:val="en-AU"/>
              </w:rPr>
              <w:t>-7.08±1.47</w:t>
            </w:r>
          </w:p>
          <w:p w14:paraId="56D6A359" w14:textId="77777777" w:rsidR="00146E61" w:rsidRPr="00286BE9" w:rsidRDefault="00146E61" w:rsidP="001E3B42">
            <w:pPr>
              <w:jc w:val="center"/>
              <w:cnfStyle w:val="000000000000" w:firstRow="0" w:lastRow="0" w:firstColumn="0" w:lastColumn="0" w:oddVBand="0" w:evenVBand="0" w:oddHBand="0" w:evenHBand="0" w:firstRowFirstColumn="0" w:firstRowLastColumn="0" w:lastRowFirstColumn="0" w:lastRowLastColumn="0"/>
              <w:rPr>
                <w:lang w:val="en-AU"/>
              </w:rPr>
            </w:pPr>
          </w:p>
        </w:tc>
        <w:tc>
          <w:tcPr>
            <w:tcW w:w="2054" w:type="dxa"/>
          </w:tcPr>
          <w:p w14:paraId="03457E2E" w14:textId="77777777" w:rsidR="00146E61" w:rsidRPr="00286BE9" w:rsidRDefault="00146E61" w:rsidP="001E3B42">
            <w:pPr>
              <w:jc w:val="center"/>
              <w:cnfStyle w:val="000000000000" w:firstRow="0" w:lastRow="0" w:firstColumn="0" w:lastColumn="0" w:oddVBand="0" w:evenVBand="0" w:oddHBand="0" w:evenHBand="0" w:firstRowFirstColumn="0" w:firstRowLastColumn="0" w:lastRowFirstColumn="0" w:lastRowLastColumn="0"/>
              <w:rPr>
                <w:color w:val="000000"/>
                <w:lang w:val="en-AU"/>
              </w:rPr>
            </w:pPr>
            <w:r w:rsidRPr="00286BE9">
              <w:rPr>
                <w:color w:val="000000"/>
                <w:lang w:val="en-AU"/>
              </w:rPr>
              <w:t>-0.6 [-1.70, 0.49]</w:t>
            </w:r>
          </w:p>
          <w:p w14:paraId="1C064CF5" w14:textId="77777777" w:rsidR="00146E61" w:rsidRPr="00286BE9" w:rsidRDefault="00146E61" w:rsidP="001E3B42">
            <w:pPr>
              <w:jc w:val="center"/>
              <w:cnfStyle w:val="000000000000" w:firstRow="0" w:lastRow="0" w:firstColumn="0" w:lastColumn="0" w:oddVBand="0" w:evenVBand="0" w:oddHBand="0" w:evenHBand="0" w:firstRowFirstColumn="0" w:firstRowLastColumn="0" w:lastRowFirstColumn="0" w:lastRowLastColumn="0"/>
              <w:rPr>
                <w:lang w:val="en-AU"/>
              </w:rPr>
            </w:pPr>
          </w:p>
        </w:tc>
        <w:tc>
          <w:tcPr>
            <w:tcW w:w="1493" w:type="dxa"/>
            <w:vAlign w:val="center"/>
          </w:tcPr>
          <w:p w14:paraId="38C306DB" w14:textId="77777777" w:rsidR="00146E61" w:rsidRPr="00286BE9" w:rsidRDefault="00146E61" w:rsidP="001E3B42">
            <w:pPr>
              <w:jc w:val="center"/>
              <w:cnfStyle w:val="000000000000" w:firstRow="0" w:lastRow="0" w:firstColumn="0" w:lastColumn="0" w:oddVBand="0" w:evenVBand="0" w:oddHBand="0" w:evenHBand="0" w:firstRowFirstColumn="0" w:firstRowLastColumn="0" w:lastRowFirstColumn="0" w:lastRowLastColumn="0"/>
              <w:rPr>
                <w:lang w:val="en-AU"/>
              </w:rPr>
            </w:pPr>
            <w:r w:rsidRPr="00286BE9">
              <w:rPr>
                <w:color w:val="000000"/>
                <w:lang w:val="en-AU"/>
              </w:rPr>
              <w:t>-1.12</w:t>
            </w:r>
          </w:p>
        </w:tc>
        <w:tc>
          <w:tcPr>
            <w:tcW w:w="1447" w:type="dxa"/>
            <w:vAlign w:val="center"/>
          </w:tcPr>
          <w:p w14:paraId="2CEAE4B7" w14:textId="77777777" w:rsidR="00146E61" w:rsidRPr="00286BE9" w:rsidRDefault="00146E61" w:rsidP="001E3B42">
            <w:pPr>
              <w:jc w:val="center"/>
              <w:cnfStyle w:val="000000000000" w:firstRow="0" w:lastRow="0" w:firstColumn="0" w:lastColumn="0" w:oddVBand="0" w:evenVBand="0" w:oddHBand="0" w:evenHBand="0" w:firstRowFirstColumn="0" w:firstRowLastColumn="0" w:lastRowFirstColumn="0" w:lastRowLastColumn="0"/>
              <w:rPr>
                <w:lang w:val="en-AU"/>
              </w:rPr>
            </w:pPr>
            <w:r w:rsidRPr="00286BE9">
              <w:rPr>
                <w:color w:val="000000"/>
                <w:lang w:val="en-AU"/>
              </w:rPr>
              <w:t>0.26</w:t>
            </w:r>
          </w:p>
        </w:tc>
      </w:tr>
    </w:tbl>
    <w:p w14:paraId="395C0173" w14:textId="77777777" w:rsidR="00146E61" w:rsidRPr="00286BE9" w:rsidRDefault="00146E61" w:rsidP="00146E61">
      <w:pPr>
        <w:spacing w:line="276" w:lineRule="auto"/>
        <w:jc w:val="both"/>
        <w:rPr>
          <w:lang w:val="en-AU"/>
        </w:rPr>
      </w:pPr>
    </w:p>
    <w:p w14:paraId="19B07936" w14:textId="2913019F" w:rsidR="00146E61" w:rsidRPr="00F67EF2" w:rsidRDefault="00F67EF2" w:rsidP="00F67EF2">
      <w:pPr>
        <w:spacing w:line="276" w:lineRule="auto"/>
        <w:jc w:val="both"/>
        <w:rPr>
          <w:b/>
          <w:lang w:val="en-AU"/>
        </w:rPr>
      </w:pPr>
      <w:r>
        <w:rPr>
          <w:b/>
          <w:lang w:val="en-AU"/>
        </w:rPr>
        <w:t xml:space="preserve">Supp. </w:t>
      </w:r>
      <w:r w:rsidRPr="00D41EAD">
        <w:rPr>
          <w:b/>
          <w:lang w:val="en-AU"/>
        </w:rPr>
        <w:t>Table 1.</w:t>
      </w:r>
      <w:r w:rsidRPr="00D41EAD">
        <w:rPr>
          <w:sz w:val="22"/>
          <w:szCs w:val="22"/>
        </w:rPr>
        <w:t xml:space="preserve"> </w:t>
      </w:r>
      <w:r w:rsidRPr="00D41EAD">
        <w:rPr>
          <w:b/>
          <w:lang w:val="en-AU"/>
        </w:rPr>
        <w:t>Comparison of stimulation coordinates (centre of mass of volume of tissue activated) between standard-of-care and remote programming groups at day 0 and day 90.</w:t>
      </w:r>
      <w:r>
        <w:rPr>
          <w:b/>
          <w:lang w:val="en-AU"/>
        </w:rPr>
        <w:t xml:space="preserve"> </w:t>
      </w:r>
      <w:r w:rsidR="00146E61" w:rsidRPr="00286BE9">
        <w:rPr>
          <w:lang w:val="en-AU"/>
        </w:rPr>
        <w:t xml:space="preserve">Values represent group means ± standard deviations for each axis (X, Y, Z) at each </w:t>
      </w:r>
      <w:r w:rsidR="00146E61" w:rsidRPr="00286BE9">
        <w:rPr>
          <w:lang w:val="en-AU"/>
        </w:rPr>
        <w:lastRenderedPageBreak/>
        <w:t xml:space="preserve">timepoint (day 0 and day 90) and hemisphere (left, right). Mean differences (Remote – SoC) are presented with 95% confidence intervals. Positive values indicate more anterior (X), lateral (Y), or dorsal (Z) stimulation in the Remote group. Between-group comparisons were performed using independent-samples </w:t>
      </w:r>
      <w:r w:rsidR="00146E61" w:rsidRPr="00286BE9">
        <w:rPr>
          <w:rStyle w:val="Hervorhebung"/>
          <w:rFonts w:eastAsiaTheme="majorEastAsia"/>
          <w:lang w:val="en-AU"/>
        </w:rPr>
        <w:t>t</w:t>
      </w:r>
      <w:r w:rsidR="00146E61" w:rsidRPr="00286BE9">
        <w:rPr>
          <w:lang w:val="en-AU"/>
        </w:rPr>
        <w:t>-tests. No statistically significant differences were observed at any axis, timepoint, or hemisphere (</w:t>
      </w:r>
      <w:r w:rsidR="00146E61" w:rsidRPr="005D58A9">
        <w:rPr>
          <w:rStyle w:val="Hervorhebung"/>
          <w:rFonts w:eastAsiaTheme="majorEastAsia"/>
          <w:lang w:val="en-AU"/>
        </w:rPr>
        <w:t>P</w:t>
      </w:r>
      <w:r w:rsidR="00146E61" w:rsidRPr="00286BE9">
        <w:rPr>
          <w:lang w:val="en-AU"/>
        </w:rPr>
        <w:t xml:space="preserve"> &gt; </w:t>
      </w:r>
      <w:r w:rsidR="00146E61">
        <w:rPr>
          <w:lang w:val="en-AU"/>
        </w:rPr>
        <w:t>.</w:t>
      </w:r>
      <w:r w:rsidR="00146E61" w:rsidRPr="00286BE9">
        <w:rPr>
          <w:lang w:val="en-AU"/>
        </w:rPr>
        <w:t>05).</w:t>
      </w:r>
    </w:p>
    <w:p w14:paraId="4091C96C" w14:textId="77777777" w:rsidR="00395812" w:rsidRDefault="00395812" w:rsidP="006F682A">
      <w:pPr>
        <w:spacing w:line="276" w:lineRule="auto"/>
        <w:jc w:val="both"/>
        <w:outlineLvl w:val="2"/>
        <w:rPr>
          <w:b/>
          <w:sz w:val="28"/>
          <w:szCs w:val="28"/>
          <w:u w:val="single"/>
          <w:lang w:val="en-AU"/>
        </w:rPr>
      </w:pPr>
    </w:p>
    <w:p w14:paraId="13462FD9" w14:textId="77777777" w:rsidR="006F682A" w:rsidRPr="00E42BB8" w:rsidRDefault="006F682A" w:rsidP="006F682A">
      <w:pPr>
        <w:spacing w:line="276" w:lineRule="auto"/>
        <w:jc w:val="both"/>
        <w:outlineLvl w:val="2"/>
        <w:rPr>
          <w:lang w:val="en-AU"/>
        </w:rPr>
      </w:pPr>
      <w:r>
        <w:rPr>
          <w:noProof/>
          <w:lang w:val="en-AU"/>
          <w14:ligatures w14:val="standardContextual"/>
        </w:rPr>
        <mc:AlternateContent>
          <mc:Choice Requires="wps">
            <w:drawing>
              <wp:anchor distT="0" distB="0" distL="114300" distR="114300" simplePos="0" relativeHeight="251659264" behindDoc="0" locked="0" layoutInCell="1" allowOverlap="1" wp14:anchorId="4ECF841D" wp14:editId="0A0C3CB5">
                <wp:simplePos x="0" y="0"/>
                <wp:positionH relativeFrom="column">
                  <wp:posOffset>-18052</wp:posOffset>
                </wp:positionH>
                <wp:positionV relativeFrom="paragraph">
                  <wp:posOffset>24584</wp:posOffset>
                </wp:positionV>
                <wp:extent cx="5731328" cy="293914"/>
                <wp:effectExtent l="0" t="0" r="9525" b="11430"/>
                <wp:wrapNone/>
                <wp:docPr id="1756345954" name="Textfeld 1"/>
                <wp:cNvGraphicFramePr/>
                <a:graphic xmlns:a="http://schemas.openxmlformats.org/drawingml/2006/main">
                  <a:graphicData uri="http://schemas.microsoft.com/office/word/2010/wordprocessingShape">
                    <wps:wsp>
                      <wps:cNvSpPr txBox="1"/>
                      <wps:spPr>
                        <a:xfrm>
                          <a:off x="0" y="0"/>
                          <a:ext cx="5731328" cy="293914"/>
                        </a:xfrm>
                        <a:prstGeom prst="rect">
                          <a:avLst/>
                        </a:prstGeom>
                        <a:solidFill>
                          <a:schemeClr val="bg1">
                            <a:lumMod val="95000"/>
                          </a:schemeClr>
                        </a:solidFill>
                        <a:ln w="6350">
                          <a:solidFill>
                            <a:prstClr val="black"/>
                          </a:solidFill>
                        </a:ln>
                      </wps:spPr>
                      <wps:txbx>
                        <w:txbxContent>
                          <w:p w14:paraId="6138973C" w14:textId="1C1FEB77" w:rsidR="006F682A" w:rsidRPr="006073E0" w:rsidRDefault="00146E61" w:rsidP="006F682A">
                            <w:pPr>
                              <w:rPr>
                                <w:b/>
                                <w:bCs/>
                                <w:sz w:val="32"/>
                                <w:szCs w:val="32"/>
                              </w:rPr>
                            </w:pPr>
                            <w:r>
                              <w:rPr>
                                <w:b/>
                                <w:bCs/>
                                <w:sz w:val="28"/>
                                <w:szCs w:val="28"/>
                              </w:rPr>
                              <w:t xml:space="preserve">Supplementary </w:t>
                            </w:r>
                            <w:r w:rsidR="006F682A" w:rsidRPr="006073E0">
                              <w:rPr>
                                <w:b/>
                                <w:bCs/>
                                <w:sz w:val="28"/>
                                <w:szCs w:val="28"/>
                              </w:rPr>
                              <w:t>Methods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CF841D" id="_x0000_s1028" type="#_x0000_t202" style="position:absolute;left:0;text-align:left;margin-left:-1.4pt;margin-top:1.95pt;width:451.3pt;height:23.1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" fillcolor="#f2f2f2 [3052]" strokeweight=".5pt">
                <v:textbox>
                  <w:txbxContent>
                    <w:p w14:paraId="6138973C" w14:textId="1C1FEB77" w:rsidR="006F682A" w:rsidRPr="006073E0" w:rsidRDefault="00146E61" w:rsidP="006F682A">
                      <w:pPr>
                        <w:rPr>
                          <w:b/>
                          <w:bCs/>
                          <w:sz w:val="32"/>
                          <w:szCs w:val="32"/>
                        </w:rPr>
                      </w:pPr>
                      <w:r>
                        <w:rPr>
                          <w:b/>
                          <w:bCs/>
                          <w:sz w:val="28"/>
                          <w:szCs w:val="28"/>
                        </w:rPr>
                        <w:t xml:space="preserve">Supplementary </w:t>
                      </w:r>
                      <w:r w:rsidR="006F682A" w:rsidRPr="006073E0">
                        <w:rPr>
                          <w:b/>
                          <w:bCs/>
                          <w:sz w:val="28"/>
                          <w:szCs w:val="28"/>
                        </w:rPr>
                        <w:t>Methods</w:t>
                      </w:r>
                    </w:p>
                  </w:txbxContent>
                </v:textbox>
              </v:shape>
            </w:pict>
          </mc:Fallback>
        </mc:AlternateContent>
      </w:r>
    </w:p>
    <w:p w14:paraId="06A64E75" w14:textId="77777777" w:rsidR="006F682A" w:rsidRDefault="006F682A" w:rsidP="006F682A">
      <w:pPr>
        <w:spacing w:line="276" w:lineRule="auto"/>
        <w:jc w:val="both"/>
        <w:outlineLvl w:val="2"/>
        <w:rPr>
          <w:b/>
          <w:bCs/>
          <w:lang w:val="en-AU"/>
        </w:rPr>
      </w:pPr>
    </w:p>
    <w:p w14:paraId="351CA1F1" w14:textId="77777777" w:rsidR="006F682A" w:rsidRDefault="006F682A" w:rsidP="006F682A">
      <w:pPr>
        <w:spacing w:line="276" w:lineRule="auto"/>
        <w:jc w:val="both"/>
        <w:outlineLvl w:val="2"/>
        <w:rPr>
          <w:b/>
          <w:bCs/>
          <w:lang w:val="en-AU"/>
        </w:rPr>
      </w:pPr>
    </w:p>
    <w:p w14:paraId="267D6050" w14:textId="77777777" w:rsidR="006F682A" w:rsidRDefault="006F682A" w:rsidP="006F682A">
      <w:pPr>
        <w:spacing w:line="276" w:lineRule="auto"/>
        <w:jc w:val="both"/>
        <w:outlineLvl w:val="2"/>
        <w:rPr>
          <w:lang w:val="en-US"/>
        </w:rPr>
      </w:pPr>
      <w:r w:rsidRPr="00E42BB8">
        <w:rPr>
          <w:b/>
          <w:bCs/>
          <w:lang w:val="en-AU"/>
        </w:rPr>
        <w:t xml:space="preserve">Study Procedures: </w:t>
      </w:r>
      <w:r w:rsidRPr="00E42BB8">
        <w:rPr>
          <w:lang w:val="en-AU"/>
        </w:rPr>
        <w:t>After providing consent, all participants underwent baseline evaluations (Visit 1; day -14 to -1 prior to surgery, with day 0 being the day of electrode implantation)</w:t>
      </w:r>
      <w:r>
        <w:rPr>
          <w:lang w:val="en-AU"/>
        </w:rPr>
        <w:t xml:space="preserve">. </w:t>
      </w:r>
      <w:r w:rsidRPr="00E42BB8">
        <w:rPr>
          <w:lang w:val="en-AU"/>
        </w:rPr>
        <w:t xml:space="preserve">Clinical data were recorded in standardized case report forms. Movement Disorder Society Unified Parkinson’s Disease Rating Scale (MDS-UPDRS) Part III was assessed in the </w:t>
      </w:r>
      <w:r>
        <w:rPr>
          <w:lang w:val="en-AU"/>
        </w:rPr>
        <w:t>medication off</w:t>
      </w:r>
      <w:r w:rsidRPr="00E42BB8">
        <w:rPr>
          <w:lang w:val="en-AU"/>
        </w:rPr>
        <w:t xml:space="preserve"> state (≥12 hours after the last dopaminergic dose), while all other scales were assessed in the </w:t>
      </w:r>
      <w:r>
        <w:rPr>
          <w:lang w:val="en-AU"/>
        </w:rPr>
        <w:t>medication on</w:t>
      </w:r>
      <w:r w:rsidRPr="00E42BB8">
        <w:rPr>
          <w:lang w:val="en-AU"/>
        </w:rPr>
        <w:t xml:space="preserve"> state according to each patient’s usual medication regimen. </w:t>
      </w:r>
      <w:r>
        <w:rPr>
          <w:lang w:val="en-AU"/>
        </w:rPr>
        <w:t xml:space="preserve"> </w:t>
      </w:r>
      <w:r w:rsidRPr="00E42BB8">
        <w:rPr>
          <w:lang w:val="en-AU"/>
        </w:rPr>
        <w:t xml:space="preserve">Measures collected during Visit 1 included MDS-UPDRS Parts I–IV, </w:t>
      </w:r>
      <w:r w:rsidRPr="00FF5338">
        <w:rPr>
          <w:lang w:val="en-AU"/>
        </w:rPr>
        <w:t>Parkinson’s Disease Questionnaire-39 Summary Index (PDQ-39-SI)</w:t>
      </w:r>
      <w:r>
        <w:rPr>
          <w:lang w:val="en-AU"/>
        </w:rPr>
        <w:t>,</w:t>
      </w:r>
      <w:r w:rsidRPr="00FF5338">
        <w:rPr>
          <w:lang w:val="en-AU"/>
        </w:rPr>
        <w:t xml:space="preserve"> Beck Depression Inventory–II (BDI-II)</w:t>
      </w:r>
      <w:r>
        <w:rPr>
          <w:lang w:val="en-AU"/>
        </w:rPr>
        <w:t xml:space="preserve">, </w:t>
      </w:r>
      <w:r w:rsidRPr="00FF5338">
        <w:rPr>
          <w:lang w:val="en-AU"/>
        </w:rPr>
        <w:t>Montreal Cognitive Assessment (MoCA)</w:t>
      </w:r>
      <w:r>
        <w:rPr>
          <w:lang w:val="en-AU"/>
        </w:rPr>
        <w:t xml:space="preserve">, </w:t>
      </w:r>
      <w:r w:rsidRPr="00FF5338">
        <w:rPr>
          <w:lang w:val="en-AU"/>
        </w:rPr>
        <w:t>Hoehn and Yahr Scale (H&amp;Y) Scale</w:t>
      </w:r>
      <w:r>
        <w:rPr>
          <w:lang w:val="en-AU"/>
        </w:rPr>
        <w:t>,</w:t>
      </w:r>
      <w:r w:rsidRPr="00FF5338">
        <w:rPr>
          <w:lang w:val="en-AU"/>
        </w:rPr>
        <w:t xml:space="preserve"> Ardouin Scale</w:t>
      </w:r>
      <w:r>
        <w:rPr>
          <w:lang w:val="en-AU"/>
        </w:rPr>
        <w:t>,</w:t>
      </w:r>
      <w:r w:rsidRPr="00FF5338">
        <w:rPr>
          <w:lang w:val="en-AU"/>
        </w:rPr>
        <w:t xml:space="preserve"> Scale for Suicidal Behavior (SSEV)</w:t>
      </w:r>
      <w:r>
        <w:rPr>
          <w:lang w:val="en-AU"/>
        </w:rPr>
        <w:t>,</w:t>
      </w:r>
      <w:r w:rsidRPr="00FF5338">
        <w:rPr>
          <w:lang w:val="en-AU"/>
        </w:rPr>
        <w:t xml:space="preserve"> and Levodopa Equivalent Daily Dose (LEDD)</w:t>
      </w:r>
      <w:r w:rsidRPr="00E42BB8">
        <w:rPr>
          <w:lang w:val="en-AU"/>
        </w:rPr>
        <w:t xml:space="preserve">. All participants subsequently underwent bilateral STN-DBS electrode implantation following standard local surgical protocols, including MRI-based stereotactic planning. All patients received an Abbott Infinity™ IPG, and initial DBS programming was performed prior to discharge between day 1 and 7 according to routine clinical practice. </w:t>
      </w:r>
      <w:r w:rsidRPr="00E42BB8">
        <w:rPr>
          <w:lang w:val="en-US"/>
        </w:rPr>
        <w:t>The initial programming strategy was at the discretion of the treating clinician and could include a monopolar review, determination of side-effect thresholds, and assessment of therapeutic windows. There were no restrictions on the specific stimulation program used.</w:t>
      </w:r>
      <w:r w:rsidRPr="00D65B5B">
        <w:rPr>
          <w:lang w:val="en-US"/>
        </w:rPr>
        <w:t xml:space="preserve"> </w:t>
      </w:r>
    </w:p>
    <w:p w14:paraId="32E494A9" w14:textId="77777777" w:rsidR="006F682A" w:rsidRDefault="006F682A" w:rsidP="006F682A">
      <w:pPr>
        <w:spacing w:line="276" w:lineRule="auto"/>
        <w:jc w:val="both"/>
        <w:outlineLvl w:val="2"/>
        <w:rPr>
          <w:lang w:val="en-US"/>
        </w:rPr>
      </w:pPr>
    </w:p>
    <w:p w14:paraId="0627E8B2" w14:textId="77777777" w:rsidR="006F682A" w:rsidRDefault="006F682A" w:rsidP="006F682A">
      <w:pPr>
        <w:spacing w:line="276" w:lineRule="auto"/>
        <w:jc w:val="both"/>
        <w:outlineLvl w:val="2"/>
        <w:rPr>
          <w:lang w:val="en-US"/>
        </w:rPr>
      </w:pPr>
    </w:p>
    <w:p w14:paraId="4416AB36" w14:textId="77777777" w:rsidR="006F682A" w:rsidRDefault="006F682A" w:rsidP="006F682A">
      <w:pPr>
        <w:keepNext/>
        <w:spacing w:line="276" w:lineRule="auto"/>
        <w:jc w:val="both"/>
        <w:outlineLvl w:val="2"/>
      </w:pPr>
      <w:r>
        <w:rPr>
          <w:noProof/>
          <w:lang w:val="en-US"/>
          <w14:ligatures w14:val="standardContextual"/>
        </w:rPr>
        <w:lastRenderedPageBreak/>
        <w:drawing>
          <wp:inline distT="0" distB="0" distL="0" distR="0" wp14:anchorId="12819C03" wp14:editId="114AD1AB">
            <wp:extent cx="5707117" cy="4836753"/>
            <wp:effectExtent l="0" t="0" r="0" b="2540"/>
            <wp:docPr id="2068235145" name="Grafik 4" descr="Ein Bild, das Text, Screenshot, Diagramm,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235145" name="Grafik 4" descr="Ein Bild, das Text, Screenshot, Diagramm, Schrift enthält.&#10;&#10;KI-generierte Inhalte können fehlerhaft sein."/>
                    <pic:cNvPicPr/>
                  </pic:nvPicPr>
                  <pic:blipFill rotWithShape="1">
                    <a:blip r:embed="rId10" cstate="print">
                      <a:extLst>
                        <a:ext uri="{28A0092B-C50C-407E-A947-70E740481C1C}">
                          <a14:useLocalDpi xmlns:a14="http://schemas.microsoft.com/office/drawing/2010/main" val="0"/>
                        </a:ext>
                      </a:extLst>
                    </a:blip>
                    <a:srcRect l="6902" r="10505"/>
                    <a:stretch>
                      <a:fillRect/>
                    </a:stretch>
                  </pic:blipFill>
                  <pic:spPr bwMode="auto">
                    <a:xfrm>
                      <a:off x="0" y="0"/>
                      <a:ext cx="5712904" cy="4841658"/>
                    </a:xfrm>
                    <a:prstGeom prst="rect">
                      <a:avLst/>
                    </a:prstGeom>
                    <a:ln>
                      <a:noFill/>
                    </a:ln>
                    <a:extLst>
                      <a:ext uri="{53640926-AAD7-44D8-BBD7-CCE9431645EC}">
                        <a14:shadowObscured xmlns:a14="http://schemas.microsoft.com/office/drawing/2010/main"/>
                      </a:ext>
                    </a:extLst>
                  </pic:spPr>
                </pic:pic>
              </a:graphicData>
            </a:graphic>
          </wp:inline>
        </w:drawing>
      </w:r>
    </w:p>
    <w:p w14:paraId="34B31973" w14:textId="77777777" w:rsidR="006F682A" w:rsidRPr="00272486" w:rsidRDefault="006F682A" w:rsidP="006F682A">
      <w:pPr>
        <w:spacing w:line="276" w:lineRule="auto"/>
        <w:jc w:val="both"/>
        <w:outlineLvl w:val="2"/>
        <w:rPr>
          <w:b/>
          <w:bCs/>
          <w:color w:val="000000" w:themeColor="text1"/>
          <w:sz w:val="20"/>
          <w:szCs w:val="20"/>
        </w:rPr>
      </w:pPr>
      <w:r w:rsidRPr="00272486">
        <w:rPr>
          <w:b/>
          <w:bCs/>
          <w:color w:val="000000" w:themeColor="text1"/>
          <w:sz w:val="20"/>
          <w:szCs w:val="20"/>
        </w:rPr>
        <w:t>Schematic overview of the study timeline and workflow in both treatment groups.</w:t>
      </w:r>
    </w:p>
    <w:p w14:paraId="55E41AA8" w14:textId="77777777" w:rsidR="006F682A" w:rsidRDefault="006F682A" w:rsidP="006F682A">
      <w:pPr>
        <w:spacing w:line="276" w:lineRule="auto"/>
        <w:jc w:val="both"/>
        <w:outlineLvl w:val="2"/>
        <w:rPr>
          <w:lang w:val="en-US"/>
        </w:rPr>
      </w:pPr>
    </w:p>
    <w:p w14:paraId="2ADF7C9E" w14:textId="56E7A9FF" w:rsidR="006F682A" w:rsidRPr="00E42BB8" w:rsidRDefault="006F682A" w:rsidP="006F682A">
      <w:pPr>
        <w:spacing w:line="276" w:lineRule="auto"/>
        <w:ind w:firstLine="708"/>
        <w:jc w:val="both"/>
        <w:outlineLvl w:val="2"/>
        <w:rPr>
          <w:lang w:val="en-AU"/>
        </w:rPr>
      </w:pPr>
      <w:r w:rsidRPr="00E42BB8">
        <w:rPr>
          <w:lang w:val="en-AU"/>
        </w:rPr>
        <w:t>Following initial programming, participants were randomly assigned to either the standard of care (SoC) or the remote group</w:t>
      </w:r>
      <w:r>
        <w:rPr>
          <w:lang w:val="en-AU"/>
        </w:rPr>
        <w:t xml:space="preserve"> using a block randomization with allocation concealment. </w:t>
      </w:r>
      <w:r w:rsidRPr="005C3EF0">
        <w:rPr>
          <w:lang w:val="en-AU"/>
        </w:rPr>
        <w:t xml:space="preserve">The personnel who enrolled participants to the interventions had no access to the random allocation sequence. </w:t>
      </w:r>
      <w:r w:rsidRPr="00E42BB8">
        <w:rPr>
          <w:lang w:val="en-AU"/>
        </w:rPr>
        <w:t>For participants randomized to the remote group, a VAS-based monopolar review was conducted between the postoperative day 1 and 7 prior to discharge as described previously.</w:t>
      </w:r>
      <w:sdt>
        <w:sdtPr>
          <w:rPr>
            <w:lang w:val="en-AU"/>
          </w:rPr>
          <w:alias w:val="SmartCite Citation"/>
          <w:tag w:val="e1a7da00-c597-49e3-9997-bbfc1b33b542:410976ce-7846-4ed2-9672-2cac8c392dd9,e1a7da00-c597-49e3-9997-bbfc1b33b542:2ab01c09-11c2-407c-b73f-c94d269178a1,e1a7da00-c597-49e3-9997-bbfc1b33b542:bbf75b6b-3cf1-4a34-b608-a8b4e84346f4,e1a7da00-c597-49e3-9997-bbfc1b33b542:130501d6-daa4-4bd9-982c-8fbff5e1383a+"/>
          <w:id w:val="-634334579"/>
          <w:placeholder>
            <w:docPart w:val="1E22E012CA665E4090B381537C6E04F7"/>
          </w:placeholder>
        </w:sdtPr>
        <w:sdtContent>
          <w:r w:rsidR="00395812" w:rsidRPr="00395812">
            <w:rPr>
              <w:vertAlign w:val="superscript"/>
            </w:rPr>
            <w:t>1–4</w:t>
          </w:r>
        </w:sdtContent>
      </w:sdt>
      <w:r w:rsidRPr="00E42BB8">
        <w:rPr>
          <w:lang w:val="en-AU"/>
        </w:rPr>
        <w:t xml:space="preserve"> In brief, different stimulation amplitudes (ranging from 0.5 to 3.0 mA, including a 0-mA control) were applied individually to each contact and for each hemisphere separately. The sequence of contact-amplitude combinations was randomized using a predefined list to minimize habituation effects. Following each adjustment, patients were asked to rate the overall quality of the DBS effect on a scale from 0 to 10, where 0 indicated "very bad" and 10 indicated "very good," without further elaboration. Intermediate scores were left to the patients' interpretation, based purely on their subjective perception of the stimulation effect. Patients were instructed to provide a rating within 10–30 seconds, a time window deemed sufficient for symptom modulation to occur.</w:t>
      </w:r>
      <w:sdt>
        <w:sdtPr>
          <w:rPr>
            <w:lang w:val="en-AU"/>
          </w:rPr>
          <w:alias w:val="SmartCite Citation"/>
          <w:tag w:val="e1a7da00-c597-49e3-9997-bbfc1b33b542:ca0e7cb3-dcbe-49a5-8c3a-ecfef8999c14+"/>
          <w:id w:val="-845861874"/>
          <w:placeholder>
            <w:docPart w:val="9A95DCB301B6DC4A80B2E1CB20F48D50"/>
          </w:placeholder>
        </w:sdtPr>
        <w:sdtContent>
          <w:r w:rsidR="00395812" w:rsidRPr="00395812">
            <w:rPr>
              <w:vertAlign w:val="superscript"/>
            </w:rPr>
            <w:t>5</w:t>
          </w:r>
        </w:sdtContent>
      </w:sdt>
      <w:r w:rsidRPr="00E42BB8">
        <w:rPr>
          <w:lang w:val="en-AU"/>
        </w:rPr>
        <w:t xml:space="preserve">  The corresponding VAS score was recorded immediately after each setting. Throughout the procedure, patients were blinded to the specific stimulation settings. If intolerable side effects emerged, the corresponding contact was excluded from further testing at higher amplitudes. After each stimulation setting, a 60-second washout period was maintained before the next parameter combination was applied. Once one hemisphere was completed, the same procedure was repeated for the contralateral </w:t>
      </w:r>
      <w:r w:rsidRPr="00E42BB8">
        <w:rPr>
          <w:lang w:val="en-AU"/>
        </w:rPr>
        <w:lastRenderedPageBreak/>
        <w:t>side. The overall VAS-based adjustment pro-cess required approximately 45 minutes per electrode per patient.</w:t>
      </w:r>
    </w:p>
    <w:p w14:paraId="5ABC8E37" w14:textId="3FE03A1A" w:rsidR="006F682A" w:rsidRPr="00E42BB8" w:rsidRDefault="006F682A" w:rsidP="006F682A">
      <w:pPr>
        <w:spacing w:line="276" w:lineRule="auto"/>
        <w:ind w:firstLine="708"/>
        <w:jc w:val="both"/>
        <w:outlineLvl w:val="2"/>
        <w:rPr>
          <w:lang w:val="en-AU"/>
        </w:rPr>
      </w:pPr>
      <w:r w:rsidRPr="00E42BB8">
        <w:rPr>
          <w:lang w:val="en-AU"/>
        </w:rPr>
        <w:t xml:space="preserve">After discharge from the hospital, patients in the SoC group received conventional in-person programming by their treating physician between the postoperative day 7 and 90. Monopolar reviews, MRI guidance, session frequency, and duration were at the physician’s discretion.  Patients in the remote group received programming via the Abbott NeuroSphere™ Virtual Clinic through secure video calls using the patient’s smartphone or an Abbott-provided device between the postoperative day 7 and 90. </w:t>
      </w:r>
      <w:r w:rsidRPr="00875791">
        <w:rPr>
          <w:lang w:val="en-AU"/>
        </w:rPr>
        <w:t xml:space="preserve">No neurological examinations were conducted during these sessions; stimulation parameters </w:t>
      </w:r>
      <w:r w:rsidR="00B827D3">
        <w:rPr>
          <w:lang w:val="en-AU"/>
        </w:rPr>
        <w:t xml:space="preserve">including the amplitude, frequency, pulse width or contact selection or configuration </w:t>
      </w:r>
      <w:r w:rsidRPr="00875791">
        <w:rPr>
          <w:lang w:val="en-AU"/>
        </w:rPr>
        <w:t>were adjusted exclusively according to patient-reported feedback. At the clinician’s discretion, immediate VAS-based feedback in response to changes in stimulation parameters and the results from VAS monopolar reviews conducted prior to discharge could also be incorporated b</w:t>
      </w:r>
      <w:r w:rsidRPr="00E42BB8">
        <w:rPr>
          <w:lang w:val="en-AU"/>
        </w:rPr>
        <w:t>ut were not mandatory. Programming and consultation schedules in both groups were determined by perceived need, allowing clinicians or patients to request sessions based on availability.</w:t>
      </w:r>
    </w:p>
    <w:p w14:paraId="0EA8C580" w14:textId="77777777" w:rsidR="006F682A" w:rsidRPr="00E42BB8" w:rsidRDefault="006F682A" w:rsidP="006F682A">
      <w:pPr>
        <w:spacing w:line="276" w:lineRule="auto"/>
        <w:ind w:firstLine="708"/>
        <w:jc w:val="both"/>
        <w:outlineLvl w:val="2"/>
        <w:rPr>
          <w:lang w:val="en-AU"/>
        </w:rPr>
      </w:pPr>
      <w:r w:rsidRPr="00E42BB8">
        <w:rPr>
          <w:lang w:val="en-AU"/>
        </w:rPr>
        <w:t xml:space="preserve">At 90 days post-implantation, all participants returned for a second study visit. All clinical assessments were repeated in the </w:t>
      </w:r>
      <w:r>
        <w:rPr>
          <w:lang w:val="en-AU"/>
        </w:rPr>
        <w:t>medication-on/stimulation-on</w:t>
      </w:r>
      <w:r w:rsidRPr="00E42BB8">
        <w:rPr>
          <w:lang w:val="en-AU"/>
        </w:rPr>
        <w:t xml:space="preserve"> state by the same examiner whenever possible. Medication adjustments, physiotherapy, and rehabilitation were permitted but not included in outcome analyses.</w:t>
      </w:r>
    </w:p>
    <w:p w14:paraId="7BAD7A17" w14:textId="77777777" w:rsidR="006F682A" w:rsidRPr="00E42BB8" w:rsidRDefault="006F682A" w:rsidP="006F682A">
      <w:pPr>
        <w:spacing w:line="276" w:lineRule="auto"/>
        <w:jc w:val="both"/>
        <w:rPr>
          <w:b/>
          <w:lang w:val="en-AU"/>
        </w:rPr>
      </w:pPr>
    </w:p>
    <w:p w14:paraId="4931C635" w14:textId="37E6EEF6" w:rsidR="006F682A" w:rsidRPr="00E42BB8" w:rsidRDefault="006F682A" w:rsidP="006F682A">
      <w:pPr>
        <w:spacing w:line="276" w:lineRule="auto"/>
        <w:jc w:val="both"/>
        <w:rPr>
          <w:lang w:val="en-AU"/>
        </w:rPr>
      </w:pPr>
      <w:r w:rsidRPr="00E42BB8">
        <w:rPr>
          <w:b/>
          <w:lang w:val="en-AU"/>
        </w:rPr>
        <w:t xml:space="preserve">Statistical Analysis: </w:t>
      </w:r>
      <w:r w:rsidRPr="00E42BB8">
        <w:rPr>
          <w:lang w:val="en-AU"/>
        </w:rPr>
        <w:t xml:space="preserve">This trial was designed and powered to assess the non-inferiority of remote DBS programming compared with SoC programming. A non-inferiority margin of </w:t>
      </w:r>
      <w:r w:rsidRPr="00E42BB8">
        <w:rPr>
          <w:rStyle w:val="Fett"/>
          <w:b w:val="0"/>
          <w:bCs w:val="0"/>
          <w:lang w:val="en-AU"/>
        </w:rPr>
        <w:t>5 points</w:t>
      </w:r>
      <w:r w:rsidRPr="00E42BB8">
        <w:rPr>
          <w:lang w:val="en-AU"/>
        </w:rPr>
        <w:t xml:space="preserve"> on the MDS-UPDRS Part III was prespecified and justified on both clinical and statistical grounds. Clinically, a 5-point difference represents the lower bound of a minimal clinically important difference in motor function for patients with Parkinson’s disease and is considered meaningful in routine clinical practice.</w:t>
      </w:r>
      <w:sdt>
        <w:sdtPr>
          <w:rPr>
            <w:lang w:val="en-AU"/>
          </w:rPr>
          <w:alias w:val="SmartCite Citation"/>
          <w:tag w:val="e1a7da00-c597-49e3-9997-bbfc1b33b542:eac29917-7e8d-4148-b4b3-6088f9e50d05+"/>
          <w:id w:val="-1423185103"/>
          <w:placeholder>
            <w:docPart w:val="ECDA5A682EB79E449F6B4ADDC18B84AA"/>
          </w:placeholder>
        </w:sdtPr>
        <w:sdtContent>
          <w:r w:rsidR="00395812" w:rsidRPr="00395812">
            <w:rPr>
              <w:vertAlign w:val="superscript"/>
            </w:rPr>
            <w:t>6</w:t>
          </w:r>
        </w:sdtContent>
      </w:sdt>
      <w:r w:rsidRPr="00E42BB8">
        <w:rPr>
          <w:lang w:val="en-AU"/>
        </w:rPr>
        <w:t xml:space="preserve"> Statistically, previous DBS studies have demonstrated a mean improvement of approximately </w:t>
      </w:r>
      <w:r w:rsidRPr="00E42BB8">
        <w:rPr>
          <w:rStyle w:val="Fett"/>
          <w:b w:val="0"/>
          <w:bCs w:val="0"/>
          <w:lang w:val="en-AU"/>
        </w:rPr>
        <w:t>30%</w:t>
      </w:r>
      <w:r w:rsidRPr="00E42BB8">
        <w:rPr>
          <w:lang w:val="en-AU"/>
        </w:rPr>
        <w:t xml:space="preserve"> in MDS-UPDRS Part III scores with a standard deviation of approximately </w:t>
      </w:r>
      <w:r w:rsidRPr="00E42BB8">
        <w:rPr>
          <w:rStyle w:val="Fett"/>
          <w:b w:val="0"/>
          <w:bCs w:val="0"/>
          <w:lang w:val="en-AU"/>
        </w:rPr>
        <w:t>6 points</w:t>
      </w:r>
      <w:r w:rsidRPr="00E42BB8">
        <w:rPr>
          <w:bCs/>
          <w:lang w:val="en-AU"/>
        </w:rPr>
        <w:t>,</w:t>
      </w:r>
      <w:sdt>
        <w:sdtPr>
          <w:rPr>
            <w:bCs/>
            <w:lang w:val="en-AU"/>
          </w:rPr>
          <w:alias w:val="SmartCite Citation"/>
          <w:tag w:val="e1a7da00-c597-49e3-9997-bbfc1b33b542:22220345-881a-4780-8061-ed4e3f9a5c22+"/>
          <w:id w:val="731116068"/>
          <w:placeholder>
            <w:docPart w:val="CF082C6917F73D418E20B27A325BBE79"/>
          </w:placeholder>
        </w:sdtPr>
        <w:sdtContent>
          <w:r w:rsidR="00395812" w:rsidRPr="00395812">
            <w:rPr>
              <w:vertAlign w:val="superscript"/>
            </w:rPr>
            <w:t>7</w:t>
          </w:r>
        </w:sdtContent>
      </w:sdt>
      <w:r w:rsidRPr="00E42BB8">
        <w:rPr>
          <w:lang w:val="en-AU"/>
        </w:rPr>
        <w:t xml:space="preserve"> providing a well-established reference effect. The selected margin was therefore chosen to preserve a substantial proportion of the known therapeutic benefit of DBS while excluding clinically relevant loss of efficacy, in accordance with regulatory guidance on non-inferiority margin selection. Assuming a standard deviation of 6 points</w:t>
      </w:r>
      <w:sdt>
        <w:sdtPr>
          <w:rPr>
            <w:lang w:val="en-AU"/>
          </w:rPr>
          <w:alias w:val="SmartCite Citation"/>
          <w:tag w:val="e1a7da00-c597-49e3-9997-bbfc1b33b542:22220345-881a-4780-8061-ed4e3f9a5c22+"/>
          <w:id w:val="-1973587476"/>
          <w:placeholder>
            <w:docPart w:val="A730CC2CEF417A4DAAB79940CABB269A"/>
          </w:placeholder>
        </w:sdtPr>
        <w:sdtContent>
          <w:r w:rsidR="00395812" w:rsidRPr="00395812">
            <w:rPr>
              <w:vertAlign w:val="superscript"/>
            </w:rPr>
            <w:t>7</w:t>
          </w:r>
        </w:sdtContent>
      </w:sdt>
      <w:r w:rsidRPr="00E42BB8">
        <w:rPr>
          <w:lang w:val="en-AU"/>
        </w:rPr>
        <w:t xml:space="preserve"> and a dropout rate of ~10%, we estimated that a sample size of 23 evaluable participants per group would provide 80% power to detect non-inferiority at a two-sided alpha of 0·05 (analysis based on: </w:t>
      </w:r>
      <w:r w:rsidRPr="002B17EC">
        <w:rPr>
          <w:color w:val="000000" w:themeColor="text1"/>
          <w:u w:val="single"/>
          <w:lang w:val="en-AU"/>
        </w:rPr>
        <w:t>http://powerandsamplesize.com/Calculators/Compare-2-Means/2-Sample-Non-Inferiority-or-Superiority</w:t>
      </w:r>
      <w:r w:rsidRPr="00E42BB8">
        <w:rPr>
          <w:lang w:val="en-AU"/>
        </w:rPr>
        <w:t>). To account for attrition, 52 patients were enrolled.</w:t>
      </w:r>
    </w:p>
    <w:p w14:paraId="158DB0DB" w14:textId="5996A971" w:rsidR="006F682A" w:rsidRPr="002B17EC" w:rsidRDefault="006F682A" w:rsidP="006F682A">
      <w:pPr>
        <w:spacing w:line="276" w:lineRule="auto"/>
        <w:ind w:firstLine="708"/>
        <w:jc w:val="both"/>
        <w:outlineLvl w:val="2"/>
        <w:rPr>
          <w:lang w:val="en-US"/>
        </w:rPr>
      </w:pPr>
      <w:r w:rsidRPr="00E42BB8">
        <w:rPr>
          <w:lang w:val="en-AU"/>
        </w:rPr>
        <w:t xml:space="preserve">The primary outcome — the MDS-UPDRS Part III score at 3 months in the </w:t>
      </w:r>
      <w:r>
        <w:rPr>
          <w:lang w:val="en-AU"/>
        </w:rPr>
        <w:t>medication-on/stimulation-on state</w:t>
      </w:r>
      <w:r w:rsidRPr="00E42BB8">
        <w:rPr>
          <w:lang w:val="en-AU"/>
        </w:rPr>
        <w:t xml:space="preserve">— was analysed </w:t>
      </w:r>
      <w:r w:rsidRPr="002B17EC">
        <w:rPr>
          <w:lang w:val="en-US"/>
        </w:rPr>
        <w:t xml:space="preserve">using the Mann–Whitney U test, and non-inferiority was assessed by computing a 95% confidence interval (CI) around the between-group (SoC vs remote) difference in median change scores, </w:t>
      </w:r>
      <w:r w:rsidRPr="002B17EC">
        <w:rPr>
          <w:color w:val="000000"/>
          <w:lang w:val="en-US"/>
        </w:rPr>
        <w:t>consistent with the non-parametric analysis framework and the distributional characteristics of the outcome.</w:t>
      </w:r>
      <w:r w:rsidRPr="002B17EC">
        <w:rPr>
          <w:lang w:val="en-US"/>
        </w:rPr>
        <w:t xml:space="preserve"> Confidence intervals were generated using bootstrap resampling (n = 5000) with bias-corrected and accelerated (BCa) intervals,</w:t>
      </w:r>
      <w:sdt>
        <w:sdtPr>
          <w:rPr>
            <w:lang w:val="en-US"/>
          </w:rPr>
          <w:alias w:val="SmartCite Citation"/>
          <w:tag w:val="e1a7da00-c597-49e3-9997-bbfc1b33b542:b6c5e70b-2b42-4e61-8fcd-73110538b6f2+"/>
          <w:id w:val="-667396243"/>
          <w:placeholder>
            <w:docPart w:val="181236D211E7B945B34AF3699107F7A7"/>
          </w:placeholder>
        </w:sdtPr>
        <w:sdtContent>
          <w:r w:rsidR="00395812" w:rsidRPr="00395812">
            <w:rPr>
              <w:vertAlign w:val="superscript"/>
            </w:rPr>
            <w:t>8</w:t>
          </w:r>
        </w:sdtContent>
      </w:sdt>
      <w:r w:rsidRPr="002B17EC">
        <w:rPr>
          <w:lang w:val="en-US"/>
        </w:rPr>
        <w:t xml:space="preserve"> implemented via the Estimation Stats platform (</w:t>
      </w:r>
      <w:r w:rsidRPr="002B17EC">
        <w:rPr>
          <w:u w:val="single"/>
          <w:lang w:val="en-US"/>
        </w:rPr>
        <w:t>www.estimationstats.com</w:t>
      </w:r>
      <w:r w:rsidRPr="002B17EC">
        <w:rPr>
          <w:lang w:val="en-US"/>
        </w:rPr>
        <w:t xml:space="preserve">) and confirmed via the </w:t>
      </w:r>
      <w:r w:rsidRPr="002B17EC">
        <w:rPr>
          <w:color w:val="000000"/>
          <w:lang w:val="en-US"/>
        </w:rPr>
        <w:t>SURVEYSELECT procedure of the Statistical Analysis System SAS (release 9.04.01M6P1107201) for Linux (SAS Institute Inc., Cary, NC, USA) using n = 100.000 replicates.</w:t>
      </w:r>
      <w:r w:rsidRPr="002B17EC">
        <w:rPr>
          <w:lang w:val="en-US"/>
        </w:rPr>
        <w:t xml:space="preserve"> </w:t>
      </w:r>
    </w:p>
    <w:p w14:paraId="77C66D9D" w14:textId="77777777" w:rsidR="006F682A" w:rsidRPr="002B17EC" w:rsidRDefault="006F682A" w:rsidP="006F682A">
      <w:pPr>
        <w:spacing w:line="276" w:lineRule="auto"/>
        <w:ind w:firstLine="708"/>
        <w:jc w:val="both"/>
        <w:outlineLvl w:val="2"/>
        <w:rPr>
          <w:lang w:val="en-US"/>
        </w:rPr>
      </w:pPr>
      <w:r w:rsidRPr="002B17EC">
        <w:rPr>
          <w:color w:val="000000"/>
          <w:lang w:val="en-US"/>
        </w:rPr>
        <w:lastRenderedPageBreak/>
        <w:t xml:space="preserve">In line with the ICH E9(R1) estimand framework, the primary analysis was defined with respect to a prespecified estimand reflecting the effect of remote versus SoC DBS programming on motor outcomes. The primary estimand targeted a strategy-based (per-protocol; PP) effect, estimating the treatment difference in patients who adhered to the assigned programming strategy without major protocol deviations or rescue interventions. Intercurrent events, including crossover to in-person programming, surgical revision, or device-related complications necessitating withdrawal from the assigned strategy, were handled through exclusion from the PP population. A supportive intention-to-treat (ITT) analysis addressed a treatment policy estimand, reflecting the effect of treatment assignment regardless of intercurrent events. In this analysis, all randomized participants were analyzed according to their original group assignment. </w:t>
      </w:r>
      <w:r w:rsidRPr="002B17EC">
        <w:rPr>
          <w:lang w:val="en-US"/>
        </w:rPr>
        <w:t>Missing 3-month MDS-UPDRS Part III outcomes were conservatively imputed using the worst observed 3-month MDS-UPDRS Part III score in the remote group (28 pts) and the best score in the SoC group (0 pts).</w:t>
      </w:r>
    </w:p>
    <w:p w14:paraId="126818BF" w14:textId="77777777" w:rsidR="006F682A" w:rsidRPr="00E42BB8" w:rsidRDefault="006F682A" w:rsidP="006F682A">
      <w:pPr>
        <w:spacing w:line="276" w:lineRule="auto"/>
        <w:ind w:firstLine="708"/>
        <w:jc w:val="both"/>
        <w:outlineLvl w:val="2"/>
        <w:rPr>
          <w:lang w:val="en-US"/>
        </w:rPr>
      </w:pPr>
      <w:r w:rsidRPr="00E42BB8">
        <w:rPr>
          <w:lang w:val="en-US"/>
        </w:rPr>
        <w:t>To evaluate whether baseline differences in age and motor severity influenced 3-month motor outcomes, we conducted adjusted analyses in the ITT population as sensitivity analyses. Multivariable linear regression models were specified with 3-month MDS-UPDRS Part III score (</w:t>
      </w:r>
      <w:r>
        <w:rPr>
          <w:lang w:val="en-US"/>
        </w:rPr>
        <w:t>medication-on/stimulation-on</w:t>
      </w:r>
      <w:r w:rsidRPr="00E42BB8">
        <w:rPr>
          <w:lang w:val="en-US"/>
        </w:rPr>
        <w:t xml:space="preserve">) as the dependent variable and treatment group (remote programming vs </w:t>
      </w:r>
      <w:r>
        <w:rPr>
          <w:lang w:val="en-US"/>
        </w:rPr>
        <w:t>SoC</w:t>
      </w:r>
      <w:r w:rsidRPr="00E42BB8">
        <w:rPr>
          <w:lang w:val="en-US"/>
        </w:rPr>
        <w:t>), age, and baseline MDS-UPDRS Part III score (</w:t>
      </w:r>
      <w:r>
        <w:rPr>
          <w:lang w:val="en-US"/>
        </w:rPr>
        <w:t>medication-off</w:t>
      </w:r>
      <w:r w:rsidRPr="00E42BB8">
        <w:rPr>
          <w:lang w:val="en-US"/>
        </w:rPr>
        <w:t>) as independent variables. To assess potential effect modification, interaction terms between treatment group and age and between treatment group and baseline motor severity were included in an initial model. Model fit was evaluated using the coefficient of determination (R²), and statistical significance was assessed using two-sided tests with an α level of .05.</w:t>
      </w:r>
    </w:p>
    <w:p w14:paraId="3E8A22D7" w14:textId="77777777" w:rsidR="006F682A" w:rsidRPr="00E42BB8" w:rsidRDefault="006F682A" w:rsidP="006F682A">
      <w:pPr>
        <w:spacing w:line="276" w:lineRule="auto"/>
        <w:ind w:firstLine="708"/>
        <w:jc w:val="both"/>
        <w:outlineLvl w:val="2"/>
        <w:rPr>
          <w:lang w:val="en-US"/>
        </w:rPr>
      </w:pPr>
      <w:r w:rsidRPr="00E42BB8">
        <w:rPr>
          <w:lang w:val="en-US"/>
        </w:rPr>
        <w:t>As a complementary approach, we performed an analysis of covariance (ANCOVA), which is mathematically equivalent to multivariable linear regression, treating treatment group as the primary factor of interest and adjusting for age and baseline MDS-UPDRS Part III score as covariates. These analyses were intended to assess the robustness of the treatment effect to adjustment for baseline imbalances rather than to establish causal relationships between covariates and outcome. Given the modest sample size, adjusted analyses were interpreted as sensitivity analyses, and absence of statistical significance was not taken to imply absence of association. PP adjusted analyses were conducted as complete-case analyses, including only participants with available baseline MDS-UPDRS Part III score, age, and 3-month MDS-UPDRS Part III outcome, and were used solely as supportive analyses. No imputation was applied in PP regression models. All adjusted analyses were prespecified as secondary or sensitivity analyses and were not used as the basis for the primary non-inferiority conclusion, which relied on unadjusted ITT and PP analyses.</w:t>
      </w:r>
    </w:p>
    <w:p w14:paraId="54676892" w14:textId="77777777" w:rsidR="006F682A" w:rsidRPr="00E42BB8" w:rsidRDefault="006F682A" w:rsidP="006F682A">
      <w:pPr>
        <w:spacing w:line="276" w:lineRule="auto"/>
        <w:ind w:firstLine="708"/>
        <w:jc w:val="both"/>
        <w:outlineLvl w:val="2"/>
        <w:rPr>
          <w:lang w:val="en-US"/>
        </w:rPr>
      </w:pPr>
      <w:r w:rsidRPr="00E42BB8">
        <w:rPr>
          <w:lang w:val="en-AU"/>
        </w:rPr>
        <w:t xml:space="preserve">Secondary outcomes were also assessed using Mann–Whitney U tests in the PP population, compatible with ordinal data. Changes from baseline were calculated within each group, and between-group comparisons were made on the change scores. </w:t>
      </w:r>
      <w:r w:rsidRPr="00E42BB8">
        <w:rPr>
          <w:lang w:val="en-US"/>
        </w:rPr>
        <w:t xml:space="preserve">Effect sizes for selected secondary outcomes were reported descriptively to aid interpretation, including Hodges–Lehmann median differences and rank-biserial </w:t>
      </w:r>
      <w:r w:rsidRPr="00E42BB8">
        <w:rPr>
          <w:rStyle w:val="Hervorhebung"/>
          <w:i w:val="0"/>
          <w:lang w:val="en-US"/>
        </w:rPr>
        <w:t>r</w:t>
      </w:r>
      <w:r w:rsidRPr="00E42BB8">
        <w:rPr>
          <w:lang w:val="en-US"/>
        </w:rPr>
        <w:t xml:space="preserve"> for non-</w:t>
      </w:r>
      <w:r w:rsidRPr="005D58A9">
        <w:rPr>
          <w:lang w:val="en-US"/>
        </w:rPr>
        <w:t>parametric comparisons; no adjustment for multiple testing was applied to secondary outcomes. Some outcomes had missing data at baseline and/or at the 3-month follow-up. Analyses for the secondary outcomes were conducted using an available-case approach for each outcome, including all participants with available data for the respective variable and time point. Changes from baseline were calculated only for participants with data available at both ti</w:t>
      </w:r>
      <w:r w:rsidRPr="00E42BB8">
        <w:rPr>
          <w:lang w:val="en-US"/>
        </w:rPr>
        <w:t xml:space="preserve">me points. Sample sizes therefore </w:t>
      </w:r>
      <w:r w:rsidRPr="00E42BB8">
        <w:rPr>
          <w:lang w:val="en-US"/>
        </w:rPr>
        <w:lastRenderedPageBreak/>
        <w:t xml:space="preserve">vary slightly across analyses and are reported for each outcome in the main manuscript </w:t>
      </w:r>
      <w:r w:rsidRPr="000E006B">
        <w:rPr>
          <w:lang w:val="en-US"/>
        </w:rPr>
        <w:t>(Table 2)</w:t>
      </w:r>
      <w:r w:rsidRPr="00E42BB8">
        <w:rPr>
          <w:lang w:val="en-US"/>
        </w:rPr>
        <w:t>.</w:t>
      </w:r>
      <w:r w:rsidRPr="00E42BB8">
        <w:rPr>
          <w:b/>
          <w:bCs/>
          <w:lang w:val="en-US"/>
        </w:rPr>
        <w:t xml:space="preserve"> </w:t>
      </w:r>
      <w:r w:rsidRPr="00E42BB8">
        <w:rPr>
          <w:lang w:val="en-US"/>
        </w:rPr>
        <w:t>Missing data were not imputed</w:t>
      </w:r>
      <w:r>
        <w:rPr>
          <w:lang w:val="en-US"/>
        </w:rPr>
        <w:t>, and no adjustment for multiple testing was made.</w:t>
      </w:r>
    </w:p>
    <w:p w14:paraId="1E239A68" w14:textId="508BAC93" w:rsidR="006F682A" w:rsidRPr="00E42BB8" w:rsidRDefault="006F682A" w:rsidP="006F682A">
      <w:pPr>
        <w:spacing w:line="276" w:lineRule="auto"/>
        <w:ind w:firstLine="708"/>
        <w:jc w:val="both"/>
        <w:outlineLvl w:val="2"/>
        <w:rPr>
          <w:lang w:val="en-AU"/>
        </w:rPr>
      </w:pPr>
      <w:r w:rsidRPr="00E42BB8">
        <w:rPr>
          <w:lang w:val="en-AU"/>
        </w:rPr>
        <w:t>Exploratory subgroup analyses were performed to assess the potential moderating effect of age (&lt;60 vs ≥60 years), baseline cognitive status (MoCA &lt;25 vs ≥25), motor severity (baseline MDS-UPDRS Part III &lt;35 vs ≥ 35 pts)</w:t>
      </w:r>
      <w:r>
        <w:rPr>
          <w:lang w:val="en-AU"/>
        </w:rPr>
        <w:t>,</w:t>
      </w:r>
      <w:sdt>
        <w:sdtPr>
          <w:rPr>
            <w:lang w:val="en-AU"/>
          </w:rPr>
          <w:alias w:val="SmartCite Citation"/>
          <w:tag w:val="e1a7da00-c597-49e3-9997-bbfc1b33b542:ce73259c-fefb-4eb5-b27a-aa34465aa07b+"/>
          <w:id w:val="1106617084"/>
          <w:placeholder>
            <w:docPart w:val="E60ED0F6188C7B4B865B6324EAF4B008"/>
          </w:placeholder>
        </w:sdtPr>
        <w:sdtContent>
          <w:r w:rsidR="00395812" w:rsidRPr="00395812">
            <w:rPr>
              <w:vertAlign w:val="superscript"/>
            </w:rPr>
            <w:t>9</w:t>
          </w:r>
        </w:sdtContent>
      </w:sdt>
      <w:r w:rsidRPr="00E42BB8">
        <w:rPr>
          <w:lang w:val="en-AU"/>
        </w:rPr>
        <w:t xml:space="preserve">  and medication dose (LEDD &lt; 1000 vs ≥ 1000 mg/d). </w:t>
      </w:r>
      <w:r w:rsidR="00F13D6B" w:rsidRPr="00F13D6B">
        <w:rPr>
          <w:lang w:val="en-AU"/>
        </w:rPr>
        <w:t xml:space="preserve">Subgroup thresholds were chosen based on commonly used clinical cut-offs in </w:t>
      </w:r>
      <w:r w:rsidR="00F13D6B">
        <w:rPr>
          <w:lang w:val="en-AU"/>
        </w:rPr>
        <w:t>PD research</w:t>
      </w:r>
      <w:r w:rsidR="00F13D6B" w:rsidRPr="00F13D6B">
        <w:rPr>
          <w:lang w:val="en-AU"/>
        </w:rPr>
        <w:t>, including established MoCA thresholds for cognitive impairment and clinically meaningful categories of age, motor severity, and dopaminergic medication exposure.</w:t>
      </w:r>
      <w:r w:rsidR="00F13D6B">
        <w:rPr>
          <w:lang w:val="en-AU"/>
        </w:rPr>
        <w:t xml:space="preserve"> </w:t>
      </w:r>
      <w:r w:rsidRPr="00E42BB8">
        <w:rPr>
          <w:lang w:val="en-US"/>
        </w:rPr>
        <w:t>These analyses were exploratory, not prespecified, and no adjustment for multiple comparisons was applied. For each subgroup, between-group differences</w:t>
      </w:r>
      <w:r w:rsidRPr="00E42BB8">
        <w:rPr>
          <w:lang w:val="en-AU"/>
        </w:rPr>
        <w:t xml:space="preserve"> in the primary outcome (MDS-UPDRS III at 90 days in the med on/stim on condition) were examined using Mann–Whitney U tests, and subgroup effects were visualised using forest plots. No formal interaction terms were tested, and no adjustments for multiple comparisons were made.</w:t>
      </w:r>
    </w:p>
    <w:p w14:paraId="56E75ACD" w14:textId="77777777" w:rsidR="006F682A" w:rsidRPr="00E42BB8" w:rsidRDefault="006F682A" w:rsidP="006F682A">
      <w:pPr>
        <w:spacing w:line="276" w:lineRule="auto"/>
        <w:ind w:firstLine="708"/>
        <w:jc w:val="both"/>
        <w:outlineLvl w:val="2"/>
        <w:rPr>
          <w:lang w:val="en-AU"/>
        </w:rPr>
      </w:pPr>
      <w:r w:rsidRPr="00E42BB8">
        <w:rPr>
          <w:lang w:val="en-AU"/>
        </w:rPr>
        <w:t>Adverse events, including serious and device-related events, were summarised descriptively. Frequencies and proportions were reported for each event type.</w:t>
      </w:r>
    </w:p>
    <w:p w14:paraId="04934E35" w14:textId="77777777" w:rsidR="006F682A" w:rsidRPr="00E42BB8" w:rsidRDefault="006F682A" w:rsidP="006F682A">
      <w:pPr>
        <w:spacing w:line="276" w:lineRule="auto"/>
        <w:ind w:firstLine="708"/>
        <w:jc w:val="both"/>
        <w:outlineLvl w:val="2"/>
        <w:rPr>
          <w:lang w:val="en-AU"/>
        </w:rPr>
      </w:pPr>
      <w:r w:rsidRPr="00E42BB8">
        <w:rPr>
          <w:lang w:val="en-AU"/>
        </w:rPr>
        <w:t>To examine the anatomical similarity of stimulation between groups, we reconstructed electrode positions and VTAs using Lead-DBS software. The centre of mass coordinates (X, Y, Z) of each VTA were extracted and compared between groups at two timepoints (baseline and day 90) and for each hemisphere (left, right) separately. A multivariate analysis of variance (MANOVA) was performed for each timepoint/hemisphere combination, with group as the independent variable and X, Y, Z coordinates as dependent variables. Four MANOVAs were conducted in total. To support interpretation, Wilks’ Lambda, Pillai’s Trace, Hotelling’s Trace, and Roy’s Largest Root were reported alongside the associated F-statistics, degrees of freedom, and p-values. If the MANOVA did not indicate significant group differences, follow-up univariate independent-samples t-tests were performed along each axis (X, Y, Z), and results were summarised with mean differences, 95% CIs, t-values, and p-values.</w:t>
      </w:r>
    </w:p>
    <w:p w14:paraId="222BF1AA" w14:textId="77777777" w:rsidR="006F682A" w:rsidRDefault="006F682A" w:rsidP="006F682A">
      <w:pPr>
        <w:spacing w:line="276" w:lineRule="auto"/>
        <w:ind w:firstLine="708"/>
        <w:jc w:val="both"/>
        <w:outlineLvl w:val="2"/>
        <w:rPr>
          <w:lang w:val="en-AU"/>
        </w:rPr>
      </w:pPr>
      <w:r w:rsidRPr="005D58A9">
        <w:rPr>
          <w:lang w:val="en-AU"/>
        </w:rPr>
        <w:t>All the above analyses were performed using GraphPad Prism version 10 (GraphPad Software)</w:t>
      </w:r>
      <w:r>
        <w:rPr>
          <w:lang w:val="en-AU"/>
        </w:rPr>
        <w:t>,</w:t>
      </w:r>
      <w:r w:rsidRPr="005D58A9">
        <w:rPr>
          <w:lang w:val="en-AU"/>
        </w:rPr>
        <w:t xml:space="preserve"> Statistical Analysis System SAS (Release: 9.04.01M6P1107201) for Linux (SAS Institute Inc., Cary, NC, USA), and Lead-DBS version 2.6.1 for neuroimaging analyses. All tests were two-tailed, with a significance threshold of </w:t>
      </w:r>
      <w:r w:rsidRPr="005D58A9">
        <w:rPr>
          <w:i/>
          <w:iCs/>
          <w:lang w:val="en-AU"/>
        </w:rPr>
        <w:t>P</w:t>
      </w:r>
      <w:r w:rsidRPr="005D58A9">
        <w:rPr>
          <w:lang w:val="en-AU"/>
        </w:rPr>
        <w:t xml:space="preserve"> &lt; </w:t>
      </w:r>
      <w:r>
        <w:rPr>
          <w:lang w:val="en-AU"/>
        </w:rPr>
        <w:t>.</w:t>
      </w:r>
      <w:r w:rsidRPr="005D58A9">
        <w:rPr>
          <w:lang w:val="en-AU"/>
        </w:rPr>
        <w:t>05 unless otherwise specified. A data monitoring committee was not convened given the minimal risk nature of the study.</w:t>
      </w:r>
      <w:r w:rsidRPr="005D58A9">
        <w:t xml:space="preserve"> </w:t>
      </w:r>
    </w:p>
    <w:p w14:paraId="0AE2D942" w14:textId="77777777" w:rsidR="006F682A" w:rsidRDefault="006F682A" w:rsidP="006F682A">
      <w:pPr>
        <w:spacing w:line="276" w:lineRule="auto"/>
        <w:ind w:firstLine="708"/>
        <w:jc w:val="both"/>
        <w:outlineLvl w:val="2"/>
        <w:rPr>
          <w:lang w:val="en-AU"/>
        </w:rPr>
      </w:pPr>
    </w:p>
    <w:p w14:paraId="3BB56BEE" w14:textId="3B466EAD" w:rsidR="006F682A" w:rsidRPr="00286BE9" w:rsidRDefault="006F682A" w:rsidP="006F682A">
      <w:pPr>
        <w:spacing w:line="276" w:lineRule="auto"/>
        <w:jc w:val="both"/>
        <w:rPr>
          <w:lang w:val="en-AU"/>
        </w:rPr>
      </w:pPr>
      <w:r w:rsidRPr="00286BE9">
        <w:rPr>
          <w:b/>
          <w:lang w:val="en-AU"/>
        </w:rPr>
        <w:t>Localization of DBS Leads</w:t>
      </w:r>
      <w:r w:rsidRPr="00286BE9">
        <w:rPr>
          <w:lang w:val="en-AU"/>
        </w:rPr>
        <w:t>: Preoperative imaging (T1- and T2-weighted MRI) and postoperative computed tomography (CT) scans were processed for electrode localization using the Lead-DBS toolbox (www.lead-dbs.org)</w:t>
      </w:r>
      <w:r>
        <w:rPr>
          <w:lang w:val="en-AU"/>
        </w:rPr>
        <w:t>.</w:t>
      </w:r>
      <w:sdt>
        <w:sdtPr>
          <w:rPr>
            <w:lang w:val="en-AU"/>
          </w:rPr>
          <w:alias w:val="SmartCite Citation"/>
          <w:tag w:val="e1a7da00-c597-49e3-9997-bbfc1b33b542:d7cc0e67-480c-4479-8abb-f11251498bb5+"/>
          <w:id w:val="-1549137611"/>
          <w:placeholder>
            <w:docPart w:val="73ED9E6E8A38984D90D7B38F627BA324"/>
          </w:placeholder>
        </w:sdtPr>
        <w:sdtContent>
          <w:r w:rsidR="00395812" w:rsidRPr="00395812">
            <w:rPr>
              <w:vertAlign w:val="superscript"/>
            </w:rPr>
            <w:t>10</w:t>
          </w:r>
        </w:sdtContent>
      </w:sdt>
      <w:r w:rsidRPr="00286BE9">
        <w:rPr>
          <w:lang w:val="en-AU"/>
        </w:rPr>
        <w:t xml:space="preserve"> Postoperative CT images were linearly co-registered to the corresponding preoperative MRI using Advanced Normalization Tools (ANTs). Native-space images were subsequently normalized to Montreal Neurological Institute (MNI) space via a three-step affine registration pipeline, with additional manual refinement of the atlas fit performed where necessary. Correction for brain shift and pneumocephalus resulting from surgery was applied using the brain shift correction algorithm implemented in Lead-DBS. All registration steps were carefully inspected and manually adjusted to ensure accurate alignment. Electrode trajectories were initially reconstructed using the PaCER algorithm</w:t>
      </w:r>
      <w:r>
        <w:rPr>
          <w:lang w:val="en-AU"/>
        </w:rPr>
        <w:t>,</w:t>
      </w:r>
      <w:sdt>
        <w:sdtPr>
          <w:rPr>
            <w:lang w:val="en-AU"/>
          </w:rPr>
          <w:alias w:val="SmartCite Citation"/>
          <w:tag w:val="e1a7da00-c597-49e3-9997-bbfc1b33b542:6b4e9276-f5c6-4e26-95b0-2bba14d9dca7+"/>
          <w:id w:val="-1908301618"/>
          <w:placeholder>
            <w:docPart w:val="90BCAD37F78FCA4B9091CF359A9D24D4"/>
          </w:placeholder>
        </w:sdtPr>
        <w:sdtContent>
          <w:r w:rsidR="00395812" w:rsidRPr="00395812">
            <w:rPr>
              <w:vertAlign w:val="superscript"/>
            </w:rPr>
            <w:t>11</w:t>
          </w:r>
        </w:sdtContent>
      </w:sdt>
      <w:r w:rsidRPr="00286BE9">
        <w:rPr>
          <w:lang w:val="en-AU"/>
        </w:rPr>
        <w:t xml:space="preserve"> with manual refinement performed as needed to optimize anatomical fidelity. In patients implanted with directional leads, rotational orientation was assessed and corrected </w:t>
      </w:r>
      <w:r w:rsidRPr="00286BE9">
        <w:rPr>
          <w:lang w:val="en-AU"/>
        </w:rPr>
        <w:lastRenderedPageBreak/>
        <w:t>using the DiODe algorithm</w:t>
      </w:r>
      <w:r>
        <w:rPr>
          <w:lang w:val="en-AU"/>
        </w:rPr>
        <w:t>.</w:t>
      </w:r>
      <w:sdt>
        <w:sdtPr>
          <w:rPr>
            <w:lang w:val="en-AU"/>
          </w:rPr>
          <w:alias w:val="SmartCite Citation"/>
          <w:tag w:val="e1a7da00-c597-49e3-9997-bbfc1b33b542:a786f243-c9a1-4f12-ae79-98cff80a4e15+"/>
          <w:id w:val="155351075"/>
          <w:placeholder>
            <w:docPart w:val="18D5101123B36E4BACEFF945A12CE3FE"/>
          </w:placeholder>
        </w:sdtPr>
        <w:sdtContent>
          <w:r w:rsidR="00395812" w:rsidRPr="00395812">
            <w:rPr>
              <w:vertAlign w:val="superscript"/>
            </w:rPr>
            <w:t>12</w:t>
          </w:r>
        </w:sdtContent>
      </w:sdt>
      <w:r w:rsidRPr="00286BE9">
        <w:rPr>
          <w:lang w:val="en-AU"/>
        </w:rPr>
        <w:t xml:space="preserve"> Anatomical segmentations were defined using the DISTAL atlas</w:t>
      </w:r>
      <w:sdt>
        <w:sdtPr>
          <w:rPr>
            <w:lang w:val="en-AU"/>
          </w:rPr>
          <w:alias w:val="SmartCite Citation"/>
          <w:tag w:val="e1a7da00-c597-49e3-9997-bbfc1b33b542:4ac1c975-7798-401f-88ea-f966c32e69a7+"/>
          <w:id w:val="1517964520"/>
          <w:placeholder>
            <w:docPart w:val="99B7AC7DF0555844BE1363D24B930780"/>
          </w:placeholder>
        </w:sdtPr>
        <w:sdtContent>
          <w:r w:rsidR="00395812" w:rsidRPr="00395812">
            <w:rPr>
              <w:vertAlign w:val="superscript"/>
            </w:rPr>
            <w:t>13</w:t>
          </w:r>
        </w:sdtContent>
      </w:sdt>
    </w:p>
    <w:p w14:paraId="39FA50B8" w14:textId="77777777" w:rsidR="006F682A" w:rsidRPr="00286BE9" w:rsidRDefault="006F682A" w:rsidP="006F682A">
      <w:pPr>
        <w:spacing w:line="276" w:lineRule="auto"/>
        <w:jc w:val="both"/>
        <w:rPr>
          <w:lang w:val="en-AU"/>
        </w:rPr>
      </w:pPr>
    </w:p>
    <w:p w14:paraId="52F772B7" w14:textId="7CA1F637" w:rsidR="006F682A" w:rsidRPr="00286BE9" w:rsidRDefault="006F682A" w:rsidP="006F682A">
      <w:pPr>
        <w:spacing w:line="276" w:lineRule="auto"/>
        <w:jc w:val="both"/>
        <w:rPr>
          <w:lang w:val="en-AU"/>
        </w:rPr>
      </w:pPr>
      <w:r w:rsidRPr="00286BE9">
        <w:rPr>
          <w:b/>
          <w:lang w:val="en-AU"/>
        </w:rPr>
        <w:t>Volume of Tissue Activated (VTA) Estimation</w:t>
      </w:r>
      <w:r w:rsidRPr="00286BE9">
        <w:rPr>
          <w:lang w:val="en-AU"/>
        </w:rPr>
        <w:t>: The volume of tissue activated (VTA) was estimated using a finite element method (FEM)-based model implemented in the Lead-DBS toolbox. To accurately model the distribution of the electric field, subcortical gray matter nuclei were defined using the DISTAL atlas. Consistent with established protocols, tissue conductivities were set to 0.33 S/m for gray matter and 0.14 S/m for white matter</w:t>
      </w:r>
      <w:r>
        <w:rPr>
          <w:lang w:val="en-AU"/>
        </w:rPr>
        <w:t>.</w:t>
      </w:r>
      <w:sdt>
        <w:sdtPr>
          <w:rPr>
            <w:lang w:val="en-AU"/>
          </w:rPr>
          <w:alias w:val="SmartCite Citation"/>
          <w:tag w:val="e1a7da00-c597-49e3-9997-bbfc1b33b542:74332c7a-6856-40b2-96c4-974279670dd4+"/>
          <w:id w:val="654878882"/>
          <w:placeholder>
            <w:docPart w:val="3FF53F1446AAFC409055E723235CECD3"/>
          </w:placeholder>
        </w:sdtPr>
        <w:sdtContent>
          <w:r w:rsidR="00395812" w:rsidRPr="00395812">
            <w:rPr>
              <w:vertAlign w:val="superscript"/>
            </w:rPr>
            <w:t>14</w:t>
          </w:r>
        </w:sdtContent>
      </w:sdt>
      <w:r w:rsidRPr="00286BE9">
        <w:rPr>
          <w:lang w:val="en-AU"/>
        </w:rPr>
        <w:t xml:space="preserve"> The electric fields (E-fields) were calculated using the SimBio/FieldTrip computational pipeline within Lead-DBS. A threshold of 0.2 V/mm was applied to delineate the VTA boundaries, following similar methodologies used in previous studies</w:t>
      </w:r>
      <w:r>
        <w:rPr>
          <w:lang w:val="en-AU"/>
        </w:rPr>
        <w:t>.</w:t>
      </w:r>
      <w:sdt>
        <w:sdtPr>
          <w:rPr>
            <w:lang w:val="en-AU"/>
          </w:rPr>
          <w:alias w:val="SmartCite Citation"/>
          <w:tag w:val="e1a7da00-c597-49e3-9997-bbfc1b33b542:74332c7a-6856-40b2-96c4-974279670dd4+"/>
          <w:id w:val="-1311086762"/>
          <w:placeholder>
            <w:docPart w:val="0B27F484D78B8942B41DB4646D7707BB"/>
          </w:placeholder>
        </w:sdtPr>
        <w:sdtContent>
          <w:r w:rsidR="00395812" w:rsidRPr="00395812">
            <w:rPr>
              <w:vertAlign w:val="superscript"/>
            </w:rPr>
            <w:t>14</w:t>
          </w:r>
        </w:sdtContent>
      </w:sdt>
      <w:r w:rsidRPr="00286BE9">
        <w:rPr>
          <w:lang w:val="en-AU"/>
        </w:rPr>
        <w:t xml:space="preserve"> </w:t>
      </w:r>
    </w:p>
    <w:p w14:paraId="79F8C871" w14:textId="77777777" w:rsidR="006F682A" w:rsidRPr="00286BE9" w:rsidRDefault="006F682A" w:rsidP="006F682A">
      <w:pPr>
        <w:spacing w:line="276" w:lineRule="auto"/>
        <w:jc w:val="both"/>
        <w:rPr>
          <w:lang w:val="en-AU"/>
        </w:rPr>
      </w:pPr>
    </w:p>
    <w:p w14:paraId="582EA1D1" w14:textId="77777777" w:rsidR="006F682A" w:rsidRDefault="006F682A" w:rsidP="006F682A">
      <w:pPr>
        <w:spacing w:line="276" w:lineRule="auto"/>
        <w:jc w:val="both"/>
        <w:rPr>
          <w:lang w:val="en-AU"/>
        </w:rPr>
      </w:pPr>
      <w:r w:rsidRPr="00286BE9">
        <w:rPr>
          <w:b/>
          <w:bCs/>
          <w:lang w:val="en-AU"/>
        </w:rPr>
        <w:t xml:space="preserve">Delineation of the of mean VTAs and </w:t>
      </w:r>
      <w:r>
        <w:rPr>
          <w:b/>
          <w:bCs/>
          <w:lang w:val="en-AU"/>
        </w:rPr>
        <w:t>c</w:t>
      </w:r>
      <w:r w:rsidRPr="00286BE9">
        <w:rPr>
          <w:b/>
          <w:bCs/>
          <w:lang w:val="en-AU"/>
        </w:rPr>
        <w:t>enter of mass (COM) coordinates.</w:t>
      </w:r>
      <w:r w:rsidRPr="00286BE9">
        <w:rPr>
          <w:lang w:val="en-AU"/>
        </w:rPr>
        <w:t xml:space="preserve"> Individual VTAs were binarized and spatially normalized to MNI space to allow for group-level analysis. Mean VTAs were generated by averaging the binarized volumes across patients within each group or condition. The resulting probability maps represent the proportion of subjects with stimulation at each voxel. The centre of mass (COM) for each VTA was calculated in MNI space using Lead-DBS’s built-in tools, which compute the intensity-weighted centroid of the activation volume. COM coordinates were extracted for both individual and group-level VTAs and used for spatial comparison of stimulation loci across subjects. Visual inspection and manual quality control were performed to confirm accurate representation of electrode placements and VTA overlaps.</w:t>
      </w:r>
    </w:p>
    <w:p w14:paraId="1002B80E" w14:textId="77777777" w:rsidR="006F682A" w:rsidRDefault="006F682A" w:rsidP="006F682A">
      <w:pPr>
        <w:spacing w:line="276" w:lineRule="auto"/>
        <w:jc w:val="both"/>
        <w:rPr>
          <w:lang w:val="en-AU"/>
        </w:rPr>
      </w:pPr>
    </w:p>
    <w:p w14:paraId="2A268747" w14:textId="77777777" w:rsidR="00395812" w:rsidRDefault="00395812" w:rsidP="006F682A">
      <w:pPr>
        <w:spacing w:line="276" w:lineRule="auto"/>
        <w:jc w:val="both"/>
        <w:rPr>
          <w:lang w:val="en-AU"/>
        </w:rPr>
      </w:pPr>
    </w:p>
    <w:p w14:paraId="3223A0A7" w14:textId="77777777" w:rsidR="00395812" w:rsidRDefault="00395812" w:rsidP="006F682A">
      <w:pPr>
        <w:spacing w:line="276" w:lineRule="auto"/>
        <w:jc w:val="both"/>
        <w:rPr>
          <w:lang w:val="en-AU"/>
        </w:rPr>
      </w:pPr>
    </w:p>
    <w:p w14:paraId="22C82690" w14:textId="77777777" w:rsidR="00395812" w:rsidRDefault="00395812" w:rsidP="006F682A">
      <w:pPr>
        <w:spacing w:line="276" w:lineRule="auto"/>
        <w:jc w:val="both"/>
        <w:rPr>
          <w:lang w:val="en-AU"/>
        </w:rPr>
      </w:pPr>
    </w:p>
    <w:p w14:paraId="7E872812" w14:textId="77777777" w:rsidR="00395812" w:rsidRDefault="00395812" w:rsidP="006F682A">
      <w:pPr>
        <w:spacing w:line="276" w:lineRule="auto"/>
        <w:jc w:val="both"/>
        <w:rPr>
          <w:lang w:val="en-AU"/>
        </w:rPr>
      </w:pPr>
    </w:p>
    <w:p w14:paraId="3DB893B8" w14:textId="77777777" w:rsidR="00395812" w:rsidRDefault="00395812" w:rsidP="006F682A">
      <w:pPr>
        <w:spacing w:line="276" w:lineRule="auto"/>
        <w:jc w:val="both"/>
        <w:rPr>
          <w:lang w:val="en-AU"/>
        </w:rPr>
      </w:pPr>
    </w:p>
    <w:p w14:paraId="5E4E2965" w14:textId="77777777" w:rsidR="00395812" w:rsidRDefault="00395812" w:rsidP="006F682A">
      <w:pPr>
        <w:spacing w:line="276" w:lineRule="auto"/>
        <w:jc w:val="both"/>
        <w:rPr>
          <w:lang w:val="en-AU"/>
        </w:rPr>
      </w:pPr>
    </w:p>
    <w:p w14:paraId="7398E197" w14:textId="77777777" w:rsidR="00395812" w:rsidRDefault="00395812" w:rsidP="006F682A">
      <w:pPr>
        <w:spacing w:line="276" w:lineRule="auto"/>
        <w:jc w:val="both"/>
        <w:rPr>
          <w:lang w:val="en-AU"/>
        </w:rPr>
      </w:pPr>
    </w:p>
    <w:p w14:paraId="40D2B9C8" w14:textId="77777777" w:rsidR="00395812" w:rsidRDefault="00395812" w:rsidP="006F682A">
      <w:pPr>
        <w:spacing w:line="276" w:lineRule="auto"/>
        <w:jc w:val="both"/>
        <w:rPr>
          <w:lang w:val="en-AU"/>
        </w:rPr>
      </w:pPr>
    </w:p>
    <w:p w14:paraId="55B6EFBA" w14:textId="77777777" w:rsidR="00395812" w:rsidRDefault="00395812" w:rsidP="006F682A">
      <w:pPr>
        <w:spacing w:line="276" w:lineRule="auto"/>
        <w:jc w:val="both"/>
        <w:rPr>
          <w:lang w:val="en-AU"/>
        </w:rPr>
      </w:pPr>
    </w:p>
    <w:p w14:paraId="33358A01" w14:textId="77777777" w:rsidR="00395812" w:rsidRDefault="00395812" w:rsidP="006F682A">
      <w:pPr>
        <w:spacing w:line="276" w:lineRule="auto"/>
        <w:jc w:val="both"/>
        <w:rPr>
          <w:lang w:val="en-AU"/>
        </w:rPr>
      </w:pPr>
    </w:p>
    <w:p w14:paraId="0C351389" w14:textId="77777777" w:rsidR="00395812" w:rsidRDefault="00395812" w:rsidP="006F682A">
      <w:pPr>
        <w:spacing w:line="276" w:lineRule="auto"/>
        <w:jc w:val="both"/>
        <w:rPr>
          <w:lang w:val="en-AU"/>
        </w:rPr>
      </w:pPr>
    </w:p>
    <w:p w14:paraId="56E85932" w14:textId="77777777" w:rsidR="00395812" w:rsidRDefault="00395812" w:rsidP="006F682A">
      <w:pPr>
        <w:spacing w:line="276" w:lineRule="auto"/>
        <w:jc w:val="both"/>
        <w:rPr>
          <w:lang w:val="en-AU"/>
        </w:rPr>
      </w:pPr>
    </w:p>
    <w:p w14:paraId="24C3441B" w14:textId="77777777" w:rsidR="00395812" w:rsidRDefault="00395812" w:rsidP="006F682A">
      <w:pPr>
        <w:spacing w:line="276" w:lineRule="auto"/>
        <w:jc w:val="both"/>
        <w:rPr>
          <w:lang w:val="en-AU"/>
        </w:rPr>
      </w:pPr>
    </w:p>
    <w:p w14:paraId="3075B8E6" w14:textId="77777777" w:rsidR="00395812" w:rsidRDefault="00395812" w:rsidP="006F682A">
      <w:pPr>
        <w:spacing w:line="276" w:lineRule="auto"/>
        <w:jc w:val="both"/>
        <w:rPr>
          <w:lang w:val="en-AU"/>
        </w:rPr>
      </w:pPr>
    </w:p>
    <w:p w14:paraId="3B72FD93" w14:textId="77777777" w:rsidR="00395812" w:rsidRDefault="00395812" w:rsidP="006F682A">
      <w:pPr>
        <w:spacing w:line="276" w:lineRule="auto"/>
        <w:jc w:val="both"/>
        <w:rPr>
          <w:lang w:val="en-AU"/>
        </w:rPr>
      </w:pPr>
    </w:p>
    <w:p w14:paraId="799B39CC" w14:textId="77777777" w:rsidR="00395812" w:rsidRDefault="00395812" w:rsidP="006F682A">
      <w:pPr>
        <w:spacing w:line="276" w:lineRule="auto"/>
        <w:jc w:val="both"/>
        <w:rPr>
          <w:lang w:val="en-AU"/>
        </w:rPr>
      </w:pPr>
    </w:p>
    <w:p w14:paraId="08BC45C9" w14:textId="77777777" w:rsidR="00395812" w:rsidRDefault="00395812" w:rsidP="006F682A">
      <w:pPr>
        <w:spacing w:line="276" w:lineRule="auto"/>
        <w:jc w:val="both"/>
        <w:rPr>
          <w:lang w:val="en-AU"/>
        </w:rPr>
      </w:pPr>
    </w:p>
    <w:p w14:paraId="28DA051D" w14:textId="77777777" w:rsidR="00395812" w:rsidRDefault="00395812" w:rsidP="006F682A">
      <w:pPr>
        <w:spacing w:line="276" w:lineRule="auto"/>
        <w:jc w:val="both"/>
        <w:rPr>
          <w:lang w:val="en-AU"/>
        </w:rPr>
      </w:pPr>
    </w:p>
    <w:p w14:paraId="40CDB53F" w14:textId="77777777" w:rsidR="00395812" w:rsidRDefault="00395812" w:rsidP="006F682A">
      <w:pPr>
        <w:spacing w:line="276" w:lineRule="auto"/>
        <w:jc w:val="both"/>
        <w:rPr>
          <w:lang w:val="en-AU"/>
        </w:rPr>
      </w:pPr>
    </w:p>
    <w:p w14:paraId="0CA3CD45" w14:textId="77777777" w:rsidR="00395812" w:rsidRDefault="00395812" w:rsidP="006F682A">
      <w:pPr>
        <w:spacing w:line="276" w:lineRule="auto"/>
        <w:jc w:val="both"/>
        <w:rPr>
          <w:lang w:val="en-AU"/>
        </w:rPr>
      </w:pPr>
    </w:p>
    <w:p w14:paraId="56C40F54" w14:textId="77777777" w:rsidR="00395812" w:rsidRDefault="00395812" w:rsidP="006F682A">
      <w:pPr>
        <w:spacing w:line="276" w:lineRule="auto"/>
        <w:jc w:val="both"/>
        <w:rPr>
          <w:lang w:val="en-AU"/>
        </w:rPr>
      </w:pPr>
    </w:p>
    <w:p w14:paraId="4AAD23B6" w14:textId="77777777" w:rsidR="00395812" w:rsidRDefault="00395812" w:rsidP="006F682A">
      <w:pPr>
        <w:spacing w:line="276" w:lineRule="auto"/>
        <w:jc w:val="both"/>
        <w:rPr>
          <w:lang w:val="en-AU"/>
        </w:rPr>
      </w:pPr>
    </w:p>
    <w:p w14:paraId="7A94E4C6" w14:textId="77777777" w:rsidR="00146E61" w:rsidRDefault="00146E61" w:rsidP="00146E61">
      <w:pPr>
        <w:rPr>
          <w:b/>
          <w:sz w:val="28"/>
          <w:szCs w:val="28"/>
          <w:u w:val="single"/>
          <w:lang w:val="en-AU"/>
        </w:rPr>
      </w:pPr>
      <w:r>
        <w:rPr>
          <w:noProof/>
          <w:lang w:val="en-AU"/>
          <w14:ligatures w14:val="standardContextual"/>
        </w:rPr>
        <w:lastRenderedPageBreak/>
        <mc:AlternateContent>
          <mc:Choice Requires="wps">
            <w:drawing>
              <wp:anchor distT="0" distB="0" distL="114300" distR="114300" simplePos="0" relativeHeight="251663360" behindDoc="0" locked="0" layoutInCell="1" allowOverlap="1" wp14:anchorId="601F6E90" wp14:editId="30E176CF">
                <wp:simplePos x="0" y="0"/>
                <wp:positionH relativeFrom="column">
                  <wp:posOffset>-263</wp:posOffset>
                </wp:positionH>
                <wp:positionV relativeFrom="paragraph">
                  <wp:posOffset>200459</wp:posOffset>
                </wp:positionV>
                <wp:extent cx="5730875" cy="334536"/>
                <wp:effectExtent l="0" t="0" r="9525" b="8890"/>
                <wp:wrapNone/>
                <wp:docPr id="149049183" name="Textfeld 1"/>
                <wp:cNvGraphicFramePr/>
                <a:graphic xmlns:a="http://schemas.openxmlformats.org/drawingml/2006/main">
                  <a:graphicData uri="http://schemas.microsoft.com/office/word/2010/wordprocessingShape">
                    <wps:wsp>
                      <wps:cNvSpPr txBox="1"/>
                      <wps:spPr>
                        <a:xfrm>
                          <a:off x="0" y="0"/>
                          <a:ext cx="5730875" cy="334536"/>
                        </a:xfrm>
                        <a:prstGeom prst="rect">
                          <a:avLst/>
                        </a:prstGeom>
                        <a:solidFill>
                          <a:schemeClr val="bg1">
                            <a:lumMod val="95000"/>
                          </a:schemeClr>
                        </a:solidFill>
                        <a:ln w="6350">
                          <a:solidFill>
                            <a:prstClr val="black"/>
                          </a:solidFill>
                        </a:ln>
                      </wps:spPr>
                      <wps:txbx>
                        <w:txbxContent>
                          <w:p w14:paraId="259DFF60" w14:textId="4748C4F8" w:rsidR="00146E61" w:rsidRPr="006073E0" w:rsidRDefault="00146E61" w:rsidP="00146E61">
                            <w:pPr>
                              <w:rPr>
                                <w:b/>
                                <w:bCs/>
                                <w:sz w:val="32"/>
                                <w:szCs w:val="32"/>
                              </w:rPr>
                            </w:pPr>
                            <w:r>
                              <w:rPr>
                                <w:b/>
                                <w:bCs/>
                                <w:sz w:val="32"/>
                                <w:szCs w:val="32"/>
                              </w:rPr>
                              <w:t>Appendix: REMOTE Trial Study Protocol (Version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1F6E90" id="_x0000_s1029" type="#_x0000_t202" style="position:absolute;margin-left:0;margin-top:15.8pt;width:451.25pt;height:26.3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" fillcolor="#f2f2f2 [3052]" strokeweight=".5pt">
                <v:textbox>
                  <w:txbxContent>
                    <w:p w14:paraId="259DFF60" w14:textId="4748C4F8" w:rsidR="00146E61" w:rsidRPr="006073E0" w:rsidRDefault="00146E61" w:rsidP="00146E61">
                      <w:pPr>
                        <w:rPr>
                          <w:b/>
                          <w:bCs/>
                          <w:sz w:val="32"/>
                          <w:szCs w:val="32"/>
                        </w:rPr>
                      </w:pPr>
                      <w:r>
                        <w:rPr>
                          <w:b/>
                          <w:bCs/>
                          <w:sz w:val="32"/>
                          <w:szCs w:val="32"/>
                        </w:rPr>
                        <w:t>Appendix: REMOTE Trial Study Protocol (Version 5)</w:t>
                      </w:r>
                    </w:p>
                  </w:txbxContent>
                </v:textbox>
              </v:shape>
            </w:pict>
          </mc:Fallback>
        </mc:AlternateContent>
      </w:r>
    </w:p>
    <w:p w14:paraId="3D1968C1" w14:textId="77777777" w:rsidR="00146E61" w:rsidRDefault="00146E61" w:rsidP="00146E61">
      <w:pPr>
        <w:rPr>
          <w:b/>
          <w:sz w:val="28"/>
          <w:szCs w:val="28"/>
          <w:u w:val="single"/>
          <w:lang w:val="en-AU"/>
        </w:rPr>
      </w:pPr>
    </w:p>
    <w:p w14:paraId="12D49273" w14:textId="77777777" w:rsidR="00146E61" w:rsidRDefault="00146E61" w:rsidP="00146E61">
      <w:pPr>
        <w:rPr>
          <w:b/>
          <w:sz w:val="28"/>
          <w:szCs w:val="28"/>
          <w:u w:val="single"/>
          <w:lang w:val="en-AU"/>
        </w:rPr>
      </w:pPr>
    </w:p>
    <w:p w14:paraId="0003138F" w14:textId="77777777" w:rsidR="00146E61" w:rsidRPr="00DC3FE1" w:rsidRDefault="00146E61" w:rsidP="00146E61">
      <w:pPr>
        <w:rPr>
          <w:bCs/>
          <w:sz w:val="22"/>
          <w:szCs w:val="22"/>
          <w:u w:val="single"/>
          <w:lang w:val="en-AU"/>
        </w:rPr>
      </w:pPr>
    </w:p>
    <w:p w14:paraId="1111F6E5" w14:textId="77777777" w:rsidR="00146E61" w:rsidRPr="00395812" w:rsidRDefault="00146E61" w:rsidP="00146E61">
      <w:pPr>
        <w:rPr>
          <w:bCs/>
          <w:lang w:val="en-AU"/>
        </w:rPr>
      </w:pPr>
      <w:r w:rsidRPr="00395812">
        <w:rPr>
          <w:bCs/>
          <w:lang w:val="en-AU"/>
        </w:rPr>
        <w:t>Initial Submission Date: July 1</w:t>
      </w:r>
      <w:r w:rsidRPr="00395812">
        <w:rPr>
          <w:bCs/>
          <w:vertAlign w:val="superscript"/>
          <w:lang w:val="en-AU"/>
        </w:rPr>
        <w:t>st</w:t>
      </w:r>
      <w:r w:rsidRPr="00395812">
        <w:rPr>
          <w:bCs/>
          <w:lang w:val="en-AU"/>
        </w:rPr>
        <w:t xml:space="preserve"> 2021</w:t>
      </w:r>
    </w:p>
    <w:p w14:paraId="79396D88" w14:textId="77777777" w:rsidR="00146E61" w:rsidRPr="00395812" w:rsidRDefault="00146E61" w:rsidP="00146E61">
      <w:pPr>
        <w:rPr>
          <w:bCs/>
          <w:lang w:val="en-AU"/>
        </w:rPr>
      </w:pPr>
      <w:r w:rsidRPr="00395812">
        <w:rPr>
          <w:bCs/>
          <w:lang w:val="en-AU"/>
        </w:rPr>
        <w:t>Initial Approval Date: Nov. 9</w:t>
      </w:r>
      <w:r w:rsidRPr="00395812">
        <w:rPr>
          <w:bCs/>
          <w:vertAlign w:val="superscript"/>
          <w:lang w:val="en-AU"/>
        </w:rPr>
        <w:t>th</w:t>
      </w:r>
      <w:r w:rsidRPr="00395812">
        <w:rPr>
          <w:bCs/>
          <w:lang w:val="en-AU"/>
        </w:rPr>
        <w:t xml:space="preserve"> 2021</w:t>
      </w:r>
    </w:p>
    <w:p w14:paraId="2B2BE6DE" w14:textId="77777777" w:rsidR="00146E61" w:rsidRPr="00395812" w:rsidRDefault="00146E61" w:rsidP="00146E61">
      <w:pPr>
        <w:rPr>
          <w:bCs/>
          <w:lang w:val="en-AU"/>
        </w:rPr>
      </w:pPr>
      <w:r w:rsidRPr="00395812">
        <w:rPr>
          <w:bCs/>
          <w:lang w:val="en-AU"/>
        </w:rPr>
        <w:t>Final amendment to Version 4, submitted: Feb. 2022</w:t>
      </w:r>
    </w:p>
    <w:p w14:paraId="4E449675" w14:textId="77777777" w:rsidR="00146E61" w:rsidRPr="00395812" w:rsidRDefault="00146E61" w:rsidP="00146E61">
      <w:pPr>
        <w:rPr>
          <w:bCs/>
          <w:lang w:val="en-AU"/>
        </w:rPr>
      </w:pPr>
      <w:r w:rsidRPr="00395812">
        <w:rPr>
          <w:bCs/>
          <w:lang w:val="en-AU"/>
        </w:rPr>
        <w:t>Final Amendment to Version 4, approved: May 13, 2022</w:t>
      </w:r>
    </w:p>
    <w:p w14:paraId="384CEF1B" w14:textId="77777777" w:rsidR="00146E61" w:rsidRPr="00286BE9" w:rsidRDefault="00146E61" w:rsidP="00146E61">
      <w:pPr>
        <w:spacing w:before="100" w:beforeAutospacing="1" w:after="100" w:afterAutospacing="1" w:line="276" w:lineRule="auto"/>
        <w:rPr>
          <w:lang w:val="en-AU"/>
        </w:rPr>
      </w:pPr>
      <w:r w:rsidRPr="00E42BB8">
        <w:rPr>
          <w:b/>
          <w:bCs/>
          <w:lang w:val="en-AU"/>
        </w:rPr>
        <w:t>1. Study Title:</w:t>
      </w:r>
    </w:p>
    <w:p w14:paraId="7A7DA829" w14:textId="77777777" w:rsidR="00146E61" w:rsidRPr="00DB6BD1" w:rsidRDefault="00146E61" w:rsidP="00146E61">
      <w:pPr>
        <w:spacing w:before="100" w:beforeAutospacing="1" w:after="100" w:afterAutospacing="1" w:line="276" w:lineRule="auto"/>
        <w:rPr>
          <w:b/>
          <w:bCs/>
          <w:lang w:val="en-AU"/>
        </w:rPr>
      </w:pPr>
      <w:r w:rsidRPr="00DB6BD1">
        <w:rPr>
          <w:b/>
          <w:bCs/>
          <w:lang w:val="en-AU"/>
        </w:rPr>
        <w:t>Prospective, Multicenter Evaluation of a Telemedicine-Supported Adjustment of Neurostimulation Devices (REMOTE Study).</w:t>
      </w:r>
    </w:p>
    <w:p w14:paraId="41A9266E" w14:textId="77777777" w:rsidR="00146E61" w:rsidRPr="00286BE9" w:rsidRDefault="00146E61" w:rsidP="00146E61">
      <w:pPr>
        <w:spacing w:before="100" w:beforeAutospacing="1" w:after="100" w:afterAutospacing="1" w:line="276" w:lineRule="auto"/>
        <w:rPr>
          <w:lang w:val="en-AU"/>
        </w:rPr>
      </w:pPr>
      <w:r w:rsidRPr="00286BE9">
        <w:rPr>
          <w:b/>
          <w:bCs/>
          <w:lang w:val="en-AU"/>
        </w:rPr>
        <w:t>2. Responsibilities:</w:t>
      </w:r>
    </w:p>
    <w:p w14:paraId="1134156B" w14:textId="77777777" w:rsidR="00146E61" w:rsidRPr="00286BE9" w:rsidRDefault="00146E61" w:rsidP="00146E61">
      <w:pPr>
        <w:spacing w:before="100" w:beforeAutospacing="1" w:after="100" w:afterAutospacing="1" w:line="276" w:lineRule="auto"/>
        <w:rPr>
          <w:lang w:val="en-AU"/>
        </w:rPr>
      </w:pPr>
      <w:r w:rsidRPr="00286BE9">
        <w:rPr>
          <w:b/>
          <w:bCs/>
          <w:lang w:val="en-AU"/>
        </w:rPr>
        <w:t>Principal Investigator:</w:t>
      </w:r>
      <w:r w:rsidRPr="00286BE9">
        <w:rPr>
          <w:lang w:val="en-AU"/>
        </w:rPr>
        <w:br/>
        <w:t>PD Dr. med. Thomas Köglsperger</w:t>
      </w:r>
      <w:r w:rsidRPr="00286BE9">
        <w:rPr>
          <w:lang w:val="en-AU"/>
        </w:rPr>
        <w:br/>
        <w:t>Department of Neurology, University Hospital of Munich</w:t>
      </w:r>
      <w:r w:rsidRPr="00286BE9">
        <w:rPr>
          <w:lang w:val="en-AU"/>
        </w:rPr>
        <w:br/>
        <w:t>Marchioninistr. 15</w:t>
      </w:r>
      <w:r w:rsidRPr="00286BE9">
        <w:rPr>
          <w:lang w:val="en-AU"/>
        </w:rPr>
        <w:br/>
        <w:t>81377 Munich, Germany</w:t>
      </w:r>
      <w:r w:rsidRPr="00286BE9">
        <w:rPr>
          <w:lang w:val="en-AU"/>
        </w:rPr>
        <w:br/>
        <w:t>Phone: +49 89 4400-46433</w:t>
      </w:r>
      <w:r w:rsidRPr="00286BE9">
        <w:rPr>
          <w:lang w:val="en-AU"/>
        </w:rPr>
        <w:br/>
        <w:t>thomas.koeglsperger@med.uni-muenchen.de</w:t>
      </w:r>
    </w:p>
    <w:p w14:paraId="162659FA" w14:textId="3FA363B5" w:rsidR="00146E61" w:rsidRPr="00395812" w:rsidRDefault="00146E61" w:rsidP="00395812">
      <w:pPr>
        <w:spacing w:before="100" w:beforeAutospacing="1" w:after="100" w:afterAutospacing="1" w:line="276" w:lineRule="auto"/>
        <w:jc w:val="both"/>
        <w:rPr>
          <w:b/>
          <w:bCs/>
          <w:lang w:val="en-AU"/>
        </w:rPr>
      </w:pPr>
      <w:r w:rsidRPr="00286BE9">
        <w:rPr>
          <w:b/>
          <w:bCs/>
          <w:lang w:val="en-AU"/>
        </w:rPr>
        <w:t>Study Physicians:</w:t>
      </w:r>
      <w:r w:rsidR="00395812">
        <w:rPr>
          <w:b/>
          <w:bCs/>
          <w:lang w:val="en-AU"/>
        </w:rPr>
        <w:t xml:space="preserve"> </w:t>
      </w:r>
      <w:r w:rsidRPr="00286BE9">
        <w:rPr>
          <w:lang w:val="en-AU"/>
        </w:rPr>
        <w:t>PD Dr. med. Thomas K</w:t>
      </w:r>
      <w:r>
        <w:rPr>
          <w:lang w:val="en-AU"/>
        </w:rPr>
        <w:t>oe</w:t>
      </w:r>
      <w:r w:rsidRPr="00286BE9">
        <w:rPr>
          <w:lang w:val="en-AU"/>
        </w:rPr>
        <w:t xml:space="preserve">glsperger; Prof. Dr. med. François Alesch; Prof. Dr. med. Carsten Buhmann; </w:t>
      </w:r>
      <w:r>
        <w:rPr>
          <w:lang w:val="en-AU"/>
        </w:rPr>
        <w:t xml:space="preserve">Dr. med. Ute Hidding, </w:t>
      </w:r>
      <w:r w:rsidRPr="00286BE9">
        <w:rPr>
          <w:lang w:val="en-AU"/>
        </w:rPr>
        <w:t xml:space="preserve">Prof. Dr. med. Thomas M. Kinfe; </w:t>
      </w:r>
      <w:r>
        <w:rPr>
          <w:lang w:val="en-AU"/>
        </w:rPr>
        <w:t xml:space="preserve">PD Dr. med. Martin Regensburger, </w:t>
      </w:r>
      <w:r w:rsidRPr="00286BE9">
        <w:rPr>
          <w:lang w:val="en-AU"/>
        </w:rPr>
        <w:t>PD Dr. med. Jost-Julian Rumpf; Prof. Dr. med. Alfons Schnitzler; Dr. med. Barbara Steiger; Prof. Dr. med. Daniel Weiß; Dr. med. Verena Zentsch.</w:t>
      </w:r>
    </w:p>
    <w:p w14:paraId="585696D3" w14:textId="77777777" w:rsidR="00146E61" w:rsidRPr="00286BE9" w:rsidRDefault="00146E61" w:rsidP="00146E61">
      <w:pPr>
        <w:spacing w:line="276" w:lineRule="auto"/>
        <w:jc w:val="both"/>
        <w:rPr>
          <w:b/>
          <w:bCs/>
          <w:lang w:val="en-AU"/>
        </w:rPr>
      </w:pPr>
      <w:r w:rsidRPr="00286BE9">
        <w:rPr>
          <w:b/>
          <w:bCs/>
          <w:lang w:val="en-AU"/>
        </w:rPr>
        <w:t>3. Scientific Background</w:t>
      </w:r>
    </w:p>
    <w:p w14:paraId="0CE4EFAD" w14:textId="7F2D84C7" w:rsidR="00146E61" w:rsidRPr="00286BE9" w:rsidRDefault="00146E61" w:rsidP="00146E61">
      <w:pPr>
        <w:spacing w:line="276" w:lineRule="auto"/>
        <w:jc w:val="both"/>
        <w:rPr>
          <w:b/>
          <w:bCs/>
          <w:lang w:val="en-AU"/>
        </w:rPr>
      </w:pPr>
      <w:r w:rsidRPr="00286BE9">
        <w:rPr>
          <w:lang w:val="en-AU"/>
        </w:rPr>
        <w:t xml:space="preserve">Deep Brain Stimulation (DBS) is the treatment of choice for advanced Parkinson’s disease (1). In this procedure, microelectrodes are stereotactically implanted into the subthalamic nucleus (STN) and connected to an internal pulse generator (IPG), which is typically implanted in the chest area. This device continuously generates rectangular electrical pulses. The stimulation improves motor initiation in the basal ganglia, which is otherwise impaired in Parkinson’s disease. The IPG can be programmed externally via Bluetooth or radio connection. Both the activated contacts and the amplitude (a), frequency (f), and pulse width (pw) of the pulses can be modified within a certain range to optimize the stimulation effect. Programming the IPG is the most critical factor for therapeutic success besides correct intraoperative electrode placement </w:t>
      </w:r>
      <w:sdt>
        <w:sdtPr>
          <w:rPr>
            <w:rFonts w:ascii="Arial" w:hAnsi="Arial" w:cs="Arial"/>
            <w:lang w:val="en-AU"/>
          </w:rPr>
          <w:alias w:val="SmartCite Citation"/>
          <w:tag w:val="e1a7da00-c597-49e3-9997-bbfc1b33b542:2546a2df-fcac-4264-9c60-91070a94118a,e1a7da00-c597-49e3-9997-bbfc1b33b542:612c669c-40af-4c58-80e0-c50666bd44e4+"/>
          <w:id w:val="1358617004"/>
          <w:placeholder>
            <w:docPart w:val="5C4C2F2ED0061D4D922711DF2662AF12"/>
          </w:placeholder>
        </w:sdtPr>
        <w:sdtContent>
          <w:r w:rsidR="00395812" w:rsidRPr="00395812">
            <w:rPr>
              <w:rFonts w:ascii="Arial" w:hAnsi="Arial" w:cs="Arial"/>
              <w:vertAlign w:val="superscript"/>
            </w:rPr>
            <w:t>15,16</w:t>
          </w:r>
        </w:sdtContent>
      </w:sdt>
      <w:r w:rsidRPr="00286BE9">
        <w:rPr>
          <w:lang w:val="en-AU"/>
        </w:rPr>
        <w:t>.</w:t>
      </w:r>
    </w:p>
    <w:p w14:paraId="45CB7D37" w14:textId="46769780" w:rsidR="00146E61" w:rsidRPr="00286BE9" w:rsidRDefault="00146E61" w:rsidP="00146E61">
      <w:pPr>
        <w:spacing w:line="276" w:lineRule="auto"/>
        <w:ind w:firstLine="708"/>
        <w:jc w:val="both"/>
        <w:rPr>
          <w:b/>
          <w:bCs/>
          <w:lang w:val="en-AU"/>
        </w:rPr>
      </w:pPr>
      <w:r w:rsidRPr="00286BE9">
        <w:rPr>
          <w:lang w:val="en-AU"/>
        </w:rPr>
        <w:t>There are expert recommendations for DBS programming</w:t>
      </w:r>
      <w:sdt>
        <w:sdtPr>
          <w:rPr>
            <w:rFonts w:ascii="Arial" w:eastAsia="MS Mincho" w:hAnsi="Arial" w:cs="Arial"/>
            <w:color w:val="000000"/>
            <w:lang w:val="en-AU" w:eastAsia="ja-JP"/>
          </w:rPr>
          <w:alias w:val="SmartCite Citation"/>
          <w:tag w:val="e1a7da00-c597-49e3-9997-bbfc1b33b542:6366b6d3-a9e3-4ea8-b5a3-2adb2a6bd9d8,e1a7da00-c597-49e3-9997-bbfc1b33b542:50e48589-b362-495a-a81c-737973fb57cc,e1a7da00-c597-49e3-9997-bbfc1b33b542:fe91909d-e626-4c90-a2de-b90f079770ec,e1a7da00-c597-49e3-9997-bbfc1b33b542:64a6c5b2-a70b-43b3-8941-2b8b63f87bb1,e1a7da00-c597-49e3-9997-bbfc1b33b542:fcda09f1-5ed2-4a23-8dcb-e6295bb1c227,e1a7da00-c597-49e3-9997-bbfc1b33b542:53d9932c-e67b-473b-8548-a9f1d2acac50+"/>
          <w:id w:val="-986775441"/>
          <w:placeholder>
            <w:docPart w:val="0ECBAB2443CBD64192D0F1348F18A118"/>
          </w:placeholder>
        </w:sdtPr>
        <w:sdtContent>
          <w:r w:rsidR="00395812" w:rsidRPr="00395812">
            <w:rPr>
              <w:rFonts w:ascii="Arial" w:hAnsi="Arial" w:cs="Arial"/>
              <w:vertAlign w:val="superscript"/>
            </w:rPr>
            <w:t>17–22</w:t>
          </w:r>
        </w:sdtContent>
      </w:sdt>
      <w:r w:rsidRPr="00286BE9">
        <w:rPr>
          <w:lang w:val="en-AU"/>
        </w:rPr>
        <w:t xml:space="preserve"> Additionally, studies suggest specific reference ranges for STN-DBS programming</w:t>
      </w:r>
      <w:r>
        <w:rPr>
          <w:lang w:val="en-AU"/>
        </w:rPr>
        <w:t>.</w:t>
      </w:r>
      <w:sdt>
        <w:sdtPr>
          <w:rPr>
            <w:rFonts w:ascii="Arial" w:hAnsi="Arial" w:cs="Arial"/>
            <w:lang w:val="en-AU"/>
          </w:rPr>
          <w:alias w:val="SmartCite Citation"/>
          <w:tag w:val="e1a7da00-c597-49e3-9997-bbfc1b33b542:d299c3d9-e3f2-4ddc-a2e0-23df61c278cb,e1a7da00-c597-49e3-9997-bbfc1b33b542:337a2799-1026-49f9-8bf4-0cb387ac137d,e1a7da00-c597-49e3-9997-bbfc1b33b542:2a96c18e-ca6f-49df-aa6a-8c9d1f808005,e1a7da00-c597-49e3-9997-bbfc1b33b542:0cdc4c3f-676c-4a9b-ab92-9283ee545907,e1a7da00-c597-49e3-9997-bbfc1b33b542:8d2f16b0-d174-4db4-84c9-072cfe195082,e1a7da00-c597-49e3-9997-bbfc1b33b542:9b763bb3-6776-409c-b440-321f76cfa664,e1a7da00-c597-49e3-9997-bbfc1b33b542:277eda4b-58da-4082-a37c-c03781a9b6a8,e1a7da00-c597-49e3-9997-bbfc1b33b542:4a9d2121-f247-440f-af3f-1a89aabf1c98+"/>
          <w:id w:val="-116370895"/>
          <w:placeholder>
            <w:docPart w:val="1B0DC70693E3054ABE4E43D8E7B5E40F"/>
          </w:placeholder>
        </w:sdtPr>
        <w:sdtContent>
          <w:r w:rsidR="00395812" w:rsidRPr="00395812">
            <w:rPr>
              <w:rFonts w:ascii="Arial" w:hAnsi="Arial" w:cs="Arial"/>
              <w:vertAlign w:val="superscript"/>
            </w:rPr>
            <w:t>23–30</w:t>
          </w:r>
        </w:sdtContent>
      </w:sdt>
      <w:r w:rsidRPr="00286BE9">
        <w:rPr>
          <w:lang w:val="en-AU"/>
        </w:rPr>
        <w:t xml:space="preserve"> Based on these data and clinical-neurological parameters, stimulation settings are adjusted</w:t>
      </w:r>
      <w:r>
        <w:rPr>
          <w:lang w:val="en-AU"/>
        </w:rPr>
        <w:t>.</w:t>
      </w:r>
      <w:sdt>
        <w:sdtPr>
          <w:rPr>
            <w:rFonts w:ascii="Arial" w:hAnsi="Arial" w:cs="Arial"/>
            <w:lang w:val="en-AU"/>
          </w:rPr>
          <w:alias w:val="SmartCite Citation"/>
          <w:tag w:val="e1a7da00-c597-49e3-9997-bbfc1b33b542:6366b6d3-a9e3-4ea8-b5a3-2adb2a6bd9d8,e1a7da00-c597-49e3-9997-bbfc1b33b542:50e48589-b362-495a-a81c-737973fb57cc,e1a7da00-c597-49e3-9997-bbfc1b33b542:53d9932c-e67b-473b-8548-a9f1d2acac50,e1a7da00-c597-49e3-9997-bbfc1b33b542:2ab01c09-11c2-407c-b73f-c94d269178a1+"/>
          <w:id w:val="496310327"/>
          <w:placeholder>
            <w:docPart w:val="8360D683948B074A9BAA5D7ECB7DE4FE"/>
          </w:placeholder>
        </w:sdtPr>
        <w:sdtContent>
          <w:r w:rsidR="00395812" w:rsidRPr="00395812">
            <w:rPr>
              <w:rFonts w:ascii="Arial" w:hAnsi="Arial" w:cs="Arial"/>
              <w:vertAlign w:val="superscript"/>
            </w:rPr>
            <w:t>2,17,18,22</w:t>
          </w:r>
        </w:sdtContent>
      </w:sdt>
      <w:r w:rsidRPr="00286BE9">
        <w:rPr>
          <w:lang w:val="en-AU"/>
        </w:rPr>
        <w:t xml:space="preserve"> Rigidity (rigor) is most frequently used as a target symptom, as it does not significantly depend on patient cooperation, is easy to test, does not fluctuate much, and responds quickly to stimulation</w:t>
      </w:r>
      <w:sdt>
        <w:sdtPr>
          <w:rPr>
            <w:rFonts w:ascii="Arial" w:hAnsi="Arial" w:cs="Arial"/>
            <w:lang w:val="en-AU"/>
          </w:rPr>
          <w:alias w:val="SmartCite Citation"/>
          <w:tag w:val="e1a7da00-c597-49e3-9997-bbfc1b33b542:d41b2f84-2d09-4861-a012-74e167ccf8f8,e1a7da00-c597-49e3-9997-bbfc1b33b542:a61d39e4-28d5-43d1-a672-a6700ea2dd70,e1a7da00-c597-49e3-9997-bbfc1b33b542:aa628e52-a5d9-4fa3-a93a-9b76d2959952+"/>
          <w:id w:val="-1927497744"/>
          <w:placeholder>
            <w:docPart w:val="2335FB0EE086E44AAE1AF77EB01624C2"/>
          </w:placeholder>
        </w:sdtPr>
        <w:sdtContent>
          <w:r w:rsidR="00395812" w:rsidRPr="00395812">
            <w:rPr>
              <w:rFonts w:ascii="Arial" w:hAnsi="Arial" w:cs="Arial"/>
              <w:vertAlign w:val="superscript"/>
            </w:rPr>
            <w:t>31–33</w:t>
          </w:r>
        </w:sdtContent>
      </w:sdt>
      <w:r w:rsidRPr="00286BE9">
        <w:rPr>
          <w:lang w:val="en-AU"/>
        </w:rPr>
        <w:t xml:space="preserve">. Rigidity can be tested, for example, via passive wrist movement. If rigidity is absent, </w:t>
      </w:r>
      <w:r w:rsidRPr="00286BE9">
        <w:rPr>
          <w:lang w:val="en-AU"/>
        </w:rPr>
        <w:lastRenderedPageBreak/>
        <w:t>bradykinesia is used as an alternative, typically assessed through hand or finger tapping. Additional clinical features such as tremor, gait, and general mobility (e.g., standing up from a chair) may also be evaluated.</w:t>
      </w:r>
    </w:p>
    <w:p w14:paraId="2A8F77C1" w14:textId="0687030E" w:rsidR="00146E61" w:rsidRPr="00286BE9" w:rsidRDefault="00146E61" w:rsidP="00146E61">
      <w:pPr>
        <w:spacing w:line="276" w:lineRule="auto"/>
        <w:ind w:firstLine="708"/>
        <w:jc w:val="both"/>
        <w:rPr>
          <w:lang w:val="en-AU"/>
        </w:rPr>
      </w:pPr>
      <w:r w:rsidRPr="00286BE9">
        <w:rPr>
          <w:lang w:val="en-AU"/>
        </w:rPr>
        <w:t>As part of IPG programming, all contacts are typically tested individually and sequentially on both sides, a process known as a "monopolar review." The most critical parameter in neurostimulation programming is the amplitude</w:t>
      </w:r>
      <w:sdt>
        <w:sdtPr>
          <w:rPr>
            <w:rFonts w:ascii="Arial" w:hAnsi="Arial" w:cs="Arial"/>
            <w:lang w:val="en-AU"/>
          </w:rPr>
          <w:alias w:val="SmartCite Citation"/>
          <w:tag w:val="e1a7da00-c597-49e3-9997-bbfc1b33b542:277eda4b-58da-4082-a37c-c03781a9b6a8,e1a7da00-c597-49e3-9997-bbfc1b33b542:4670828f-8fb6-46f1-877c-fdaac63f4f70+"/>
          <w:id w:val="-1606494572"/>
          <w:placeholder>
            <w:docPart w:val="5CEA8FA805254C43BD1C14EF30FFC95C"/>
          </w:placeholder>
        </w:sdtPr>
        <w:sdtContent>
          <w:r w:rsidR="00395812" w:rsidRPr="00395812">
            <w:rPr>
              <w:rFonts w:ascii="Arial" w:hAnsi="Arial" w:cs="Arial"/>
              <w:vertAlign w:val="superscript"/>
            </w:rPr>
            <w:t>29,34</w:t>
          </w:r>
        </w:sdtContent>
      </w:sdt>
      <w:r w:rsidRPr="00286BE9">
        <w:rPr>
          <w:lang w:val="en-AU"/>
        </w:rPr>
        <w:t>. Therefore, frequency and pulse width are usually held constant (60 µs, 130 Hz), and amplitude is slowly increased at each contact from 0 to 4 mA, corresponding to the therapeutic range described in the literature</w:t>
      </w:r>
      <w:sdt>
        <w:sdtPr>
          <w:rPr>
            <w:rFonts w:ascii="Arial" w:hAnsi="Arial" w:cs="Arial"/>
            <w:lang w:val="en-AU"/>
          </w:rPr>
          <w:alias w:val="SmartCite Citation"/>
          <w:tag w:val="e1a7da00-c597-49e3-9997-bbfc1b33b542:9b763bb3-6776-409c-b440-321f76cfa664,e1a7da00-c597-49e3-9997-bbfc1b33b542:277eda4b-58da-4082-a37c-c03781a9b6a8,e1a7da00-c597-49e3-9997-bbfc1b33b542:4a9d2121-f247-440f-af3f-1a89aabf1c98+"/>
          <w:id w:val="1345131729"/>
          <w:placeholder>
            <w:docPart w:val="737235E5E1AB6F4492B8BD088B93E4DE"/>
          </w:placeholder>
        </w:sdtPr>
        <w:sdtContent>
          <w:r w:rsidR="00395812" w:rsidRPr="00395812">
            <w:rPr>
              <w:rFonts w:ascii="Arial" w:hAnsi="Arial" w:cs="Arial"/>
              <w:vertAlign w:val="superscript"/>
            </w:rPr>
            <w:t>28–30</w:t>
          </w:r>
        </w:sdtContent>
      </w:sdt>
      <w:r w:rsidRPr="00286BE9">
        <w:rPr>
          <w:lang w:val="en-AU"/>
        </w:rPr>
        <w:t>. After each increment, a clinical-neurological assessment is made of the target symptoms and any potential side effects, which are documented.</w:t>
      </w:r>
    </w:p>
    <w:p w14:paraId="5CF1F99C" w14:textId="1867764A" w:rsidR="00146E61" w:rsidRPr="00286BE9" w:rsidRDefault="00146E61" w:rsidP="00146E61">
      <w:pPr>
        <w:spacing w:line="276" w:lineRule="auto"/>
        <w:ind w:firstLine="708"/>
        <w:jc w:val="both"/>
        <w:rPr>
          <w:lang w:val="en-AU"/>
        </w:rPr>
      </w:pPr>
      <w:r w:rsidRPr="00286BE9">
        <w:rPr>
          <w:lang w:val="en-AU"/>
        </w:rPr>
        <w:t>Modern segmented electrodes from manufacturers such as Boston Scientific® and Abbott® feature 8 individually controllable contacts per lead. Assuming amplitude is increased from 0.5 to 4 mA in 0.5 mA increments (8 steps), the result is a total of 2 x 8 x 8 = 128 test steps. IPG programming is therefore an extremely time- and documentation-intensive process, leading to substantial physician workload in routine clinical care. This workload is particularly relevant in postoperative follow-up. After DBS electrode implantation, Parkinson’s patients typically experience fluctuating motor function over several weeks or months. These fluctuations are due to the so-called “lesion” or “insertion effect,” referring to temporary symptom improvement caused by local tissue irritation following electrode implantation. As this effect subsides over time, symptoms reappear, requiring adjustment of stimulation settings. This necessitates repeated outpatient or inpatient visits, presenting practical, clinical, and economic challenges. Moreover, some side effects only become apparent hours or days after a stimulation change, which can require additional follow-up visits—posing a burden to both patients and providers. To address this, "closed-loop" DBS systems are being developed. These systems record and analyze a biosignal (e.g., EEG from the implanted electrodes), and automatically adjust the stimulation settings using predefined software algorithms</w:t>
      </w:r>
      <w:r w:rsidRPr="00286BE9">
        <w:rPr>
          <w:rFonts w:ascii="Arial" w:hAnsi="Arial" w:cs="Arial"/>
          <w:lang w:val="en-AU"/>
        </w:rPr>
        <w:t xml:space="preserve"> </w:t>
      </w:r>
      <w:sdt>
        <w:sdtPr>
          <w:rPr>
            <w:rFonts w:ascii="Arial" w:hAnsi="Arial" w:cs="Arial"/>
            <w:lang w:val="en-AU"/>
          </w:rPr>
          <w:alias w:val="SmartCite Citation"/>
          <w:tag w:val="e1a7da00-c597-49e3-9997-bbfc1b33b542:fcda09f1-5ed2-4a23-8dcb-e6295bb1c227+"/>
          <w:id w:val="-854343915"/>
          <w:placeholder>
            <w:docPart w:val="990F8D8E9EABC74FBF9339F843B0967A"/>
          </w:placeholder>
        </w:sdtPr>
        <w:sdtContent>
          <w:r w:rsidR="00395812" w:rsidRPr="00395812">
            <w:rPr>
              <w:rFonts w:ascii="Arial" w:hAnsi="Arial" w:cs="Arial"/>
              <w:vertAlign w:val="superscript"/>
            </w:rPr>
            <w:t>21</w:t>
          </w:r>
        </w:sdtContent>
      </w:sdt>
      <w:r w:rsidRPr="00286BE9">
        <w:rPr>
          <w:lang w:val="en-AU"/>
        </w:rPr>
        <w:t xml:space="preserve">. While this approach appears promising for the future, it remains unclear which biosignals are most suitable and how they should be processed. It is not yet foreseeable when closed-loop or even self-learning DBS systems will be integrated into routine clinical care. </w:t>
      </w:r>
    </w:p>
    <w:p w14:paraId="4A01AEFC" w14:textId="04392D03" w:rsidR="00146E61" w:rsidRPr="00286BE9" w:rsidRDefault="00146E61" w:rsidP="00146E61">
      <w:pPr>
        <w:spacing w:line="276" w:lineRule="auto"/>
        <w:ind w:firstLine="708"/>
        <w:jc w:val="both"/>
        <w:rPr>
          <w:lang w:val="en-AU"/>
        </w:rPr>
      </w:pPr>
      <w:r w:rsidRPr="00286BE9">
        <w:rPr>
          <w:lang w:val="en-AU"/>
        </w:rPr>
        <w:t>As an alternative, telemedicine approaches have recently been developed to reduce the need for repeated in-person visits and to facilitate extended postoperative care and device adjustments in the patient’s home. One example is Abbott’s concept for “remote” programming of brain stimulation devices. Abbott has developed a software solution under the name *Neurosphere™ Virtual Clinic* (</w:t>
      </w:r>
      <w:r w:rsidRPr="00286BE9">
        <w:rPr>
          <w:color w:val="215E99" w:themeColor="text2" w:themeTint="BF"/>
          <w:u w:val="single"/>
          <w:lang w:val="en-AU"/>
        </w:rPr>
        <w:t>https://neurosphere.abbott/virtual-clinic/).</w:t>
      </w:r>
      <w:r w:rsidRPr="00286BE9">
        <w:rPr>
          <w:color w:val="215E99" w:themeColor="text2" w:themeTint="BF"/>
          <w:lang w:val="en-AU"/>
        </w:rPr>
        <w:t xml:space="preserve"> </w:t>
      </w:r>
      <w:r w:rsidRPr="00286BE9">
        <w:rPr>
          <w:lang w:val="en-AU"/>
        </w:rPr>
        <w:t xml:space="preserve">This system has received FDA approval and CE marking from the accredited body BSI (MDR 725782) as of July 22, 2021. The core of the *Virtual Clinic* platform is software that allows i) initiating a video connection with a patient and ii) adjusting the DBS parameters without requiring an in-person ("face-to-face") visit. Both the physician and the patient log into the system at a scheduled time and explicitly confirm the connection. Only after mutual confirmation is the video session established (similar to ZOOM or WEBEX), enabling real-time communication. During the video session, the physician can adjust DBS parameters (contact, amplitude, pulse width) while observing the patient. Once a satisfactory adjustment is achieved, the settings are saved and the session ends. If the connection is disrupted (e.g., due to internet failure), the system automatically restores the previous settings used before the session.This novel technology offers the clear advantage of enabling uncomplicated and repeated physician-patient </w:t>
      </w:r>
      <w:r w:rsidRPr="00286BE9">
        <w:rPr>
          <w:lang w:val="en-AU"/>
        </w:rPr>
        <w:lastRenderedPageBreak/>
        <w:t xml:space="preserve">interactions without hospital visits. A perceived disadvantage is the inability to perform a clinical-neurological assessment, i.e., to evaluate how a specific setting affects rigidity or tremor. To address this issue, we conducted a pilot study (VISUAL-STIM; #18-809) to evaluate the applicability and validity of a novel DBS programming strategy for Parkinson’s patients. Instead of clinical testing, a visual analog scale (VAS) was used as a measure of the patient’s subjective feedback. Our preliminary results showed that in the short term, the VAS-based programming strategy was not inferior in efficacy to the standard monopolar review method </w:t>
      </w:r>
      <w:sdt>
        <w:sdtPr>
          <w:rPr>
            <w:rFonts w:ascii="Arial" w:eastAsia="MS Mincho" w:hAnsi="Arial" w:cs="Arial"/>
            <w:color w:val="000000"/>
            <w:lang w:val="en-AU" w:eastAsia="ja-JP"/>
          </w:rPr>
          <w:alias w:val="SmartCite Citation"/>
          <w:tag w:val="e1a7da00-c597-49e3-9997-bbfc1b33b542:2ab01c09-11c2-407c-b73f-c94d269178a1+"/>
          <w:id w:val="1235047498"/>
          <w:placeholder>
            <w:docPart w:val="E6966E193009FC4590F9D6FA51DA73D9"/>
          </w:placeholder>
        </w:sdtPr>
        <w:sdtContent>
          <w:r w:rsidR="00395812" w:rsidRPr="00395812">
            <w:rPr>
              <w:rFonts w:ascii="Arial" w:hAnsi="Arial" w:cs="Arial"/>
              <w:vertAlign w:val="superscript"/>
            </w:rPr>
            <w:t>2</w:t>
          </w:r>
        </w:sdtContent>
      </w:sdt>
      <w:r w:rsidRPr="00286BE9">
        <w:rPr>
          <w:lang w:val="en-AU"/>
        </w:rPr>
        <w:t>. Thus, VAS-based programming represents a potentially effective alternative approach for remote DBS programming. However, its medium-term safety and efficacy have not yet been scientifically studied.</w:t>
      </w:r>
    </w:p>
    <w:p w14:paraId="3DA2E72B" w14:textId="77777777" w:rsidR="00146E61" w:rsidRPr="00286BE9" w:rsidRDefault="00146E61" w:rsidP="00146E61">
      <w:pPr>
        <w:spacing w:before="100" w:beforeAutospacing="1" w:after="100" w:afterAutospacing="1"/>
        <w:outlineLvl w:val="2"/>
        <w:rPr>
          <w:b/>
          <w:bCs/>
          <w:lang w:val="en-AU"/>
        </w:rPr>
      </w:pPr>
      <w:r w:rsidRPr="00286BE9">
        <w:rPr>
          <w:b/>
          <w:bCs/>
          <w:lang w:val="en-AU"/>
        </w:rPr>
        <w:t>4. Study Objectives</w:t>
      </w:r>
    </w:p>
    <w:p w14:paraId="2D8B2C7F" w14:textId="77777777" w:rsidR="00146E61" w:rsidRPr="00286BE9" w:rsidRDefault="00146E61" w:rsidP="00146E61">
      <w:pPr>
        <w:spacing w:before="100" w:beforeAutospacing="1" w:after="100" w:afterAutospacing="1" w:line="276" w:lineRule="auto"/>
        <w:jc w:val="both"/>
        <w:rPr>
          <w:lang w:val="en-AU"/>
        </w:rPr>
      </w:pPr>
      <w:r w:rsidRPr="00286BE9">
        <w:rPr>
          <w:lang w:val="en-AU"/>
        </w:rPr>
        <w:t>IPG (implantable pulse generator) programming is crucial for the therapeutic success of DBS (deep brain stimulation) treatment in Parkinson’s disease. However, it is also highly time- and resource-intensive. Currently, no viable alternatives exist to the standard approach for IPG programming. Moreover, novel programming strategies are needed for application in telemedicine, i.e., in the absence of direct patient contact. Therefore, this study primarily pursues the following two objectives:</w:t>
      </w:r>
    </w:p>
    <w:p w14:paraId="4F36CFBD" w14:textId="4836E1F9" w:rsidR="00146E61" w:rsidRPr="00286BE9" w:rsidRDefault="00146E61" w:rsidP="00146E61">
      <w:pPr>
        <w:numPr>
          <w:ilvl w:val="0"/>
          <w:numId w:val="3"/>
        </w:numPr>
        <w:spacing w:before="100" w:beforeAutospacing="1" w:after="100" w:afterAutospacing="1" w:line="276" w:lineRule="auto"/>
        <w:jc w:val="both"/>
        <w:rPr>
          <w:lang w:val="en-AU"/>
        </w:rPr>
      </w:pPr>
      <w:r w:rsidRPr="00286BE9">
        <w:rPr>
          <w:b/>
          <w:bCs/>
          <w:lang w:val="en-AU"/>
        </w:rPr>
        <w:t>VAS-based programming of DBS devices</w:t>
      </w:r>
      <w:r w:rsidRPr="00286BE9">
        <w:rPr>
          <w:lang w:val="en-AU"/>
        </w:rPr>
        <w:t xml:space="preserve"> represents a novel approach for the follow-up care of DBS patients. We have previously evaluated programming via a visual analog scale (VAS) in Parkinson’s patients in the short term and found it to be safe and effective </w:t>
      </w:r>
      <w:sdt>
        <w:sdtPr>
          <w:rPr>
            <w:rFonts w:ascii="Arial" w:eastAsia="MS Mincho" w:hAnsi="Arial" w:cs="Arial"/>
            <w:color w:val="000000"/>
            <w:lang w:val="en-AU" w:eastAsia="ja-JP"/>
          </w:rPr>
          <w:alias w:val="SmartCite Citation"/>
          <w:tag w:val="e1a7da00-c597-49e3-9997-bbfc1b33b542:2ab01c09-11c2-407c-b73f-c94d269178a1+"/>
          <w:id w:val="-1847016867"/>
          <w:placeholder>
            <w:docPart w:val="6512388E4A1884498299BF22EE64691D"/>
          </w:placeholder>
        </w:sdtPr>
        <w:sdtContent>
          <w:r w:rsidR="00395812" w:rsidRPr="00395812">
            <w:rPr>
              <w:rFonts w:ascii="Arial" w:hAnsi="Arial" w:cs="Arial"/>
              <w:vertAlign w:val="superscript"/>
            </w:rPr>
            <w:t>2</w:t>
          </w:r>
        </w:sdtContent>
      </w:sdt>
      <w:r w:rsidRPr="00286BE9">
        <w:rPr>
          <w:lang w:val="en-AU"/>
        </w:rPr>
        <w:t xml:space="preserve">. However, data for </w:t>
      </w:r>
      <w:r w:rsidRPr="00286BE9">
        <w:rPr>
          <w:i/>
          <w:iCs/>
          <w:lang w:val="en-AU"/>
        </w:rPr>
        <w:t>de novo</w:t>
      </w:r>
      <w:r w:rsidRPr="00286BE9">
        <w:rPr>
          <w:lang w:val="en-AU"/>
        </w:rPr>
        <w:t xml:space="preserve"> patients (i.e., immediately after electrode implantation) over the long term (i.e., several months) are currently lacking. This study aims to investigate whether VAS-based programming of DBS systems in Parkinson’s patients is equivalent to the standard follow-up approach over a 90-day period.</w:t>
      </w:r>
    </w:p>
    <w:p w14:paraId="04CC6A11" w14:textId="77777777" w:rsidR="00146E61" w:rsidRPr="00286BE9" w:rsidRDefault="00146E61" w:rsidP="00146E61">
      <w:pPr>
        <w:numPr>
          <w:ilvl w:val="0"/>
          <w:numId w:val="3"/>
        </w:numPr>
        <w:spacing w:line="276" w:lineRule="auto"/>
        <w:jc w:val="both"/>
        <w:rPr>
          <w:lang w:val="en-AU"/>
        </w:rPr>
      </w:pPr>
      <w:r w:rsidRPr="00286BE9">
        <w:rPr>
          <w:b/>
          <w:bCs/>
          <w:lang w:val="en-AU"/>
        </w:rPr>
        <w:t>One key advantage of VAS-based programming</w:t>
      </w:r>
      <w:r w:rsidRPr="00286BE9">
        <w:rPr>
          <w:lang w:val="en-AU"/>
        </w:rPr>
        <w:t xml:space="preserve"> is that it eliminates the need for a clinical-neurological examination. Recently, new software solutions—such as the </w:t>
      </w:r>
      <w:r w:rsidRPr="00286BE9">
        <w:rPr>
          <w:i/>
          <w:iCs/>
          <w:lang w:val="en-AU"/>
        </w:rPr>
        <w:t>Neurosphere™ Virtual Clinic</w:t>
      </w:r>
      <w:r w:rsidRPr="00286BE9">
        <w:rPr>
          <w:lang w:val="en-AU"/>
        </w:rPr>
        <w:t>—have been introduced for remote programming of DBS patients in their home environment. Therefore, the study will also assess whether VAS-based programming is suitable for use in a telemedicine setting.</w:t>
      </w:r>
    </w:p>
    <w:p w14:paraId="310DD0F0" w14:textId="77777777" w:rsidR="00146E61" w:rsidRPr="00286BE9" w:rsidRDefault="00146E61" w:rsidP="00146E61">
      <w:pPr>
        <w:spacing w:line="276" w:lineRule="auto"/>
        <w:ind w:left="360"/>
        <w:rPr>
          <w:lang w:val="en-AU"/>
        </w:rPr>
      </w:pPr>
    </w:p>
    <w:p w14:paraId="7A155AF4" w14:textId="77777777" w:rsidR="00146E61" w:rsidRPr="00286BE9" w:rsidRDefault="00146E61" w:rsidP="00146E61">
      <w:pPr>
        <w:spacing w:line="276" w:lineRule="auto"/>
        <w:outlineLvl w:val="2"/>
        <w:rPr>
          <w:b/>
          <w:bCs/>
          <w:lang w:val="en-AU"/>
        </w:rPr>
      </w:pPr>
      <w:r w:rsidRPr="00286BE9">
        <w:rPr>
          <w:b/>
          <w:bCs/>
          <w:lang w:val="en-AU"/>
        </w:rPr>
        <w:t>5. Endpoints</w:t>
      </w:r>
    </w:p>
    <w:p w14:paraId="204F45B1" w14:textId="77777777" w:rsidR="00146E61" w:rsidRPr="00286BE9" w:rsidRDefault="00146E61" w:rsidP="00146E61">
      <w:pPr>
        <w:spacing w:line="276" w:lineRule="auto"/>
        <w:outlineLvl w:val="2"/>
        <w:rPr>
          <w:b/>
          <w:bCs/>
          <w:lang w:val="en-AU"/>
        </w:rPr>
      </w:pPr>
    </w:p>
    <w:p w14:paraId="1C31654E" w14:textId="77777777" w:rsidR="00146E61" w:rsidRPr="00286BE9" w:rsidRDefault="00146E61" w:rsidP="00146E61">
      <w:pPr>
        <w:spacing w:line="276" w:lineRule="auto"/>
        <w:jc w:val="both"/>
        <w:rPr>
          <w:lang w:val="en-AU"/>
        </w:rPr>
      </w:pPr>
      <w:r w:rsidRPr="00286BE9">
        <w:rPr>
          <w:b/>
          <w:bCs/>
          <w:lang w:val="en-AU"/>
        </w:rPr>
        <w:t>Hypotheses:</w:t>
      </w:r>
      <w:r w:rsidRPr="00286BE9">
        <w:rPr>
          <w:lang w:val="en-AU"/>
        </w:rPr>
        <w:br/>
        <w:t>This study is based on the hypothesis that optimal adjustment of stimulation parameters using remote VAS-based programming (VAS-R) is equally effective as the conventional programming approach, which includes clinical-neurological examination (null hypothesis).</w:t>
      </w:r>
    </w:p>
    <w:p w14:paraId="2E08182F" w14:textId="77777777" w:rsidR="00146E61" w:rsidRPr="00286BE9" w:rsidRDefault="00146E61" w:rsidP="00146E61">
      <w:pPr>
        <w:spacing w:line="276" w:lineRule="auto"/>
        <w:jc w:val="both"/>
        <w:rPr>
          <w:lang w:val="en-AU"/>
        </w:rPr>
      </w:pPr>
    </w:p>
    <w:p w14:paraId="07949B6B" w14:textId="77777777" w:rsidR="00146E61" w:rsidRPr="00286BE9" w:rsidRDefault="00146E61" w:rsidP="00146E61">
      <w:pPr>
        <w:spacing w:line="276" w:lineRule="auto"/>
        <w:rPr>
          <w:b/>
          <w:bCs/>
          <w:lang w:val="en-AU"/>
        </w:rPr>
      </w:pPr>
      <w:r w:rsidRPr="00286BE9">
        <w:rPr>
          <w:b/>
          <w:bCs/>
          <w:lang w:val="en-AU"/>
        </w:rPr>
        <w:t>Primary and Secondary Objectives:</w:t>
      </w:r>
    </w:p>
    <w:p w14:paraId="6B1B1144" w14:textId="77777777" w:rsidR="00146E61" w:rsidRPr="00286BE9" w:rsidRDefault="00146E61" w:rsidP="00146E61">
      <w:pPr>
        <w:spacing w:line="276" w:lineRule="auto"/>
        <w:rPr>
          <w:lang w:val="en-AU"/>
        </w:rPr>
      </w:pPr>
      <w:r w:rsidRPr="00286BE9">
        <w:rPr>
          <w:lang w:val="en-AU"/>
        </w:rPr>
        <w:br/>
        <w:t xml:space="preserve">The </w:t>
      </w:r>
      <w:r w:rsidRPr="00286BE9">
        <w:rPr>
          <w:b/>
          <w:bCs/>
          <w:lang w:val="en-AU"/>
        </w:rPr>
        <w:t>primary objective</w:t>
      </w:r>
      <w:r w:rsidRPr="00286BE9">
        <w:rPr>
          <w:lang w:val="en-AU"/>
        </w:rPr>
        <w:t xml:space="preserve"> of the study is to assess whether remote VAS-based programming (VAS-R) leads to clinical outcomes comparable to those achieved with the standard method.</w:t>
      </w:r>
    </w:p>
    <w:p w14:paraId="08723CCA" w14:textId="77777777" w:rsidR="00146E61" w:rsidRPr="00286BE9" w:rsidRDefault="00146E61" w:rsidP="00146E61">
      <w:pPr>
        <w:spacing w:line="276" w:lineRule="auto"/>
        <w:rPr>
          <w:lang w:val="en-AU"/>
        </w:rPr>
      </w:pPr>
      <w:r w:rsidRPr="00286BE9">
        <w:rPr>
          <w:lang w:val="en-AU"/>
        </w:rPr>
        <w:lastRenderedPageBreak/>
        <w:br/>
        <w:t xml:space="preserve">The </w:t>
      </w:r>
      <w:r w:rsidRPr="00286BE9">
        <w:rPr>
          <w:b/>
          <w:bCs/>
          <w:lang w:val="en-AU"/>
        </w:rPr>
        <w:t>secondary objective</w:t>
      </w:r>
      <w:r w:rsidRPr="00286BE9">
        <w:rPr>
          <w:lang w:val="en-AU"/>
        </w:rPr>
        <w:t xml:space="preserve"> is to evaluate the </w:t>
      </w:r>
      <w:r w:rsidRPr="00286BE9">
        <w:rPr>
          <w:b/>
          <w:bCs/>
          <w:lang w:val="en-AU"/>
        </w:rPr>
        <w:t>safety</w:t>
      </w:r>
      <w:r w:rsidRPr="00286BE9">
        <w:rPr>
          <w:lang w:val="en-AU"/>
        </w:rPr>
        <w:t xml:space="preserve"> of remote VAS-based programming (VAS-R), including risks and side effects.</w:t>
      </w:r>
    </w:p>
    <w:p w14:paraId="2192D831" w14:textId="77777777" w:rsidR="00146E61" w:rsidRPr="00286BE9" w:rsidRDefault="00146E61" w:rsidP="00146E61">
      <w:pPr>
        <w:spacing w:line="276" w:lineRule="auto"/>
        <w:rPr>
          <w:b/>
          <w:bCs/>
          <w:lang w:val="en-AU"/>
        </w:rPr>
      </w:pPr>
    </w:p>
    <w:p w14:paraId="197C9C3B" w14:textId="77777777" w:rsidR="00146E61" w:rsidRPr="00286BE9" w:rsidRDefault="00146E61" w:rsidP="00146E61">
      <w:pPr>
        <w:spacing w:line="276" w:lineRule="auto"/>
        <w:outlineLvl w:val="2"/>
        <w:rPr>
          <w:b/>
          <w:bCs/>
          <w:lang w:val="en-AU"/>
        </w:rPr>
      </w:pPr>
      <w:r w:rsidRPr="00286BE9">
        <w:rPr>
          <w:b/>
          <w:bCs/>
          <w:lang w:val="en-AU"/>
        </w:rPr>
        <w:t>6. Study Design</w:t>
      </w:r>
    </w:p>
    <w:p w14:paraId="5C824166" w14:textId="77777777" w:rsidR="00146E61" w:rsidRPr="00286BE9" w:rsidRDefault="00146E61" w:rsidP="00146E61">
      <w:pPr>
        <w:spacing w:line="276" w:lineRule="auto"/>
        <w:outlineLvl w:val="2"/>
        <w:rPr>
          <w:b/>
          <w:bCs/>
          <w:lang w:val="en-AU"/>
        </w:rPr>
      </w:pPr>
    </w:p>
    <w:p w14:paraId="0C13C837" w14:textId="77777777" w:rsidR="00146E61" w:rsidRPr="00286BE9" w:rsidRDefault="00146E61" w:rsidP="00146E61">
      <w:pPr>
        <w:spacing w:line="276" w:lineRule="auto"/>
        <w:rPr>
          <w:lang w:val="en-AU"/>
        </w:rPr>
      </w:pPr>
      <w:r w:rsidRPr="00286BE9">
        <w:rPr>
          <w:b/>
          <w:bCs/>
          <w:lang w:val="en-AU"/>
        </w:rPr>
        <w:t>Study Type:</w:t>
      </w:r>
      <w:r w:rsidRPr="00286BE9">
        <w:rPr>
          <w:lang w:val="en-AU"/>
        </w:rPr>
        <w:t xml:space="preserve"> This is a </w:t>
      </w:r>
      <w:r w:rsidRPr="00286BE9">
        <w:rPr>
          <w:b/>
          <w:bCs/>
          <w:lang w:val="en-AU"/>
        </w:rPr>
        <w:t>multicenter, prospective, randomized, interventional</w:t>
      </w:r>
      <w:r w:rsidRPr="00286BE9">
        <w:rPr>
          <w:lang w:val="en-AU"/>
        </w:rPr>
        <w:t xml:space="preserve"> study.</w:t>
      </w:r>
    </w:p>
    <w:p w14:paraId="6DF49781" w14:textId="77777777" w:rsidR="00146E61" w:rsidRPr="00286BE9" w:rsidRDefault="00146E61" w:rsidP="00146E61">
      <w:pPr>
        <w:spacing w:line="276" w:lineRule="auto"/>
        <w:rPr>
          <w:lang w:val="en-AU"/>
        </w:rPr>
      </w:pPr>
    </w:p>
    <w:p w14:paraId="5B653289" w14:textId="77777777" w:rsidR="00146E61" w:rsidRPr="00286BE9" w:rsidRDefault="00146E61" w:rsidP="00146E61">
      <w:pPr>
        <w:spacing w:line="276" w:lineRule="auto"/>
        <w:rPr>
          <w:lang w:val="en-AU"/>
        </w:rPr>
      </w:pPr>
      <w:r w:rsidRPr="00286BE9">
        <w:rPr>
          <w:b/>
          <w:bCs/>
          <w:lang w:val="en-AU"/>
        </w:rPr>
        <w:t>Study Duration:</w:t>
      </w:r>
      <w:r w:rsidRPr="00286BE9">
        <w:rPr>
          <w:lang w:val="en-AU"/>
        </w:rPr>
        <w:t xml:space="preserve"> The duration of the study is </w:t>
      </w:r>
      <w:r w:rsidRPr="00286BE9">
        <w:rPr>
          <w:b/>
          <w:bCs/>
          <w:lang w:val="en-AU"/>
        </w:rPr>
        <w:t>90 days per participant</w:t>
      </w:r>
      <w:r w:rsidRPr="00286BE9">
        <w:rPr>
          <w:lang w:val="en-AU"/>
        </w:rPr>
        <w:t>.</w:t>
      </w:r>
    </w:p>
    <w:p w14:paraId="5450A994" w14:textId="77777777" w:rsidR="00146E61" w:rsidRPr="00286BE9" w:rsidRDefault="00146E61" w:rsidP="00146E61">
      <w:pPr>
        <w:spacing w:before="100" w:beforeAutospacing="1" w:after="100" w:afterAutospacing="1" w:line="276" w:lineRule="auto"/>
        <w:rPr>
          <w:b/>
          <w:bCs/>
          <w:lang w:val="en-AU"/>
        </w:rPr>
      </w:pPr>
      <w:r w:rsidRPr="00286BE9">
        <w:rPr>
          <w:b/>
          <w:bCs/>
          <w:lang w:val="en-AU"/>
        </w:rPr>
        <w:t>7. Study Centers</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71"/>
        <w:gridCol w:w="3542"/>
        <w:gridCol w:w="2280"/>
        <w:gridCol w:w="1963"/>
      </w:tblGrid>
      <w:tr w:rsidR="00146E61" w:rsidRPr="00286BE9" w14:paraId="32444F14" w14:textId="77777777" w:rsidTr="001E3B42">
        <w:trPr>
          <w:tblHeader/>
          <w:tblCellSpacing w:w="15" w:type="dxa"/>
          <w:jc w:val="center"/>
        </w:trPr>
        <w:tc>
          <w:tcPr>
            <w:tcW w:w="1226" w:type="dxa"/>
            <w:vAlign w:val="center"/>
            <w:hideMark/>
          </w:tcPr>
          <w:p w14:paraId="35867D9D" w14:textId="77777777" w:rsidR="00146E61" w:rsidRPr="00286BE9" w:rsidRDefault="00146E61" w:rsidP="001E3B42">
            <w:pPr>
              <w:rPr>
                <w:b/>
                <w:bCs/>
                <w:lang w:val="en-AU"/>
              </w:rPr>
            </w:pPr>
            <w:r w:rsidRPr="00286BE9">
              <w:rPr>
                <w:b/>
                <w:bCs/>
                <w:lang w:val="en-AU"/>
              </w:rPr>
              <w:t>City</w:t>
            </w:r>
          </w:p>
        </w:tc>
        <w:tc>
          <w:tcPr>
            <w:tcW w:w="3512" w:type="dxa"/>
            <w:vAlign w:val="center"/>
            <w:hideMark/>
          </w:tcPr>
          <w:p w14:paraId="038DCAA1" w14:textId="77777777" w:rsidR="00146E61" w:rsidRPr="00286BE9" w:rsidRDefault="00146E61" w:rsidP="001E3B42">
            <w:pPr>
              <w:rPr>
                <w:b/>
                <w:bCs/>
                <w:lang w:val="en-AU"/>
              </w:rPr>
            </w:pPr>
            <w:r w:rsidRPr="00286BE9">
              <w:rPr>
                <w:b/>
                <w:bCs/>
                <w:lang w:val="en-AU"/>
              </w:rPr>
              <w:t>Institution</w:t>
            </w:r>
          </w:p>
        </w:tc>
        <w:tc>
          <w:tcPr>
            <w:tcW w:w="0" w:type="auto"/>
            <w:vAlign w:val="center"/>
            <w:hideMark/>
          </w:tcPr>
          <w:p w14:paraId="71A326C0" w14:textId="77777777" w:rsidR="00146E61" w:rsidRPr="00286BE9" w:rsidRDefault="00146E61" w:rsidP="001E3B42">
            <w:pPr>
              <w:rPr>
                <w:b/>
                <w:bCs/>
                <w:lang w:val="en-AU"/>
              </w:rPr>
            </w:pPr>
            <w:r w:rsidRPr="00286BE9">
              <w:rPr>
                <w:b/>
                <w:bCs/>
                <w:lang w:val="en-AU"/>
              </w:rPr>
              <w:t>Investigator</w:t>
            </w:r>
          </w:p>
        </w:tc>
        <w:tc>
          <w:tcPr>
            <w:tcW w:w="0" w:type="auto"/>
            <w:vAlign w:val="center"/>
            <w:hideMark/>
          </w:tcPr>
          <w:p w14:paraId="1B1290A8" w14:textId="77777777" w:rsidR="00146E61" w:rsidRPr="00286BE9" w:rsidRDefault="00146E61" w:rsidP="001E3B42">
            <w:pPr>
              <w:rPr>
                <w:b/>
                <w:bCs/>
                <w:lang w:val="en-AU"/>
              </w:rPr>
            </w:pPr>
            <w:r w:rsidRPr="00286BE9">
              <w:rPr>
                <w:b/>
                <w:bCs/>
                <w:lang w:val="en-AU"/>
              </w:rPr>
              <w:t>Estimated Enrollment</w:t>
            </w:r>
          </w:p>
        </w:tc>
      </w:tr>
      <w:tr w:rsidR="00146E61" w:rsidRPr="00286BE9" w14:paraId="592C3372" w14:textId="77777777" w:rsidTr="001E3B42">
        <w:trPr>
          <w:tblCellSpacing w:w="15" w:type="dxa"/>
          <w:jc w:val="center"/>
        </w:trPr>
        <w:tc>
          <w:tcPr>
            <w:tcW w:w="1226" w:type="dxa"/>
            <w:vAlign w:val="center"/>
            <w:hideMark/>
          </w:tcPr>
          <w:p w14:paraId="019A8823" w14:textId="77777777" w:rsidR="00146E61" w:rsidRPr="00286BE9" w:rsidRDefault="00146E61" w:rsidP="001E3B42">
            <w:pPr>
              <w:rPr>
                <w:lang w:val="en-AU"/>
              </w:rPr>
            </w:pPr>
            <w:r w:rsidRPr="00286BE9">
              <w:rPr>
                <w:lang w:val="en-AU"/>
              </w:rPr>
              <w:t>Munich</w:t>
            </w:r>
          </w:p>
        </w:tc>
        <w:tc>
          <w:tcPr>
            <w:tcW w:w="3512" w:type="dxa"/>
            <w:vAlign w:val="center"/>
            <w:hideMark/>
          </w:tcPr>
          <w:p w14:paraId="20656056" w14:textId="77777777" w:rsidR="00146E61" w:rsidRPr="00286BE9" w:rsidRDefault="00146E61" w:rsidP="001E3B42">
            <w:pPr>
              <w:rPr>
                <w:lang w:val="en-AU"/>
              </w:rPr>
            </w:pPr>
            <w:r w:rsidRPr="00286BE9">
              <w:rPr>
                <w:lang w:val="en-AU"/>
              </w:rPr>
              <w:t>LMU University Hospital</w:t>
            </w:r>
          </w:p>
        </w:tc>
        <w:tc>
          <w:tcPr>
            <w:tcW w:w="0" w:type="auto"/>
            <w:vAlign w:val="center"/>
            <w:hideMark/>
          </w:tcPr>
          <w:p w14:paraId="6C2D90DE" w14:textId="77777777" w:rsidR="00146E61" w:rsidRPr="00286BE9" w:rsidRDefault="00146E61" w:rsidP="001E3B42">
            <w:pPr>
              <w:rPr>
                <w:lang w:val="en-AU"/>
              </w:rPr>
            </w:pPr>
            <w:r w:rsidRPr="00286BE9">
              <w:rPr>
                <w:lang w:val="en-AU"/>
              </w:rPr>
              <w:t>PD Dr. Thomas Köglsperger</w:t>
            </w:r>
          </w:p>
        </w:tc>
        <w:tc>
          <w:tcPr>
            <w:tcW w:w="0" w:type="auto"/>
            <w:vAlign w:val="center"/>
            <w:hideMark/>
          </w:tcPr>
          <w:p w14:paraId="2B1B80E2" w14:textId="77777777" w:rsidR="00146E61" w:rsidRPr="00286BE9" w:rsidRDefault="00146E61" w:rsidP="001E3B42">
            <w:pPr>
              <w:rPr>
                <w:lang w:val="en-AU"/>
              </w:rPr>
            </w:pPr>
            <w:r>
              <w:rPr>
                <w:lang w:val="en-AU"/>
              </w:rPr>
              <w:t>20</w:t>
            </w:r>
          </w:p>
        </w:tc>
      </w:tr>
      <w:tr w:rsidR="00146E61" w:rsidRPr="00286BE9" w14:paraId="23370CBC" w14:textId="77777777" w:rsidTr="001E3B42">
        <w:trPr>
          <w:tblCellSpacing w:w="15" w:type="dxa"/>
          <w:jc w:val="center"/>
        </w:trPr>
        <w:tc>
          <w:tcPr>
            <w:tcW w:w="1226" w:type="dxa"/>
            <w:vAlign w:val="center"/>
            <w:hideMark/>
          </w:tcPr>
          <w:p w14:paraId="0FBE71FC" w14:textId="77777777" w:rsidR="00146E61" w:rsidRPr="00286BE9" w:rsidRDefault="00146E61" w:rsidP="001E3B42">
            <w:pPr>
              <w:rPr>
                <w:lang w:val="en-AU"/>
              </w:rPr>
            </w:pPr>
            <w:r w:rsidRPr="00286BE9">
              <w:rPr>
                <w:lang w:val="en-AU"/>
              </w:rPr>
              <w:t>Erlangen</w:t>
            </w:r>
          </w:p>
        </w:tc>
        <w:tc>
          <w:tcPr>
            <w:tcW w:w="3512" w:type="dxa"/>
            <w:vAlign w:val="center"/>
            <w:hideMark/>
          </w:tcPr>
          <w:p w14:paraId="182794A9" w14:textId="77777777" w:rsidR="00146E61" w:rsidRPr="00286BE9" w:rsidRDefault="00146E61" w:rsidP="001E3B42">
            <w:pPr>
              <w:rPr>
                <w:lang w:val="en-AU"/>
              </w:rPr>
            </w:pPr>
            <w:r w:rsidRPr="00286BE9">
              <w:rPr>
                <w:lang w:val="en-AU"/>
              </w:rPr>
              <w:t>Department of Neurosurgery, University Hospital</w:t>
            </w:r>
          </w:p>
        </w:tc>
        <w:tc>
          <w:tcPr>
            <w:tcW w:w="0" w:type="auto"/>
            <w:vAlign w:val="center"/>
            <w:hideMark/>
          </w:tcPr>
          <w:p w14:paraId="417ECF24" w14:textId="77777777" w:rsidR="00146E61" w:rsidRPr="00286BE9" w:rsidRDefault="00146E61" w:rsidP="001E3B42">
            <w:pPr>
              <w:rPr>
                <w:lang w:val="en-AU"/>
              </w:rPr>
            </w:pPr>
            <w:r w:rsidRPr="00286BE9">
              <w:rPr>
                <w:lang w:val="en-AU"/>
              </w:rPr>
              <w:t>Prof. Dr. Thomas M. Kinfe</w:t>
            </w:r>
          </w:p>
        </w:tc>
        <w:tc>
          <w:tcPr>
            <w:tcW w:w="0" w:type="auto"/>
            <w:vAlign w:val="center"/>
            <w:hideMark/>
          </w:tcPr>
          <w:p w14:paraId="38DD7750" w14:textId="77777777" w:rsidR="00146E61" w:rsidRPr="00286BE9" w:rsidRDefault="00146E61" w:rsidP="001E3B42">
            <w:pPr>
              <w:rPr>
                <w:lang w:val="en-AU"/>
              </w:rPr>
            </w:pPr>
            <w:r w:rsidRPr="00286BE9">
              <w:rPr>
                <w:lang w:val="en-AU"/>
              </w:rPr>
              <w:t>5</w:t>
            </w:r>
          </w:p>
        </w:tc>
      </w:tr>
      <w:tr w:rsidR="00146E61" w:rsidRPr="00286BE9" w14:paraId="36EF2351" w14:textId="77777777" w:rsidTr="001E3B42">
        <w:trPr>
          <w:tblCellSpacing w:w="15" w:type="dxa"/>
          <w:jc w:val="center"/>
        </w:trPr>
        <w:tc>
          <w:tcPr>
            <w:tcW w:w="1226" w:type="dxa"/>
            <w:vAlign w:val="center"/>
            <w:hideMark/>
          </w:tcPr>
          <w:p w14:paraId="11F04584" w14:textId="77777777" w:rsidR="00146E61" w:rsidRPr="00286BE9" w:rsidRDefault="00146E61" w:rsidP="001E3B42">
            <w:pPr>
              <w:rPr>
                <w:lang w:val="en-AU"/>
              </w:rPr>
            </w:pPr>
            <w:r w:rsidRPr="00286BE9">
              <w:rPr>
                <w:lang w:val="en-AU"/>
              </w:rPr>
              <w:t>Leipzig</w:t>
            </w:r>
          </w:p>
        </w:tc>
        <w:tc>
          <w:tcPr>
            <w:tcW w:w="3512" w:type="dxa"/>
            <w:vAlign w:val="center"/>
            <w:hideMark/>
          </w:tcPr>
          <w:p w14:paraId="49A79BCA" w14:textId="77777777" w:rsidR="00146E61" w:rsidRPr="00286BE9" w:rsidRDefault="00146E61" w:rsidP="001E3B42">
            <w:pPr>
              <w:rPr>
                <w:lang w:val="en-AU"/>
              </w:rPr>
            </w:pPr>
            <w:r w:rsidRPr="00286BE9">
              <w:rPr>
                <w:lang w:val="en-AU"/>
              </w:rPr>
              <w:t>Department of Neurology, University Hospital</w:t>
            </w:r>
          </w:p>
        </w:tc>
        <w:tc>
          <w:tcPr>
            <w:tcW w:w="0" w:type="auto"/>
            <w:vAlign w:val="center"/>
            <w:hideMark/>
          </w:tcPr>
          <w:p w14:paraId="3E106F1F" w14:textId="77777777" w:rsidR="00146E61" w:rsidRPr="00286BE9" w:rsidRDefault="00146E61" w:rsidP="001E3B42">
            <w:pPr>
              <w:rPr>
                <w:lang w:val="en-AU"/>
              </w:rPr>
            </w:pPr>
            <w:r w:rsidRPr="00286BE9">
              <w:rPr>
                <w:lang w:val="en-AU"/>
              </w:rPr>
              <w:t>Dr. habil. Jost-Julian Rumpf</w:t>
            </w:r>
          </w:p>
        </w:tc>
        <w:tc>
          <w:tcPr>
            <w:tcW w:w="0" w:type="auto"/>
            <w:vAlign w:val="center"/>
            <w:hideMark/>
          </w:tcPr>
          <w:p w14:paraId="1783D0D4" w14:textId="77777777" w:rsidR="00146E61" w:rsidRPr="00286BE9" w:rsidRDefault="00146E61" w:rsidP="001E3B42">
            <w:pPr>
              <w:rPr>
                <w:lang w:val="en-AU"/>
              </w:rPr>
            </w:pPr>
            <w:r w:rsidRPr="00286BE9">
              <w:rPr>
                <w:lang w:val="en-AU"/>
              </w:rPr>
              <w:t>5</w:t>
            </w:r>
          </w:p>
        </w:tc>
      </w:tr>
      <w:tr w:rsidR="00146E61" w:rsidRPr="00286BE9" w14:paraId="458EA9E6" w14:textId="77777777" w:rsidTr="001E3B42">
        <w:trPr>
          <w:tblCellSpacing w:w="15" w:type="dxa"/>
          <w:jc w:val="center"/>
        </w:trPr>
        <w:tc>
          <w:tcPr>
            <w:tcW w:w="1226" w:type="dxa"/>
            <w:vAlign w:val="center"/>
            <w:hideMark/>
          </w:tcPr>
          <w:p w14:paraId="0F2AAD26" w14:textId="77777777" w:rsidR="00146E61" w:rsidRPr="00286BE9" w:rsidRDefault="00146E61" w:rsidP="001E3B42">
            <w:pPr>
              <w:rPr>
                <w:lang w:val="en-AU"/>
              </w:rPr>
            </w:pPr>
            <w:r w:rsidRPr="00286BE9">
              <w:rPr>
                <w:lang w:val="en-AU"/>
              </w:rPr>
              <w:t>Düsseldorf</w:t>
            </w:r>
          </w:p>
        </w:tc>
        <w:tc>
          <w:tcPr>
            <w:tcW w:w="3512" w:type="dxa"/>
            <w:vAlign w:val="center"/>
            <w:hideMark/>
          </w:tcPr>
          <w:p w14:paraId="734152A8" w14:textId="77777777" w:rsidR="00146E61" w:rsidRPr="00286BE9" w:rsidRDefault="00146E61" w:rsidP="001E3B42">
            <w:pPr>
              <w:rPr>
                <w:lang w:val="en-AU"/>
              </w:rPr>
            </w:pPr>
            <w:r w:rsidRPr="00286BE9">
              <w:rPr>
                <w:lang w:val="en-AU"/>
              </w:rPr>
              <w:t>Department of Neurology, University Hospital</w:t>
            </w:r>
          </w:p>
        </w:tc>
        <w:tc>
          <w:tcPr>
            <w:tcW w:w="0" w:type="auto"/>
            <w:vAlign w:val="center"/>
            <w:hideMark/>
          </w:tcPr>
          <w:p w14:paraId="2C0CFEA7" w14:textId="77777777" w:rsidR="00146E61" w:rsidRPr="00286BE9" w:rsidRDefault="00146E61" w:rsidP="001E3B42">
            <w:pPr>
              <w:rPr>
                <w:lang w:val="en-AU"/>
              </w:rPr>
            </w:pPr>
            <w:r w:rsidRPr="00286BE9">
              <w:rPr>
                <w:lang w:val="en-AU"/>
              </w:rPr>
              <w:t>Prof. Dr. Alfons Schnitzler</w:t>
            </w:r>
          </w:p>
        </w:tc>
        <w:tc>
          <w:tcPr>
            <w:tcW w:w="0" w:type="auto"/>
            <w:vAlign w:val="center"/>
            <w:hideMark/>
          </w:tcPr>
          <w:p w14:paraId="09921DD2" w14:textId="77777777" w:rsidR="00146E61" w:rsidRPr="00286BE9" w:rsidRDefault="00146E61" w:rsidP="001E3B42">
            <w:pPr>
              <w:rPr>
                <w:lang w:val="en-AU"/>
              </w:rPr>
            </w:pPr>
            <w:r w:rsidRPr="00286BE9">
              <w:rPr>
                <w:lang w:val="en-AU"/>
              </w:rPr>
              <w:t>10</w:t>
            </w:r>
          </w:p>
        </w:tc>
      </w:tr>
      <w:tr w:rsidR="00146E61" w:rsidRPr="00286BE9" w14:paraId="2E85592D" w14:textId="77777777" w:rsidTr="001E3B42">
        <w:trPr>
          <w:tblCellSpacing w:w="15" w:type="dxa"/>
          <w:jc w:val="center"/>
        </w:trPr>
        <w:tc>
          <w:tcPr>
            <w:tcW w:w="1226" w:type="dxa"/>
            <w:vAlign w:val="center"/>
            <w:hideMark/>
          </w:tcPr>
          <w:p w14:paraId="0D18C7A1" w14:textId="77777777" w:rsidR="00146E61" w:rsidRPr="00286BE9" w:rsidRDefault="00146E61" w:rsidP="001E3B42">
            <w:pPr>
              <w:rPr>
                <w:lang w:val="en-AU"/>
              </w:rPr>
            </w:pPr>
            <w:r w:rsidRPr="00286BE9">
              <w:rPr>
                <w:lang w:val="en-AU"/>
              </w:rPr>
              <w:t>Hamburg</w:t>
            </w:r>
          </w:p>
        </w:tc>
        <w:tc>
          <w:tcPr>
            <w:tcW w:w="3512" w:type="dxa"/>
            <w:vAlign w:val="center"/>
            <w:hideMark/>
          </w:tcPr>
          <w:p w14:paraId="0AAF349F" w14:textId="77777777" w:rsidR="00146E61" w:rsidRPr="00286BE9" w:rsidRDefault="00146E61" w:rsidP="001E3B42">
            <w:pPr>
              <w:rPr>
                <w:lang w:val="en-AU"/>
              </w:rPr>
            </w:pPr>
            <w:r w:rsidRPr="00286BE9">
              <w:rPr>
                <w:lang w:val="en-AU"/>
              </w:rPr>
              <w:t>University Medical Center Hamburg-Eppendorf</w:t>
            </w:r>
          </w:p>
        </w:tc>
        <w:tc>
          <w:tcPr>
            <w:tcW w:w="0" w:type="auto"/>
            <w:vAlign w:val="center"/>
            <w:hideMark/>
          </w:tcPr>
          <w:p w14:paraId="7E827606" w14:textId="77777777" w:rsidR="00146E61" w:rsidRPr="00286BE9" w:rsidRDefault="00146E61" w:rsidP="001E3B42">
            <w:pPr>
              <w:rPr>
                <w:lang w:val="en-AU"/>
              </w:rPr>
            </w:pPr>
            <w:r w:rsidRPr="00286BE9">
              <w:rPr>
                <w:lang w:val="en-AU"/>
              </w:rPr>
              <w:t>Prof. Dr. Carsten Buhmann</w:t>
            </w:r>
          </w:p>
        </w:tc>
        <w:tc>
          <w:tcPr>
            <w:tcW w:w="0" w:type="auto"/>
            <w:vAlign w:val="center"/>
            <w:hideMark/>
          </w:tcPr>
          <w:p w14:paraId="6DF6C235" w14:textId="77777777" w:rsidR="00146E61" w:rsidRPr="00286BE9" w:rsidRDefault="00146E61" w:rsidP="001E3B42">
            <w:pPr>
              <w:rPr>
                <w:lang w:val="en-AU"/>
              </w:rPr>
            </w:pPr>
            <w:r w:rsidRPr="00286BE9">
              <w:rPr>
                <w:lang w:val="en-AU"/>
              </w:rPr>
              <w:t>5</w:t>
            </w:r>
          </w:p>
        </w:tc>
      </w:tr>
      <w:tr w:rsidR="00146E61" w:rsidRPr="00286BE9" w14:paraId="2D796E85" w14:textId="77777777" w:rsidTr="001E3B42">
        <w:trPr>
          <w:tblCellSpacing w:w="15" w:type="dxa"/>
          <w:jc w:val="center"/>
        </w:trPr>
        <w:tc>
          <w:tcPr>
            <w:tcW w:w="1226" w:type="dxa"/>
            <w:vAlign w:val="center"/>
            <w:hideMark/>
          </w:tcPr>
          <w:p w14:paraId="4CBAD8CE" w14:textId="77777777" w:rsidR="00146E61" w:rsidRPr="00286BE9" w:rsidRDefault="00146E61" w:rsidP="001E3B42">
            <w:pPr>
              <w:rPr>
                <w:lang w:val="en-AU"/>
              </w:rPr>
            </w:pPr>
            <w:r w:rsidRPr="00286BE9">
              <w:rPr>
                <w:lang w:val="en-AU"/>
              </w:rPr>
              <w:t>Münster</w:t>
            </w:r>
          </w:p>
        </w:tc>
        <w:tc>
          <w:tcPr>
            <w:tcW w:w="3512" w:type="dxa"/>
            <w:vAlign w:val="center"/>
            <w:hideMark/>
          </w:tcPr>
          <w:p w14:paraId="371C3F49" w14:textId="77777777" w:rsidR="00146E61" w:rsidRPr="00286BE9" w:rsidRDefault="00146E61" w:rsidP="001E3B42">
            <w:pPr>
              <w:rPr>
                <w:lang w:val="en-AU"/>
              </w:rPr>
            </w:pPr>
            <w:r w:rsidRPr="00286BE9">
              <w:rPr>
                <w:lang w:val="en-AU"/>
              </w:rPr>
              <w:t>Department of Neurology</w:t>
            </w:r>
          </w:p>
        </w:tc>
        <w:tc>
          <w:tcPr>
            <w:tcW w:w="0" w:type="auto"/>
            <w:vAlign w:val="center"/>
            <w:hideMark/>
          </w:tcPr>
          <w:p w14:paraId="51B4B54D" w14:textId="77777777" w:rsidR="00146E61" w:rsidRPr="00286BE9" w:rsidRDefault="00146E61" w:rsidP="001E3B42">
            <w:pPr>
              <w:rPr>
                <w:lang w:val="en-AU"/>
              </w:rPr>
            </w:pPr>
            <w:r w:rsidRPr="00286BE9">
              <w:rPr>
                <w:lang w:val="en-AU"/>
              </w:rPr>
              <w:t>Dr. Verena Zentsch</w:t>
            </w:r>
          </w:p>
        </w:tc>
        <w:tc>
          <w:tcPr>
            <w:tcW w:w="0" w:type="auto"/>
            <w:vAlign w:val="center"/>
            <w:hideMark/>
          </w:tcPr>
          <w:p w14:paraId="1C9C2663" w14:textId="77777777" w:rsidR="00146E61" w:rsidRPr="00286BE9" w:rsidRDefault="00146E61" w:rsidP="001E3B42">
            <w:pPr>
              <w:rPr>
                <w:lang w:val="en-AU"/>
              </w:rPr>
            </w:pPr>
            <w:r w:rsidRPr="00286BE9">
              <w:rPr>
                <w:lang w:val="en-AU"/>
              </w:rPr>
              <w:t>5</w:t>
            </w:r>
          </w:p>
        </w:tc>
      </w:tr>
      <w:tr w:rsidR="00146E61" w:rsidRPr="00286BE9" w14:paraId="4DBF63CD" w14:textId="77777777" w:rsidTr="001E3B42">
        <w:trPr>
          <w:tblCellSpacing w:w="15" w:type="dxa"/>
          <w:jc w:val="center"/>
        </w:trPr>
        <w:tc>
          <w:tcPr>
            <w:tcW w:w="1226" w:type="dxa"/>
            <w:vAlign w:val="center"/>
            <w:hideMark/>
          </w:tcPr>
          <w:p w14:paraId="2691B3E4" w14:textId="77777777" w:rsidR="00146E61" w:rsidRPr="00286BE9" w:rsidRDefault="00146E61" w:rsidP="001E3B42">
            <w:pPr>
              <w:rPr>
                <w:lang w:val="en-AU"/>
              </w:rPr>
            </w:pPr>
            <w:r w:rsidRPr="00286BE9">
              <w:rPr>
                <w:b/>
                <w:bCs/>
                <w:lang w:val="en-AU"/>
              </w:rPr>
              <w:t>Total</w:t>
            </w:r>
          </w:p>
        </w:tc>
        <w:tc>
          <w:tcPr>
            <w:tcW w:w="3512" w:type="dxa"/>
            <w:vAlign w:val="center"/>
            <w:hideMark/>
          </w:tcPr>
          <w:p w14:paraId="3EAF07EC" w14:textId="77777777" w:rsidR="00146E61" w:rsidRPr="00286BE9" w:rsidRDefault="00146E61" w:rsidP="001E3B42">
            <w:pPr>
              <w:rPr>
                <w:lang w:val="en-AU"/>
              </w:rPr>
            </w:pPr>
          </w:p>
        </w:tc>
        <w:tc>
          <w:tcPr>
            <w:tcW w:w="0" w:type="auto"/>
            <w:vAlign w:val="center"/>
            <w:hideMark/>
          </w:tcPr>
          <w:p w14:paraId="5BCFB742" w14:textId="77777777" w:rsidR="00146E61" w:rsidRPr="00286BE9" w:rsidRDefault="00146E61" w:rsidP="001E3B42">
            <w:pPr>
              <w:rPr>
                <w:lang w:val="en-AU"/>
              </w:rPr>
            </w:pPr>
          </w:p>
        </w:tc>
        <w:tc>
          <w:tcPr>
            <w:tcW w:w="0" w:type="auto"/>
            <w:vAlign w:val="center"/>
            <w:hideMark/>
          </w:tcPr>
          <w:p w14:paraId="4AB6469A" w14:textId="77777777" w:rsidR="00146E61" w:rsidRPr="00286BE9" w:rsidRDefault="00146E61" w:rsidP="001E3B42">
            <w:pPr>
              <w:rPr>
                <w:lang w:val="en-AU"/>
              </w:rPr>
            </w:pPr>
            <w:r w:rsidRPr="00286BE9">
              <w:rPr>
                <w:b/>
                <w:bCs/>
                <w:lang w:val="en-AU"/>
              </w:rPr>
              <w:t>50</w:t>
            </w:r>
          </w:p>
        </w:tc>
      </w:tr>
    </w:tbl>
    <w:p w14:paraId="426491DB" w14:textId="77777777" w:rsidR="00146E61" w:rsidRPr="00286BE9" w:rsidRDefault="00146E61" w:rsidP="00146E61">
      <w:pPr>
        <w:spacing w:before="100" w:beforeAutospacing="1" w:after="100" w:afterAutospacing="1" w:line="276" w:lineRule="auto"/>
        <w:rPr>
          <w:b/>
          <w:bCs/>
          <w:lang w:val="en-AU"/>
        </w:rPr>
      </w:pPr>
      <w:r w:rsidRPr="00286BE9">
        <w:rPr>
          <w:b/>
          <w:bCs/>
          <w:lang w:val="en-AU"/>
        </w:rPr>
        <w:t>8. Inclusion-/Exclusion Criteria</w:t>
      </w:r>
    </w:p>
    <w:p w14:paraId="273C44FE" w14:textId="77777777" w:rsidR="00146E61" w:rsidRPr="009F56BA" w:rsidRDefault="00146E61" w:rsidP="00146E61">
      <w:pPr>
        <w:spacing w:line="276" w:lineRule="auto"/>
        <w:rPr>
          <w:b/>
          <w:bCs/>
          <w:lang w:val="en-AU"/>
        </w:rPr>
      </w:pPr>
      <w:r w:rsidRPr="009F56BA">
        <w:rPr>
          <w:b/>
          <w:bCs/>
          <w:lang w:val="en-AU"/>
        </w:rPr>
        <w:t>Inclusion Criteria:</w:t>
      </w:r>
    </w:p>
    <w:p w14:paraId="4E2F9439" w14:textId="77777777" w:rsidR="00146E61" w:rsidRPr="009F56BA" w:rsidRDefault="00146E61" w:rsidP="00146E61">
      <w:pPr>
        <w:spacing w:line="276" w:lineRule="auto"/>
        <w:rPr>
          <w:b/>
          <w:bCs/>
          <w:lang w:val="en-AU"/>
        </w:rPr>
      </w:pPr>
    </w:p>
    <w:p w14:paraId="12562148" w14:textId="77777777" w:rsidR="00146E61" w:rsidRPr="009F56BA" w:rsidRDefault="00146E61" w:rsidP="00146E61">
      <w:pPr>
        <w:pStyle w:val="Listenabsatz"/>
        <w:numPr>
          <w:ilvl w:val="0"/>
          <w:numId w:val="4"/>
        </w:numPr>
        <w:spacing w:line="276" w:lineRule="auto"/>
        <w:rPr>
          <w:rFonts w:ascii="Times New Roman" w:eastAsia="Times New Roman" w:hAnsi="Times New Roman" w:cs="Times New Roman"/>
          <w:kern w:val="0"/>
          <w:lang w:val="en-AU" w:eastAsia="de-DE"/>
        </w:rPr>
      </w:pPr>
      <w:r w:rsidRPr="009F56BA">
        <w:rPr>
          <w:rFonts w:ascii="Times New Roman" w:eastAsia="Times New Roman" w:hAnsi="Times New Roman" w:cs="Times New Roman"/>
          <w:kern w:val="0"/>
          <w:lang w:val="en-AU" w:eastAsia="de-DE"/>
        </w:rPr>
        <w:t>Age between 35 and 80 years</w:t>
      </w:r>
    </w:p>
    <w:p w14:paraId="0D478114" w14:textId="77777777" w:rsidR="00146E61" w:rsidRPr="009F56BA" w:rsidRDefault="00146E61" w:rsidP="00146E61">
      <w:pPr>
        <w:pStyle w:val="Listenabsatz"/>
        <w:spacing w:line="276" w:lineRule="auto"/>
        <w:rPr>
          <w:rFonts w:ascii="Times New Roman" w:eastAsia="Times New Roman" w:hAnsi="Times New Roman" w:cs="Times New Roman"/>
          <w:kern w:val="0"/>
          <w:lang w:val="en-AU" w:eastAsia="de-DE"/>
        </w:rPr>
      </w:pPr>
    </w:p>
    <w:p w14:paraId="0B2F9F68" w14:textId="77777777" w:rsidR="00146E61" w:rsidRPr="009F56BA" w:rsidRDefault="00146E61" w:rsidP="00146E61">
      <w:pPr>
        <w:pStyle w:val="Listenabsatz"/>
        <w:numPr>
          <w:ilvl w:val="0"/>
          <w:numId w:val="4"/>
        </w:numPr>
        <w:spacing w:line="276" w:lineRule="auto"/>
        <w:rPr>
          <w:rFonts w:ascii="Times New Roman" w:eastAsia="Times New Roman" w:hAnsi="Times New Roman" w:cs="Times New Roman"/>
          <w:kern w:val="0"/>
          <w:lang w:val="en-AU" w:eastAsia="de-DE"/>
        </w:rPr>
      </w:pPr>
      <w:r w:rsidRPr="009F56BA">
        <w:rPr>
          <w:rFonts w:ascii="Times New Roman" w:eastAsia="Times New Roman" w:hAnsi="Times New Roman" w:cs="Times New Roman"/>
          <w:kern w:val="0"/>
          <w:lang w:val="en-AU" w:eastAsia="de-DE"/>
        </w:rPr>
        <w:t>Ability and willingness to communicate clearly with the investigator and to understand and comply with the requirements of the study</w:t>
      </w:r>
    </w:p>
    <w:p w14:paraId="3D0302AB" w14:textId="77777777" w:rsidR="00146E61" w:rsidRPr="009F56BA" w:rsidRDefault="00146E61" w:rsidP="00146E61">
      <w:pPr>
        <w:spacing w:line="276" w:lineRule="auto"/>
        <w:rPr>
          <w:lang w:val="en-AU"/>
        </w:rPr>
      </w:pPr>
    </w:p>
    <w:p w14:paraId="378A2234" w14:textId="77777777" w:rsidR="00146E61" w:rsidRPr="009F56BA" w:rsidRDefault="00146E61" w:rsidP="00146E61">
      <w:pPr>
        <w:pStyle w:val="Listenabsatz"/>
        <w:numPr>
          <w:ilvl w:val="0"/>
          <w:numId w:val="4"/>
        </w:numPr>
        <w:spacing w:line="276" w:lineRule="auto"/>
        <w:rPr>
          <w:rFonts w:ascii="Times New Roman" w:eastAsia="Times New Roman" w:hAnsi="Times New Roman" w:cs="Times New Roman"/>
          <w:kern w:val="0"/>
          <w:lang w:val="en-AU" w:eastAsia="de-DE"/>
        </w:rPr>
      </w:pPr>
      <w:r w:rsidRPr="009F56BA">
        <w:rPr>
          <w:rFonts w:ascii="Times New Roman" w:eastAsia="Times New Roman" w:hAnsi="Times New Roman" w:cs="Times New Roman"/>
          <w:kern w:val="0"/>
          <w:lang w:val="en-AU" w:eastAsia="de-DE"/>
        </w:rPr>
        <w:t>Provision of written informed consent for participation in the study</w:t>
      </w:r>
    </w:p>
    <w:p w14:paraId="494EF4B0" w14:textId="77777777" w:rsidR="00146E61" w:rsidRPr="009F56BA" w:rsidRDefault="00146E61" w:rsidP="00146E61">
      <w:pPr>
        <w:spacing w:line="276" w:lineRule="auto"/>
        <w:rPr>
          <w:lang w:val="en-AU"/>
        </w:rPr>
      </w:pPr>
    </w:p>
    <w:p w14:paraId="750DEEEF" w14:textId="77777777" w:rsidR="00146E61" w:rsidRPr="009F56BA" w:rsidRDefault="00146E61" w:rsidP="00146E61">
      <w:pPr>
        <w:pStyle w:val="Listenabsatz"/>
        <w:numPr>
          <w:ilvl w:val="0"/>
          <w:numId w:val="4"/>
        </w:numPr>
        <w:spacing w:line="276" w:lineRule="auto"/>
        <w:rPr>
          <w:rFonts w:ascii="Times New Roman" w:eastAsia="Times New Roman" w:hAnsi="Times New Roman" w:cs="Times New Roman"/>
          <w:kern w:val="0"/>
          <w:lang w:val="en-AU" w:eastAsia="de-DE"/>
        </w:rPr>
      </w:pPr>
      <w:r w:rsidRPr="009F56BA">
        <w:rPr>
          <w:rFonts w:ascii="Times New Roman" w:eastAsia="Times New Roman" w:hAnsi="Times New Roman" w:cs="Times New Roman"/>
          <w:kern w:val="0"/>
          <w:lang w:val="en-AU" w:eastAsia="de-DE"/>
        </w:rPr>
        <w:t>Clinically confirmed idiopathic Parkinson’s disease according to the Movement Disorder Society (MDS) criteria</w:t>
      </w:r>
    </w:p>
    <w:p w14:paraId="32942F5A" w14:textId="77777777" w:rsidR="00146E61" w:rsidRPr="009F56BA" w:rsidRDefault="00146E61" w:rsidP="00146E61">
      <w:pPr>
        <w:spacing w:line="276" w:lineRule="auto"/>
        <w:rPr>
          <w:lang w:val="en-AU"/>
        </w:rPr>
      </w:pPr>
    </w:p>
    <w:p w14:paraId="79E95227" w14:textId="77777777" w:rsidR="00146E61" w:rsidRPr="009F56BA" w:rsidRDefault="00146E61" w:rsidP="00146E61">
      <w:pPr>
        <w:pStyle w:val="Listenabsatz"/>
        <w:numPr>
          <w:ilvl w:val="0"/>
          <w:numId w:val="4"/>
        </w:numPr>
        <w:spacing w:line="276" w:lineRule="auto"/>
        <w:rPr>
          <w:rFonts w:ascii="Times New Roman" w:eastAsia="Times New Roman" w:hAnsi="Times New Roman" w:cs="Times New Roman"/>
          <w:kern w:val="0"/>
          <w:lang w:val="en-AU" w:eastAsia="de-DE"/>
        </w:rPr>
      </w:pPr>
      <w:r w:rsidRPr="009F56BA">
        <w:rPr>
          <w:rFonts w:ascii="Times New Roman" w:eastAsia="Times New Roman" w:hAnsi="Times New Roman" w:cs="Times New Roman"/>
          <w:kern w:val="0"/>
          <w:lang w:val="en-AU" w:eastAsia="de-DE"/>
        </w:rPr>
        <w:t>Status post implantation of bilateral deep brain stimulation electrodes in the subthalamic nucleus (STN) for the treatment of Parkinson’s disease symptoms</w:t>
      </w:r>
    </w:p>
    <w:p w14:paraId="0701A6CB" w14:textId="77777777" w:rsidR="00146E61" w:rsidRPr="009F56BA" w:rsidRDefault="00146E61" w:rsidP="00146E61">
      <w:pPr>
        <w:spacing w:line="276" w:lineRule="auto"/>
        <w:rPr>
          <w:lang w:val="en-AU"/>
        </w:rPr>
      </w:pPr>
    </w:p>
    <w:p w14:paraId="656880B4" w14:textId="77777777" w:rsidR="00146E61" w:rsidRPr="009F56BA" w:rsidRDefault="00146E61" w:rsidP="00146E61">
      <w:pPr>
        <w:spacing w:line="276" w:lineRule="auto"/>
        <w:jc w:val="both"/>
        <w:rPr>
          <w:b/>
          <w:bCs/>
          <w:lang w:val="en-AU"/>
        </w:rPr>
      </w:pPr>
      <w:r w:rsidRPr="009F56BA">
        <w:rPr>
          <w:b/>
          <w:bCs/>
          <w:lang w:val="en-AU"/>
        </w:rPr>
        <w:t>Exclusion Criteria:</w:t>
      </w:r>
    </w:p>
    <w:p w14:paraId="751E53C0" w14:textId="77777777" w:rsidR="00146E61" w:rsidRPr="009F56BA" w:rsidRDefault="00146E61" w:rsidP="00146E61">
      <w:pPr>
        <w:spacing w:line="276" w:lineRule="auto"/>
        <w:jc w:val="both"/>
        <w:rPr>
          <w:lang w:val="en-AU"/>
        </w:rPr>
      </w:pPr>
    </w:p>
    <w:p w14:paraId="277FEF34" w14:textId="77777777" w:rsidR="00146E61" w:rsidRPr="009F56BA" w:rsidRDefault="00146E61" w:rsidP="00146E61">
      <w:pPr>
        <w:pStyle w:val="Listenabsatz"/>
        <w:numPr>
          <w:ilvl w:val="0"/>
          <w:numId w:val="4"/>
        </w:numPr>
        <w:spacing w:line="276" w:lineRule="auto"/>
        <w:rPr>
          <w:rFonts w:ascii="Times New Roman" w:eastAsia="Times New Roman" w:hAnsi="Times New Roman" w:cs="Times New Roman"/>
          <w:kern w:val="0"/>
          <w:lang w:val="en-AU" w:eastAsia="de-DE"/>
        </w:rPr>
      </w:pPr>
      <w:r w:rsidRPr="009F56BA">
        <w:rPr>
          <w:rFonts w:ascii="Times New Roman" w:eastAsia="Times New Roman" w:hAnsi="Times New Roman" w:cs="Times New Roman"/>
          <w:kern w:val="0"/>
          <w:lang w:val="en-AU" w:eastAsia="de-DE"/>
        </w:rPr>
        <w:t>Any condition that prevents the patient from communicating clearly with the investigator, providing written informed consent, or meeting other study requirements</w:t>
      </w:r>
    </w:p>
    <w:p w14:paraId="72085A81" w14:textId="77777777" w:rsidR="00146E61" w:rsidRPr="009F56BA" w:rsidRDefault="00146E61" w:rsidP="00146E61">
      <w:pPr>
        <w:spacing w:line="276" w:lineRule="auto"/>
        <w:rPr>
          <w:lang w:val="en-AU"/>
        </w:rPr>
      </w:pPr>
    </w:p>
    <w:p w14:paraId="4585050B" w14:textId="77777777" w:rsidR="00146E61" w:rsidRPr="009F56BA" w:rsidRDefault="00146E61" w:rsidP="00146E61">
      <w:pPr>
        <w:pStyle w:val="Listenabsatz"/>
        <w:numPr>
          <w:ilvl w:val="0"/>
          <w:numId w:val="4"/>
        </w:numPr>
        <w:spacing w:line="276" w:lineRule="auto"/>
        <w:rPr>
          <w:rFonts w:ascii="Times New Roman" w:eastAsia="Times New Roman" w:hAnsi="Times New Roman" w:cs="Times New Roman"/>
          <w:kern w:val="0"/>
          <w:lang w:val="en-AU" w:eastAsia="de-DE"/>
        </w:rPr>
      </w:pPr>
      <w:r w:rsidRPr="009F56BA">
        <w:rPr>
          <w:rFonts w:ascii="Times New Roman" w:eastAsia="Times New Roman" w:hAnsi="Times New Roman" w:cs="Times New Roman"/>
          <w:kern w:val="0"/>
          <w:lang w:val="en-AU" w:eastAsia="de-DE"/>
        </w:rPr>
        <w:t>Presence of exclusion criteria for Parkinson’s syndrome according to the MDS criteria (see below)</w:t>
      </w:r>
    </w:p>
    <w:p w14:paraId="1B1F4C58" w14:textId="77777777" w:rsidR="00146E61" w:rsidRPr="009F56BA" w:rsidRDefault="00146E61" w:rsidP="00146E61">
      <w:pPr>
        <w:spacing w:line="276" w:lineRule="auto"/>
        <w:rPr>
          <w:lang w:val="en-AU"/>
        </w:rPr>
      </w:pPr>
    </w:p>
    <w:p w14:paraId="1AC07B2D" w14:textId="77777777" w:rsidR="00146E61" w:rsidRPr="009F56BA" w:rsidRDefault="00146E61" w:rsidP="00146E61">
      <w:pPr>
        <w:pStyle w:val="Listenabsatz"/>
        <w:numPr>
          <w:ilvl w:val="0"/>
          <w:numId w:val="4"/>
        </w:numPr>
        <w:spacing w:line="276" w:lineRule="auto"/>
        <w:rPr>
          <w:rFonts w:ascii="Times New Roman" w:eastAsia="Times New Roman" w:hAnsi="Times New Roman" w:cs="Times New Roman"/>
          <w:kern w:val="0"/>
          <w:lang w:val="en-AU" w:eastAsia="de-DE"/>
        </w:rPr>
      </w:pPr>
      <w:r w:rsidRPr="009F56BA">
        <w:rPr>
          <w:rFonts w:ascii="Times New Roman" w:eastAsia="Times New Roman" w:hAnsi="Times New Roman" w:cs="Times New Roman"/>
          <w:kern w:val="0"/>
          <w:lang w:val="en-AU" w:eastAsia="de-DE"/>
        </w:rPr>
        <w:t>Diagnosis of manifest dementia according to ICD-10 criteria</w:t>
      </w:r>
    </w:p>
    <w:p w14:paraId="65423175" w14:textId="77777777" w:rsidR="00146E61" w:rsidRPr="00286BE9" w:rsidRDefault="00146E61" w:rsidP="00146E61">
      <w:pPr>
        <w:jc w:val="both"/>
        <w:rPr>
          <w:lang w:val="en-AU"/>
        </w:rPr>
      </w:pPr>
    </w:p>
    <w:p w14:paraId="3770339D" w14:textId="77777777" w:rsidR="00146E61" w:rsidRPr="00286BE9" w:rsidRDefault="00146E61" w:rsidP="00146E61">
      <w:pPr>
        <w:outlineLvl w:val="2"/>
        <w:rPr>
          <w:b/>
          <w:bCs/>
          <w:lang w:val="en-AU"/>
        </w:rPr>
      </w:pPr>
      <w:r w:rsidRPr="00286BE9">
        <w:rPr>
          <w:b/>
          <w:bCs/>
          <w:lang w:val="en-AU"/>
        </w:rPr>
        <w:t>8. Individual Study Procedure</w:t>
      </w:r>
    </w:p>
    <w:p w14:paraId="6678ED44" w14:textId="77777777" w:rsidR="00146E61" w:rsidRPr="00286BE9" w:rsidRDefault="00146E61" w:rsidP="00146E61">
      <w:pPr>
        <w:outlineLvl w:val="2"/>
        <w:rPr>
          <w:b/>
          <w:bCs/>
          <w:lang w:val="en-AU"/>
        </w:rPr>
      </w:pPr>
    </w:p>
    <w:p w14:paraId="483344BC" w14:textId="77777777" w:rsidR="00146E61" w:rsidRPr="00286BE9" w:rsidRDefault="00146E61" w:rsidP="00146E61">
      <w:pPr>
        <w:jc w:val="both"/>
        <w:rPr>
          <w:b/>
          <w:bCs/>
          <w:lang w:val="en-AU"/>
        </w:rPr>
      </w:pPr>
      <w:r w:rsidRPr="00286BE9">
        <w:rPr>
          <w:b/>
          <w:bCs/>
          <w:lang w:val="en-AU"/>
        </w:rPr>
        <w:t>Patient Recruitment:</w:t>
      </w:r>
    </w:p>
    <w:p w14:paraId="71E0C3E0" w14:textId="77777777" w:rsidR="00146E61" w:rsidRPr="00286BE9" w:rsidRDefault="00146E61" w:rsidP="00146E61">
      <w:pPr>
        <w:jc w:val="both"/>
        <w:rPr>
          <w:lang w:val="en-AU"/>
        </w:rPr>
      </w:pPr>
      <w:r w:rsidRPr="00286BE9">
        <w:rPr>
          <w:lang w:val="en-AU"/>
        </w:rPr>
        <w:t>To recruit Parkinson’s patients requiring reprogramming of their DBS system, the recruitment pathways described under “Study Population” will be followed.</w:t>
      </w:r>
    </w:p>
    <w:p w14:paraId="56C75193" w14:textId="77777777" w:rsidR="00146E61" w:rsidRPr="00286BE9" w:rsidRDefault="00146E61" w:rsidP="00146E61">
      <w:pPr>
        <w:jc w:val="both"/>
        <w:rPr>
          <w:b/>
          <w:bCs/>
          <w:lang w:val="en-AU"/>
        </w:rPr>
      </w:pPr>
    </w:p>
    <w:p w14:paraId="37914F24" w14:textId="77777777" w:rsidR="00146E61" w:rsidRPr="00286BE9" w:rsidRDefault="00146E61" w:rsidP="00146E61">
      <w:pPr>
        <w:jc w:val="both"/>
        <w:rPr>
          <w:b/>
          <w:bCs/>
          <w:lang w:val="en-AU"/>
        </w:rPr>
      </w:pPr>
      <w:r w:rsidRPr="00286BE9">
        <w:rPr>
          <w:b/>
          <w:bCs/>
          <w:lang w:val="en-AU"/>
        </w:rPr>
        <w:t>Informed Consent:</w:t>
      </w:r>
    </w:p>
    <w:p w14:paraId="5C95F0A4" w14:textId="77777777" w:rsidR="00146E61" w:rsidRPr="00286BE9" w:rsidRDefault="00146E61" w:rsidP="00146E61">
      <w:pPr>
        <w:jc w:val="both"/>
        <w:rPr>
          <w:lang w:val="en-AU"/>
        </w:rPr>
      </w:pPr>
      <w:r w:rsidRPr="00286BE9">
        <w:rPr>
          <w:lang w:val="en-AU"/>
        </w:rPr>
        <w:t xml:space="preserve">All patients who express willingness to participate in the study will undergo an </w:t>
      </w:r>
      <w:r w:rsidRPr="00286BE9">
        <w:rPr>
          <w:b/>
          <w:bCs/>
          <w:lang w:val="en-AU"/>
        </w:rPr>
        <w:t>initial study visit (Visit 1)</w:t>
      </w:r>
      <w:r w:rsidRPr="00286BE9">
        <w:rPr>
          <w:lang w:val="en-AU"/>
        </w:rPr>
        <w:t xml:space="preserve">. During this visit, </w:t>
      </w:r>
      <w:r w:rsidRPr="00286BE9">
        <w:rPr>
          <w:b/>
          <w:bCs/>
          <w:lang w:val="en-AU"/>
        </w:rPr>
        <w:t>inclusion and exclusion criteria</w:t>
      </w:r>
      <w:r w:rsidRPr="00286BE9">
        <w:rPr>
          <w:lang w:val="en-AU"/>
        </w:rPr>
        <w:t xml:space="preserve"> will first be reviewed. If a patient meets all inclusion criteria and none of the exclusion criteria, detailed information will be provided about the </w:t>
      </w:r>
      <w:r w:rsidRPr="00286BE9">
        <w:rPr>
          <w:b/>
          <w:bCs/>
          <w:lang w:val="en-AU"/>
        </w:rPr>
        <w:t>background, objectives</w:t>
      </w:r>
      <w:r w:rsidRPr="00286BE9">
        <w:rPr>
          <w:lang w:val="en-AU"/>
        </w:rPr>
        <w:t xml:space="preserve">, and </w:t>
      </w:r>
      <w:r w:rsidRPr="00286BE9">
        <w:rPr>
          <w:b/>
          <w:bCs/>
          <w:lang w:val="en-AU"/>
        </w:rPr>
        <w:t>potential risks</w:t>
      </w:r>
      <w:r w:rsidRPr="00286BE9">
        <w:rPr>
          <w:lang w:val="en-AU"/>
        </w:rPr>
        <w:t xml:space="preserve"> of the study. Patients will receive a </w:t>
      </w:r>
      <w:r w:rsidRPr="00286BE9">
        <w:rPr>
          <w:b/>
          <w:bCs/>
          <w:lang w:val="en-AU"/>
        </w:rPr>
        <w:t>Patient Information and Informed Consent form</w:t>
      </w:r>
      <w:r w:rsidRPr="00286BE9">
        <w:rPr>
          <w:lang w:val="en-AU"/>
        </w:rPr>
        <w:t xml:space="preserve">, which will be thoroughly explained by the study physician. This document must be signed by the patient before study enrolment and will be stored in </w:t>
      </w:r>
      <w:r w:rsidRPr="00286BE9">
        <w:rPr>
          <w:b/>
          <w:bCs/>
          <w:lang w:val="en-AU"/>
        </w:rPr>
        <w:t>paper form</w:t>
      </w:r>
      <w:r w:rsidRPr="00286BE9">
        <w:rPr>
          <w:lang w:val="en-AU"/>
        </w:rPr>
        <w:t xml:space="preserve"> in the study folder at the respective study centre. Access to these documents will be limited to the local </w:t>
      </w:r>
      <w:r w:rsidRPr="00286BE9">
        <w:rPr>
          <w:b/>
          <w:bCs/>
          <w:lang w:val="en-AU"/>
        </w:rPr>
        <w:t>study investigators</w:t>
      </w:r>
      <w:r w:rsidRPr="00286BE9">
        <w:rPr>
          <w:lang w:val="en-AU"/>
        </w:rPr>
        <w:t xml:space="preserve"> and the </w:t>
      </w:r>
      <w:r w:rsidRPr="00286BE9">
        <w:rPr>
          <w:b/>
          <w:bCs/>
          <w:lang w:val="en-AU"/>
        </w:rPr>
        <w:t>delegated personnel</w:t>
      </w:r>
      <w:r w:rsidRPr="00286BE9">
        <w:rPr>
          <w:lang w:val="en-AU"/>
        </w:rPr>
        <w:t xml:space="preserve"> listed in the delegation log. At this time, each participant will be assigned a </w:t>
      </w:r>
      <w:r w:rsidRPr="00286BE9">
        <w:rPr>
          <w:b/>
          <w:bCs/>
          <w:lang w:val="en-AU"/>
        </w:rPr>
        <w:t>study ID</w:t>
      </w:r>
      <w:r w:rsidRPr="00286BE9">
        <w:rPr>
          <w:lang w:val="en-AU"/>
        </w:rPr>
        <w:t xml:space="preserve"> by the lead site, consisting of a numeric code for the study centre and for the individual participant (e.g., REMOTE_01_0071; 01 = LMU Munich; 0071 = participant no. 0071).</w:t>
      </w:r>
    </w:p>
    <w:p w14:paraId="7F3DB83D" w14:textId="77777777" w:rsidR="00146E61" w:rsidRPr="00286BE9" w:rsidRDefault="00146E61" w:rsidP="00146E61">
      <w:pPr>
        <w:jc w:val="both"/>
        <w:rPr>
          <w:lang w:val="en-AU"/>
        </w:rPr>
      </w:pPr>
    </w:p>
    <w:p w14:paraId="7DD1F53E" w14:textId="77777777" w:rsidR="00146E61" w:rsidRPr="00286BE9" w:rsidRDefault="00146E61" w:rsidP="00146E61">
      <w:pPr>
        <w:jc w:val="both"/>
        <w:rPr>
          <w:b/>
          <w:bCs/>
          <w:lang w:val="en-AU"/>
        </w:rPr>
      </w:pPr>
      <w:r w:rsidRPr="00286BE9">
        <w:rPr>
          <w:b/>
          <w:bCs/>
          <w:lang w:val="en-AU"/>
        </w:rPr>
        <w:t>Practical Implementation of the Study (see Fig. 1):</w:t>
      </w:r>
    </w:p>
    <w:p w14:paraId="7ABA39BD" w14:textId="77777777" w:rsidR="00146E61" w:rsidRPr="00286BE9" w:rsidRDefault="00146E61" w:rsidP="00146E61">
      <w:pPr>
        <w:jc w:val="both"/>
        <w:rPr>
          <w:lang w:val="en-AU"/>
        </w:rPr>
      </w:pPr>
      <w:r w:rsidRPr="00286BE9">
        <w:rPr>
          <w:lang w:val="en-AU"/>
        </w:rPr>
        <w:t xml:space="preserve">Patients who have signed the written informed consent will first undergo a </w:t>
      </w:r>
      <w:r w:rsidRPr="00286BE9">
        <w:rPr>
          <w:b/>
          <w:bCs/>
          <w:lang w:val="en-AU"/>
        </w:rPr>
        <w:t>neurological and psychiatric assessment</w:t>
      </w:r>
      <w:r w:rsidRPr="00286BE9">
        <w:rPr>
          <w:lang w:val="en-AU"/>
        </w:rPr>
        <w:t xml:space="preserve">. During this process, specific </w:t>
      </w:r>
      <w:r w:rsidRPr="00286BE9">
        <w:rPr>
          <w:b/>
          <w:bCs/>
          <w:lang w:val="en-AU"/>
        </w:rPr>
        <w:t>clinical and biometric parameters</w:t>
      </w:r>
      <w:r w:rsidRPr="00286BE9">
        <w:rPr>
          <w:lang w:val="en-AU"/>
        </w:rPr>
        <w:t xml:space="preserve"> will be collected (see Table 1). As part of </w:t>
      </w:r>
      <w:r w:rsidRPr="00286BE9">
        <w:rPr>
          <w:b/>
          <w:bCs/>
          <w:lang w:val="en-AU"/>
        </w:rPr>
        <w:t>Visit 1</w:t>
      </w:r>
      <w:r w:rsidRPr="00286BE9">
        <w:rPr>
          <w:lang w:val="en-AU"/>
        </w:rPr>
        <w:t xml:space="preserve">, the </w:t>
      </w:r>
      <w:r w:rsidRPr="00286BE9">
        <w:rPr>
          <w:b/>
          <w:bCs/>
          <w:lang w:val="en-AU"/>
        </w:rPr>
        <w:t>UPDRS Part III</w:t>
      </w:r>
      <w:r w:rsidRPr="00286BE9">
        <w:rPr>
          <w:lang w:val="en-AU"/>
        </w:rPr>
        <w:t xml:space="preserve"> will be performed in the </w:t>
      </w:r>
      <w:r w:rsidRPr="00286BE9">
        <w:rPr>
          <w:b/>
          <w:bCs/>
          <w:lang w:val="en-AU"/>
        </w:rPr>
        <w:t>OFF state</w:t>
      </w:r>
      <w:r w:rsidRPr="00286BE9">
        <w:rPr>
          <w:lang w:val="en-AU"/>
        </w:rPr>
        <w:t xml:space="preserve"> (i.e., after at least 12 hours of withholding dopaminergic medication). The remaining parameters will be assessed in the </w:t>
      </w:r>
      <w:r w:rsidRPr="00286BE9">
        <w:rPr>
          <w:b/>
          <w:bCs/>
          <w:lang w:val="en-AU"/>
        </w:rPr>
        <w:t>ON state</w:t>
      </w:r>
      <w:r w:rsidRPr="00286BE9">
        <w:rPr>
          <w:lang w:val="en-AU"/>
        </w:rPr>
        <w:t xml:space="preserve">, i.e., following the patient’s usual medication intake. All collected data will be documented in a </w:t>
      </w:r>
      <w:r w:rsidRPr="00286BE9">
        <w:rPr>
          <w:b/>
          <w:bCs/>
          <w:lang w:val="en-AU"/>
        </w:rPr>
        <w:t>Case Report Form (CRF)</w:t>
      </w:r>
      <w:r w:rsidRPr="00286BE9">
        <w:rPr>
          <w:lang w:val="en-AU"/>
        </w:rPr>
        <w:t xml:space="preserve">. </w:t>
      </w:r>
    </w:p>
    <w:p w14:paraId="55460F5B" w14:textId="77777777" w:rsidR="00146E61" w:rsidRPr="00286BE9" w:rsidRDefault="00146E61" w:rsidP="00146E61">
      <w:pPr>
        <w:jc w:val="both"/>
        <w:rPr>
          <w:lang w:val="en-AU"/>
        </w:rPr>
      </w:pPr>
    </w:p>
    <w:p w14:paraId="7BC7EE19" w14:textId="77777777" w:rsidR="00146E61" w:rsidRPr="00286BE9" w:rsidRDefault="00146E61" w:rsidP="00146E61">
      <w:pPr>
        <w:spacing w:line="276" w:lineRule="auto"/>
        <w:jc w:val="both"/>
        <w:rPr>
          <w:b/>
          <w:bCs/>
          <w:lang w:val="en-AU"/>
        </w:rPr>
      </w:pPr>
      <w:r w:rsidRPr="00286BE9">
        <w:rPr>
          <w:b/>
          <w:bCs/>
          <w:lang w:val="en-AU"/>
        </w:rPr>
        <w:t>Parameters</w:t>
      </w:r>
    </w:p>
    <w:p w14:paraId="40061F55" w14:textId="77777777" w:rsidR="00146E61" w:rsidRPr="00286BE9" w:rsidRDefault="00146E61" w:rsidP="00146E61">
      <w:pPr>
        <w:spacing w:line="276" w:lineRule="auto"/>
        <w:jc w:val="both"/>
        <w:rPr>
          <w:lang w:val="en-AU"/>
        </w:rPr>
      </w:pPr>
    </w:p>
    <w:p w14:paraId="45ECC93C" w14:textId="77777777" w:rsidR="00146E61" w:rsidRPr="00286BE9" w:rsidRDefault="00146E61" w:rsidP="00146E61">
      <w:pPr>
        <w:pStyle w:val="Listenabsatz"/>
        <w:numPr>
          <w:ilvl w:val="0"/>
          <w:numId w:val="5"/>
        </w:numPr>
        <w:spacing w:line="276" w:lineRule="auto"/>
        <w:jc w:val="both"/>
        <w:rPr>
          <w:rFonts w:ascii="Times New Roman" w:hAnsi="Times New Roman" w:cs="Times New Roman"/>
          <w:sz w:val="22"/>
          <w:szCs w:val="22"/>
          <w:lang w:val="en-AU"/>
        </w:rPr>
      </w:pPr>
      <w:r w:rsidRPr="00286BE9">
        <w:rPr>
          <w:rFonts w:ascii="Times New Roman" w:hAnsi="Times New Roman" w:cs="Times New Roman"/>
          <w:sz w:val="22"/>
          <w:szCs w:val="22"/>
          <w:lang w:val="en-AU"/>
        </w:rPr>
        <w:t>UPDRS Part I, II &amp; IV; UPDRS Part III MED-OFF (1st visit) or MED-ON/STIM-ON (2nd visit) (≥ 12 hours after discontinuation of medication, analogously to (23))</w:t>
      </w:r>
    </w:p>
    <w:p w14:paraId="27F0D5F8" w14:textId="77777777" w:rsidR="00146E61" w:rsidRPr="00286BE9" w:rsidRDefault="00146E61" w:rsidP="00146E61">
      <w:pPr>
        <w:spacing w:line="276" w:lineRule="auto"/>
        <w:jc w:val="both"/>
        <w:rPr>
          <w:lang w:val="en-AU"/>
        </w:rPr>
      </w:pPr>
    </w:p>
    <w:p w14:paraId="5D4D5665" w14:textId="77777777" w:rsidR="00146E61" w:rsidRPr="00286BE9" w:rsidRDefault="00146E61" w:rsidP="00146E61">
      <w:pPr>
        <w:pStyle w:val="Listenabsatz"/>
        <w:numPr>
          <w:ilvl w:val="0"/>
          <w:numId w:val="5"/>
        </w:numPr>
        <w:spacing w:line="276" w:lineRule="auto"/>
        <w:jc w:val="both"/>
        <w:rPr>
          <w:rFonts w:ascii="Times New Roman" w:hAnsi="Times New Roman" w:cs="Times New Roman"/>
          <w:sz w:val="22"/>
          <w:szCs w:val="22"/>
          <w:lang w:val="en-AU"/>
        </w:rPr>
      </w:pPr>
      <w:r w:rsidRPr="00286BE9">
        <w:rPr>
          <w:rFonts w:ascii="Times New Roman" w:hAnsi="Times New Roman" w:cs="Times New Roman"/>
          <w:sz w:val="22"/>
          <w:szCs w:val="22"/>
          <w:lang w:val="en-AU"/>
        </w:rPr>
        <w:t>PDQ-39</w:t>
      </w:r>
    </w:p>
    <w:p w14:paraId="7AF84F95" w14:textId="77777777" w:rsidR="00146E61" w:rsidRPr="00286BE9" w:rsidRDefault="00146E61" w:rsidP="00146E61">
      <w:pPr>
        <w:spacing w:line="276" w:lineRule="auto"/>
        <w:jc w:val="both"/>
        <w:rPr>
          <w:lang w:val="en-AU"/>
        </w:rPr>
      </w:pPr>
    </w:p>
    <w:p w14:paraId="231200BD" w14:textId="77777777" w:rsidR="00146E61" w:rsidRPr="00286BE9" w:rsidRDefault="00146E61" w:rsidP="00146E61">
      <w:pPr>
        <w:pStyle w:val="Listenabsatz"/>
        <w:numPr>
          <w:ilvl w:val="0"/>
          <w:numId w:val="5"/>
        </w:numPr>
        <w:spacing w:line="276" w:lineRule="auto"/>
        <w:jc w:val="both"/>
        <w:rPr>
          <w:rFonts w:ascii="Times New Roman" w:hAnsi="Times New Roman" w:cs="Times New Roman"/>
          <w:sz w:val="22"/>
          <w:szCs w:val="22"/>
          <w:lang w:val="en-AU"/>
        </w:rPr>
      </w:pPr>
      <w:r w:rsidRPr="00286BE9">
        <w:rPr>
          <w:rFonts w:ascii="Times New Roman" w:hAnsi="Times New Roman" w:cs="Times New Roman"/>
          <w:sz w:val="22"/>
          <w:szCs w:val="22"/>
          <w:lang w:val="en-AU"/>
        </w:rPr>
        <w:t>Beck Depression Inventory II (BDI)</w:t>
      </w:r>
    </w:p>
    <w:p w14:paraId="04B32503" w14:textId="77777777" w:rsidR="00146E61" w:rsidRPr="00286BE9" w:rsidRDefault="00146E61" w:rsidP="00146E61">
      <w:pPr>
        <w:spacing w:line="276" w:lineRule="auto"/>
        <w:jc w:val="both"/>
        <w:rPr>
          <w:lang w:val="en-AU"/>
        </w:rPr>
      </w:pPr>
    </w:p>
    <w:p w14:paraId="679F891A" w14:textId="77777777" w:rsidR="00146E61" w:rsidRPr="00286BE9" w:rsidRDefault="00146E61" w:rsidP="00146E61">
      <w:pPr>
        <w:pStyle w:val="Listenabsatz"/>
        <w:numPr>
          <w:ilvl w:val="0"/>
          <w:numId w:val="5"/>
        </w:numPr>
        <w:spacing w:line="276" w:lineRule="auto"/>
        <w:jc w:val="both"/>
        <w:rPr>
          <w:rFonts w:ascii="Times New Roman" w:hAnsi="Times New Roman" w:cs="Times New Roman"/>
          <w:sz w:val="22"/>
          <w:szCs w:val="22"/>
          <w:lang w:val="en-AU"/>
        </w:rPr>
      </w:pPr>
      <w:r w:rsidRPr="00286BE9">
        <w:rPr>
          <w:rFonts w:ascii="Times New Roman" w:hAnsi="Times New Roman" w:cs="Times New Roman"/>
          <w:sz w:val="22"/>
          <w:szCs w:val="22"/>
          <w:lang w:val="en-AU"/>
        </w:rPr>
        <w:t>Scale for Suicidal Experience and Behavior (SSEV)</w:t>
      </w:r>
    </w:p>
    <w:p w14:paraId="6E5BA04E" w14:textId="77777777" w:rsidR="00146E61" w:rsidRPr="00286BE9" w:rsidRDefault="00146E61" w:rsidP="00146E61">
      <w:pPr>
        <w:spacing w:line="276" w:lineRule="auto"/>
        <w:jc w:val="both"/>
        <w:rPr>
          <w:lang w:val="en-AU"/>
        </w:rPr>
      </w:pPr>
    </w:p>
    <w:p w14:paraId="4C21C5D3" w14:textId="77777777" w:rsidR="00146E61" w:rsidRPr="00286BE9" w:rsidRDefault="00146E61" w:rsidP="00146E61">
      <w:pPr>
        <w:pStyle w:val="Listenabsatz"/>
        <w:numPr>
          <w:ilvl w:val="0"/>
          <w:numId w:val="5"/>
        </w:numPr>
        <w:spacing w:line="276" w:lineRule="auto"/>
        <w:jc w:val="both"/>
        <w:rPr>
          <w:rFonts w:ascii="Times New Roman" w:hAnsi="Times New Roman" w:cs="Times New Roman"/>
          <w:sz w:val="22"/>
          <w:szCs w:val="22"/>
          <w:lang w:val="en-AU"/>
        </w:rPr>
      </w:pPr>
      <w:r w:rsidRPr="00286BE9">
        <w:rPr>
          <w:rFonts w:ascii="Times New Roman" w:hAnsi="Times New Roman" w:cs="Times New Roman"/>
          <w:sz w:val="22"/>
          <w:szCs w:val="22"/>
          <w:lang w:val="en-AU"/>
        </w:rPr>
        <w:t>Montreal Cognitive Assessment Scale (MOCA)</w:t>
      </w:r>
    </w:p>
    <w:p w14:paraId="46AF024C" w14:textId="77777777" w:rsidR="00146E61" w:rsidRPr="00286BE9" w:rsidRDefault="00146E61" w:rsidP="00146E61">
      <w:pPr>
        <w:spacing w:line="276" w:lineRule="auto"/>
        <w:jc w:val="both"/>
        <w:rPr>
          <w:lang w:val="en-AU"/>
        </w:rPr>
      </w:pPr>
    </w:p>
    <w:p w14:paraId="42F804DC" w14:textId="77777777" w:rsidR="00146E61" w:rsidRPr="00286BE9" w:rsidRDefault="00146E61" w:rsidP="00146E61">
      <w:pPr>
        <w:pStyle w:val="Listenabsatz"/>
        <w:numPr>
          <w:ilvl w:val="0"/>
          <w:numId w:val="5"/>
        </w:numPr>
        <w:spacing w:line="276" w:lineRule="auto"/>
        <w:jc w:val="both"/>
        <w:rPr>
          <w:rFonts w:ascii="Times New Roman" w:hAnsi="Times New Roman" w:cs="Times New Roman"/>
          <w:sz w:val="22"/>
          <w:szCs w:val="22"/>
          <w:lang w:val="en-AU"/>
        </w:rPr>
      </w:pPr>
      <w:r w:rsidRPr="00286BE9">
        <w:rPr>
          <w:rFonts w:ascii="Times New Roman" w:hAnsi="Times New Roman" w:cs="Times New Roman"/>
          <w:sz w:val="22"/>
          <w:szCs w:val="22"/>
          <w:lang w:val="en-AU"/>
        </w:rPr>
        <w:t>Ardouin Scale (Assessment of behavior in Parkinson’s disease)</w:t>
      </w:r>
    </w:p>
    <w:p w14:paraId="3FDF514D" w14:textId="77777777" w:rsidR="00146E61" w:rsidRPr="00286BE9" w:rsidRDefault="00146E61" w:rsidP="00146E61">
      <w:pPr>
        <w:spacing w:line="276" w:lineRule="auto"/>
        <w:jc w:val="both"/>
        <w:rPr>
          <w:lang w:val="en-AU"/>
        </w:rPr>
      </w:pPr>
    </w:p>
    <w:p w14:paraId="753EC798" w14:textId="77777777" w:rsidR="00146E61" w:rsidRPr="00286BE9" w:rsidRDefault="00146E61" w:rsidP="00146E61">
      <w:pPr>
        <w:pStyle w:val="Listenabsatz"/>
        <w:numPr>
          <w:ilvl w:val="0"/>
          <w:numId w:val="5"/>
        </w:numPr>
        <w:spacing w:line="276" w:lineRule="auto"/>
        <w:jc w:val="both"/>
        <w:rPr>
          <w:rFonts w:ascii="Times New Roman" w:hAnsi="Times New Roman" w:cs="Times New Roman"/>
          <w:sz w:val="22"/>
          <w:szCs w:val="22"/>
          <w:lang w:val="en-AU"/>
        </w:rPr>
      </w:pPr>
      <w:r w:rsidRPr="00286BE9">
        <w:rPr>
          <w:rFonts w:ascii="Times New Roman" w:hAnsi="Times New Roman" w:cs="Times New Roman"/>
          <w:sz w:val="22"/>
          <w:szCs w:val="22"/>
          <w:lang w:val="en-AU"/>
        </w:rPr>
        <w:t>Monopolar review of DBS settings using VAS scale (1st visit ONLY in group B)</w:t>
      </w:r>
    </w:p>
    <w:p w14:paraId="047BFD25" w14:textId="77777777" w:rsidR="00146E61" w:rsidRPr="00286BE9" w:rsidRDefault="00146E61" w:rsidP="00146E61">
      <w:pPr>
        <w:spacing w:line="276" w:lineRule="auto"/>
        <w:jc w:val="both"/>
        <w:rPr>
          <w:lang w:val="en-AU"/>
        </w:rPr>
      </w:pPr>
    </w:p>
    <w:p w14:paraId="23AB2FB6" w14:textId="3AE0539F" w:rsidR="00146E61" w:rsidRPr="00286BE9" w:rsidRDefault="00146E61" w:rsidP="00146E61">
      <w:pPr>
        <w:spacing w:line="276" w:lineRule="auto"/>
        <w:jc w:val="both"/>
        <w:rPr>
          <w:lang w:val="en-AU"/>
        </w:rPr>
      </w:pPr>
      <w:r w:rsidRPr="00286BE9">
        <w:rPr>
          <w:lang w:val="en-AU"/>
        </w:rPr>
        <w:t>Subsequently, implantation of DBS electrodes in the STN bilaterally will take place. This will be carried out according to the usual protocols of the respective study center. The study centers are not bound by study-associated requirements. As part of the surgical planning (stereotaxy), all patients will receive an MRI of the head. Within this framework, the following MRI sequences should be acquired at a minimum: T1, T2, SWI/SWAN, DTI, FLAIR. After implantation of the STN electrodes and an appropriate IPG (Abbott Infinity™), the initial DBS programming will be performed by the respective study physician. This programming should follow the standard procedures of the respective center. The study physicians are not bound by study-related guidelines in this regard. Following this initial adjustment, patients will be randomly assigned (randomized) to one of two groups (n = 25 per group). Randomization is performed using block randomization based on chance</w:t>
      </w:r>
      <w:r>
        <w:rPr>
          <w:lang w:val="en-AU"/>
        </w:rPr>
        <w:t xml:space="preserve"> with allocation concealment</w:t>
      </w:r>
      <w:r w:rsidRPr="00286BE9">
        <w:rPr>
          <w:lang w:val="en-AU"/>
        </w:rPr>
        <w:t xml:space="preserve">. </w:t>
      </w:r>
      <w:r>
        <w:rPr>
          <w:lang w:val="en-AU"/>
        </w:rPr>
        <w:t xml:space="preserve">The </w:t>
      </w:r>
      <w:r w:rsidRPr="002B0973">
        <w:rPr>
          <w:lang w:val="en-AU"/>
        </w:rPr>
        <w:t xml:space="preserve">personnel who enrolled participants to the interventions had </w:t>
      </w:r>
      <w:r>
        <w:rPr>
          <w:lang w:val="en-AU"/>
        </w:rPr>
        <w:t xml:space="preserve">no </w:t>
      </w:r>
      <w:r w:rsidRPr="002B0973">
        <w:rPr>
          <w:lang w:val="en-AU"/>
        </w:rPr>
        <w:t>access to the random allocation sequence</w:t>
      </w:r>
      <w:r>
        <w:rPr>
          <w:lang w:val="en-AU"/>
        </w:rPr>
        <w:t xml:space="preserve">. </w:t>
      </w:r>
      <w:r w:rsidRPr="00286BE9">
        <w:rPr>
          <w:lang w:val="en-AU"/>
        </w:rPr>
        <w:t xml:space="preserve">The investigators are immediately informed about the group allocation (Group A or B), thereby becoming unblinded to the study arm. In Group A, DBS settings will continue to be adjusted by the responsible study physician using a standard approach (i.e., monopolar review assessing clinical signs and symptoms for each contact and amplitude), with no restrictions. </w:t>
      </w:r>
      <w:r w:rsidRPr="00C16075">
        <w:rPr>
          <w:lang w:val="en-AU"/>
        </w:rPr>
        <w:t>Investigators were informed of allocation only after participant enrolment and completion of baseline assessments</w:t>
      </w:r>
      <w:r>
        <w:rPr>
          <w:lang w:val="en-AU"/>
        </w:rPr>
        <w:t xml:space="preserve">. </w:t>
      </w:r>
      <w:r w:rsidRPr="00286BE9">
        <w:rPr>
          <w:lang w:val="en-AU"/>
        </w:rPr>
        <w:t>Group B will be optimized continuously using a VAS-based (Visual Analog Scale) approach. Additionally, in Group B after unblinding, and in both groups after 90 days, a monopolar review using the VAS scale will be conducted as per the VISUAL-STIM study protocol</w:t>
      </w:r>
      <w:r>
        <w:rPr>
          <w:lang w:val="en-AU"/>
        </w:rPr>
        <w:t>.</w:t>
      </w:r>
      <w:sdt>
        <w:sdtPr>
          <w:rPr>
            <w:rFonts w:ascii="Arial" w:eastAsia="MS Mincho" w:hAnsi="Arial" w:cs="Arial"/>
            <w:color w:val="000000"/>
            <w:lang w:val="en-AU" w:eastAsia="ja-JP"/>
          </w:rPr>
          <w:alias w:val="SmartCite Citation"/>
          <w:tag w:val="e1a7da00-c597-49e3-9997-bbfc1b33b542:2ab01c09-11c2-407c-b73f-c94d269178a1+"/>
          <w:id w:val="514503892"/>
          <w:placeholder>
            <w:docPart w:val="39A39130C431BE41BE50CEBF25EC7ABB"/>
          </w:placeholder>
        </w:sdtPr>
        <w:sdtContent>
          <w:r w:rsidR="00395812" w:rsidRPr="00395812">
            <w:rPr>
              <w:rFonts w:ascii="Arial" w:hAnsi="Arial" w:cs="Arial"/>
              <w:vertAlign w:val="superscript"/>
            </w:rPr>
            <w:t>2</w:t>
          </w:r>
        </w:sdtContent>
      </w:sdt>
      <w:r w:rsidRPr="00286BE9">
        <w:rPr>
          <w:lang w:val="en-AU"/>
        </w:rPr>
        <w:t xml:space="preserve"> For this purpose, randomly selected stimulation settings will be applied separately for the right and left electrodes. After each individual adjustment, patients will be asked to rate the quality of the DBS effect on a scale from 1 to 10. They will be instructed: "Please rate the quality of the current setting on a scale from 1 to 10, where 1 means 'very poor' and 10 means 'very good'." No further explanation will be provided. The rating will be documented, and the next adjustment will follow manually as previously described.</w:t>
      </w:r>
      <w:sdt>
        <w:sdtPr>
          <w:rPr>
            <w:lang w:val="en-AU"/>
          </w:rPr>
          <w:alias w:val="SmartCite Citation"/>
          <w:tag w:val="e1a7da00-c597-49e3-9997-bbfc1b33b542:2ab01c09-11c2-407c-b73f-c94d269178a1+"/>
          <w:id w:val="-1033963333"/>
          <w:placeholder>
            <w:docPart w:val="1EA0D10DD70C5B4987AA22386A2EFA18"/>
          </w:placeholder>
        </w:sdtPr>
        <w:sdtContent>
          <w:r w:rsidR="00395812" w:rsidRPr="00395812">
            <w:rPr>
              <w:vertAlign w:val="superscript"/>
            </w:rPr>
            <w:t>2</w:t>
          </w:r>
        </w:sdtContent>
      </w:sdt>
      <w:r>
        <w:rPr>
          <w:lang w:val="en-AU"/>
        </w:rPr>
        <w:t> </w:t>
      </w:r>
      <w:r w:rsidRPr="00286BE9">
        <w:rPr>
          <w:lang w:val="en-AU"/>
        </w:rPr>
        <w:t xml:space="preserve"> If stimulation side effects (e.g., paresthesia) occur, the setting will be stopped immediately, and the next setting will be selected. Medical rehabilitation (e.g., medication adjustment, physiotherapy) is allowed and encouraged in both groups. DBS programming as part of rehabilitation is unrestricted in Group A. In Group B, DBS adjustments will be performed by the treating physicians at the DBS center. Multiple remote visits are permitted at the discretion of the treating physicians. In short, various DBS settings (segment or ring contacts, amplitude, frequency, pulse width) will be presented to the patient. The choice of contacts and stimulation parameters is entirely at the discretion of the treating study physician. After each adjustment, the patient will again be asked to rate the quality of the DBS effect on the 1–10 scale, as described above. The respective rating will be recorded, and the next adjustment will be performed manually. The study physician is free to choose any combination of contact, amplitude, frequency, and pulse width, and may perform as many iterations as deemed necessary to achieve an "optimal setting." All patients will be blinded to the stimulation settings both before and during the IPG programming.</w:t>
      </w:r>
    </w:p>
    <w:p w14:paraId="79522697" w14:textId="6DC8DCBD" w:rsidR="00146E61" w:rsidRPr="00286BE9" w:rsidRDefault="00146E61" w:rsidP="00146E61">
      <w:pPr>
        <w:spacing w:line="276" w:lineRule="auto"/>
        <w:ind w:firstLine="708"/>
        <w:jc w:val="both"/>
        <w:rPr>
          <w:lang w:val="en-AU"/>
        </w:rPr>
      </w:pPr>
      <w:r w:rsidRPr="00286BE9">
        <w:rPr>
          <w:lang w:val="en-AU"/>
        </w:rPr>
        <w:lastRenderedPageBreak/>
        <w:t>During the following three months: Patients in Group A may visit their study physicians repeatedly for DBS adjustments using the standard approach. The physician may freely determine which measures are needed, including clinical exams or MRI data. Patients in Group B will have the opportunity to consult their study physician remotely via a video-based online connection. If required, adjustments will be made using the previously described VAS-based approach. The Abbott NeuroSphere™ Virtual Clinic software will be used for this. The video connection will be established through a dedicated system, and the patient will use the smartphone (patient control device) already provided. No additional hardware is needed, just a working internet connection. Aside from DBS parameter adjustments, patients in both groups are allowed to seek medical attention for other complaints. Contact with the study physician—for medication adjustments or other concerns—is possible at any time. After 3 months, patients will undergo a second study visit (see Table 1). Additionally, the L-Dopa equivalent dose (LED) will be calculated before and 90 days after surgery</w:t>
      </w:r>
      <w:r w:rsidRPr="00286BE9">
        <w:rPr>
          <w:rFonts w:ascii="Arial" w:eastAsia="MS Mincho" w:hAnsi="Arial" w:cs="Arial"/>
          <w:color w:val="000000"/>
          <w:lang w:val="en-AU" w:eastAsia="ja-JP"/>
        </w:rPr>
        <w:t xml:space="preserve"> </w:t>
      </w:r>
      <w:sdt>
        <w:sdtPr>
          <w:rPr>
            <w:rFonts w:ascii="Arial" w:eastAsia="MS Mincho" w:hAnsi="Arial" w:cs="Arial"/>
            <w:color w:val="000000"/>
            <w:lang w:val="en-AU" w:eastAsia="ja-JP"/>
          </w:rPr>
          <w:alias w:val="SmartCite Citation"/>
          <w:tag w:val="e1a7da00-c597-49e3-9997-bbfc1b33b542:e657d78b-e5e3-4e1b-836b-117a5241e1cb,e1a7da00-c597-49e3-9997-bbfc1b33b542:10360c41-85f3-4c49-8a2a-1b3b88640677+"/>
          <w:id w:val="-160396136"/>
          <w:placeholder>
            <w:docPart w:val="C196406EBD49144289374188AFD41D66"/>
          </w:placeholder>
        </w:sdtPr>
        <w:sdtContent>
          <w:r w:rsidR="00395812" w:rsidRPr="00395812">
            <w:rPr>
              <w:rFonts w:ascii="Arial" w:hAnsi="Arial" w:cs="Arial"/>
              <w:vertAlign w:val="superscript"/>
            </w:rPr>
            <w:t>35,36</w:t>
          </w:r>
        </w:sdtContent>
      </w:sdt>
      <w:r w:rsidRPr="00286BE9">
        <w:rPr>
          <w:lang w:val="en-AU"/>
        </w:rPr>
        <w:t>. Both the initial and final UPDRS-III assessments will be conducted by the same examiner, who: i) is different from the physician who performed the programming, and ii) is ideally blinded to the patient’s group assignment (A vs. B).</w:t>
      </w:r>
    </w:p>
    <w:p w14:paraId="5F9F6803" w14:textId="77777777" w:rsidR="00146E61" w:rsidRPr="00286BE9" w:rsidRDefault="00146E61" w:rsidP="00146E61">
      <w:pPr>
        <w:jc w:val="both"/>
        <w:rPr>
          <w:lang w:val="en-AU"/>
        </w:rPr>
      </w:pPr>
    </w:p>
    <w:p w14:paraId="0166305B" w14:textId="77777777" w:rsidR="00146E61" w:rsidRPr="00286BE9" w:rsidRDefault="00146E61" w:rsidP="00146E61">
      <w:pPr>
        <w:jc w:val="both"/>
        <w:rPr>
          <w:lang w:val="en-AU"/>
        </w:rPr>
      </w:pPr>
      <w:r>
        <w:rPr>
          <w:noProof/>
          <w:lang w:val="en-AU"/>
          <w14:ligatures w14:val="standardContextual"/>
        </w:rPr>
        <w:drawing>
          <wp:inline distT="0" distB="0" distL="0" distR="0" wp14:anchorId="5497BDA3" wp14:editId="5C52F945">
            <wp:extent cx="5785658" cy="4802551"/>
            <wp:effectExtent l="0" t="0" r="5715" b="0"/>
            <wp:docPr id="151964424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644245" name="Grafik 1519644245"/>
                    <pic:cNvPicPr/>
                  </pic:nvPicPr>
                  <pic:blipFill rotWithShape="1">
                    <a:blip r:embed="rId11"/>
                    <a:srcRect l="5487" r="10186"/>
                    <a:stretch>
                      <a:fillRect/>
                    </a:stretch>
                  </pic:blipFill>
                  <pic:spPr bwMode="auto">
                    <a:xfrm>
                      <a:off x="0" y="0"/>
                      <a:ext cx="5798342" cy="4813080"/>
                    </a:xfrm>
                    <a:prstGeom prst="rect">
                      <a:avLst/>
                    </a:prstGeom>
                    <a:ln>
                      <a:noFill/>
                    </a:ln>
                    <a:extLst>
                      <a:ext uri="{53640926-AAD7-44D8-BBD7-CCE9431645EC}">
                        <a14:shadowObscured xmlns:a14="http://schemas.microsoft.com/office/drawing/2010/main"/>
                      </a:ext>
                    </a:extLst>
                  </pic:spPr>
                </pic:pic>
              </a:graphicData>
            </a:graphic>
          </wp:inline>
        </w:drawing>
      </w:r>
    </w:p>
    <w:p w14:paraId="4859D0CD" w14:textId="77777777" w:rsidR="00146E61" w:rsidRPr="00286BE9" w:rsidRDefault="00146E61" w:rsidP="00146E61">
      <w:pPr>
        <w:jc w:val="both"/>
        <w:rPr>
          <w:lang w:val="en-AU"/>
        </w:rPr>
      </w:pPr>
    </w:p>
    <w:p w14:paraId="38AC15BA" w14:textId="77777777" w:rsidR="00146E61" w:rsidRPr="00286BE9" w:rsidRDefault="00146E61" w:rsidP="00146E61">
      <w:pPr>
        <w:spacing w:line="276" w:lineRule="auto"/>
        <w:outlineLvl w:val="2"/>
        <w:rPr>
          <w:b/>
          <w:bCs/>
          <w:lang w:val="en-AU"/>
        </w:rPr>
      </w:pPr>
      <w:r w:rsidRPr="00286BE9">
        <w:rPr>
          <w:b/>
          <w:bCs/>
          <w:lang w:val="en-AU"/>
        </w:rPr>
        <w:t>9. Benefit-Risk Assessment</w:t>
      </w:r>
    </w:p>
    <w:p w14:paraId="3CCA49ED" w14:textId="77777777" w:rsidR="00146E61" w:rsidRPr="00286BE9" w:rsidRDefault="00146E61" w:rsidP="00146E61">
      <w:pPr>
        <w:spacing w:line="276" w:lineRule="auto"/>
        <w:outlineLvl w:val="2"/>
        <w:rPr>
          <w:b/>
          <w:bCs/>
          <w:lang w:val="en-AU"/>
        </w:rPr>
      </w:pPr>
    </w:p>
    <w:p w14:paraId="3782DC45" w14:textId="77777777" w:rsidR="00146E61" w:rsidRPr="00286BE9" w:rsidRDefault="00146E61" w:rsidP="00146E61">
      <w:pPr>
        <w:spacing w:line="276" w:lineRule="auto"/>
        <w:jc w:val="both"/>
        <w:rPr>
          <w:b/>
          <w:bCs/>
          <w:lang w:val="en-AU"/>
        </w:rPr>
      </w:pPr>
      <w:r w:rsidRPr="00286BE9">
        <w:rPr>
          <w:b/>
          <w:bCs/>
          <w:lang w:val="en-AU"/>
        </w:rPr>
        <w:t>Evaluation and Handling of Adverse Events:</w:t>
      </w:r>
    </w:p>
    <w:p w14:paraId="32490E5F" w14:textId="77777777" w:rsidR="00146E61" w:rsidRPr="00286BE9" w:rsidRDefault="00146E61" w:rsidP="00146E61">
      <w:pPr>
        <w:spacing w:line="276" w:lineRule="auto"/>
        <w:jc w:val="both"/>
        <w:rPr>
          <w:lang w:val="en-AU"/>
        </w:rPr>
      </w:pPr>
      <w:r w:rsidRPr="00286BE9">
        <w:rPr>
          <w:lang w:val="en-AU"/>
        </w:rPr>
        <w:lastRenderedPageBreak/>
        <w:t>The assessment and management of adverse events (AEs) in this study are conducted in accordance with the guidelines of the GCP-V (Good Clinical Practice Directive). Analogously, adverse events (AEs) and serious adverse events (SAEs) are defined and managed accordingly.</w:t>
      </w:r>
    </w:p>
    <w:p w14:paraId="37B91B0B" w14:textId="77777777" w:rsidR="00146E61" w:rsidRPr="00286BE9" w:rsidRDefault="00146E61" w:rsidP="00146E61">
      <w:pPr>
        <w:spacing w:line="276" w:lineRule="auto"/>
        <w:rPr>
          <w:lang w:val="en-AU"/>
        </w:rPr>
      </w:pPr>
    </w:p>
    <w:p w14:paraId="534F483E" w14:textId="77777777" w:rsidR="00146E61" w:rsidRPr="00286BE9" w:rsidRDefault="00146E61" w:rsidP="00146E61">
      <w:pPr>
        <w:numPr>
          <w:ilvl w:val="0"/>
          <w:numId w:val="6"/>
        </w:numPr>
        <w:spacing w:line="276" w:lineRule="auto"/>
        <w:jc w:val="both"/>
        <w:rPr>
          <w:lang w:val="en-AU"/>
        </w:rPr>
      </w:pPr>
      <w:r w:rsidRPr="00286BE9">
        <w:rPr>
          <w:b/>
          <w:bCs/>
          <w:lang w:val="en-AU"/>
        </w:rPr>
        <w:t>Adverse Event (AE):</w:t>
      </w:r>
    </w:p>
    <w:p w14:paraId="239344CC" w14:textId="77777777" w:rsidR="00146E61" w:rsidRPr="00286BE9" w:rsidRDefault="00146E61" w:rsidP="00146E61">
      <w:pPr>
        <w:spacing w:line="276" w:lineRule="auto"/>
        <w:ind w:left="720"/>
        <w:jc w:val="both"/>
        <w:rPr>
          <w:lang w:val="en-AU"/>
        </w:rPr>
      </w:pPr>
      <w:r w:rsidRPr="00286BE9">
        <w:rPr>
          <w:lang w:val="en-AU"/>
        </w:rPr>
        <w:t>An AE is any unfavorable and unexpected event (e.g., illness, discomfort, or abnormal test result) that occurs in temporal association with post-treatment follow-up, regardless of whether a connection to the DBS (Deep Brain Stimulation) adjustment is assumed. AEs occurring before or during the initial hospital-based adjustment (i.e., before randomization) are not considered study-related and are therefore not recorded as study AEs, since they are part of routine medical care.</w:t>
      </w:r>
    </w:p>
    <w:p w14:paraId="63C30A84" w14:textId="77777777" w:rsidR="00146E61" w:rsidRPr="00286BE9" w:rsidRDefault="00146E61" w:rsidP="00146E61">
      <w:pPr>
        <w:spacing w:line="276" w:lineRule="auto"/>
        <w:ind w:left="720"/>
        <w:rPr>
          <w:lang w:val="en-AU"/>
        </w:rPr>
      </w:pPr>
    </w:p>
    <w:p w14:paraId="4C7763F0" w14:textId="77777777" w:rsidR="00146E61" w:rsidRPr="00286BE9" w:rsidRDefault="00146E61" w:rsidP="00146E61">
      <w:pPr>
        <w:numPr>
          <w:ilvl w:val="0"/>
          <w:numId w:val="6"/>
        </w:numPr>
        <w:spacing w:line="276" w:lineRule="auto"/>
        <w:rPr>
          <w:lang w:val="en-AU"/>
        </w:rPr>
      </w:pPr>
      <w:r w:rsidRPr="00286BE9">
        <w:rPr>
          <w:b/>
          <w:bCs/>
          <w:lang w:val="en-AU"/>
        </w:rPr>
        <w:t>Serious Adverse Event (SAE):</w:t>
      </w:r>
      <w:r w:rsidRPr="00286BE9">
        <w:rPr>
          <w:lang w:val="en-AU"/>
        </w:rPr>
        <w:br/>
        <w:t>An SAE is any AE that:</w:t>
      </w:r>
    </w:p>
    <w:p w14:paraId="1B41BCF1" w14:textId="77777777" w:rsidR="00146E61" w:rsidRPr="00286BE9" w:rsidRDefault="00146E61" w:rsidP="00146E61">
      <w:pPr>
        <w:numPr>
          <w:ilvl w:val="1"/>
          <w:numId w:val="6"/>
        </w:numPr>
        <w:spacing w:line="276" w:lineRule="auto"/>
        <w:rPr>
          <w:lang w:val="en-AU"/>
        </w:rPr>
      </w:pPr>
      <w:r w:rsidRPr="00286BE9">
        <w:rPr>
          <w:lang w:val="en-AU"/>
        </w:rPr>
        <w:t>Results in death,</w:t>
      </w:r>
    </w:p>
    <w:p w14:paraId="43FA195B" w14:textId="77777777" w:rsidR="00146E61" w:rsidRPr="00286BE9" w:rsidRDefault="00146E61" w:rsidP="00146E61">
      <w:pPr>
        <w:numPr>
          <w:ilvl w:val="1"/>
          <w:numId w:val="6"/>
        </w:numPr>
        <w:spacing w:line="276" w:lineRule="auto"/>
        <w:rPr>
          <w:lang w:val="en-AU"/>
        </w:rPr>
      </w:pPr>
      <w:r w:rsidRPr="00286BE9">
        <w:rPr>
          <w:lang w:val="en-AU"/>
        </w:rPr>
        <w:t>Is life-threatening,</w:t>
      </w:r>
    </w:p>
    <w:p w14:paraId="6CAB8D8D" w14:textId="77777777" w:rsidR="00146E61" w:rsidRPr="00286BE9" w:rsidRDefault="00146E61" w:rsidP="00146E61">
      <w:pPr>
        <w:numPr>
          <w:ilvl w:val="1"/>
          <w:numId w:val="6"/>
        </w:numPr>
        <w:spacing w:line="276" w:lineRule="auto"/>
        <w:rPr>
          <w:lang w:val="en-AU"/>
        </w:rPr>
      </w:pPr>
      <w:r w:rsidRPr="00286BE9">
        <w:rPr>
          <w:lang w:val="en-AU"/>
        </w:rPr>
        <w:t>Requires hospitalization or prolongation of existing hospitalization, or</w:t>
      </w:r>
    </w:p>
    <w:p w14:paraId="0C623DBB" w14:textId="77777777" w:rsidR="00146E61" w:rsidRPr="00286BE9" w:rsidRDefault="00146E61" w:rsidP="00146E61">
      <w:pPr>
        <w:numPr>
          <w:ilvl w:val="1"/>
          <w:numId w:val="6"/>
        </w:numPr>
        <w:spacing w:line="276" w:lineRule="auto"/>
        <w:rPr>
          <w:lang w:val="en-AU"/>
        </w:rPr>
      </w:pPr>
      <w:r w:rsidRPr="00286BE9">
        <w:rPr>
          <w:lang w:val="en-AU"/>
        </w:rPr>
        <w:t>Leads to permanent or significant disability.</w:t>
      </w:r>
    </w:p>
    <w:p w14:paraId="2FE6EACD" w14:textId="77777777" w:rsidR="00146E61" w:rsidRPr="00286BE9" w:rsidRDefault="00146E61" w:rsidP="00146E61">
      <w:pPr>
        <w:spacing w:line="276" w:lineRule="auto"/>
        <w:outlineLvl w:val="2"/>
        <w:rPr>
          <w:lang w:val="en-AU"/>
        </w:rPr>
      </w:pPr>
    </w:p>
    <w:p w14:paraId="48CA9955" w14:textId="77777777" w:rsidR="00146E61" w:rsidRPr="00286BE9" w:rsidRDefault="00146E61" w:rsidP="00146E61">
      <w:pPr>
        <w:spacing w:line="276" w:lineRule="auto"/>
        <w:outlineLvl w:val="2"/>
        <w:rPr>
          <w:b/>
          <w:bCs/>
          <w:lang w:val="en-AU"/>
        </w:rPr>
      </w:pPr>
      <w:r w:rsidRPr="00286BE9">
        <w:rPr>
          <w:b/>
          <w:bCs/>
          <w:lang w:val="en-AU"/>
        </w:rPr>
        <w:t>Severity Classification:</w:t>
      </w:r>
    </w:p>
    <w:p w14:paraId="1F692A12" w14:textId="77777777" w:rsidR="00146E61" w:rsidRPr="00286BE9" w:rsidRDefault="00146E61" w:rsidP="00146E61">
      <w:pPr>
        <w:spacing w:line="276" w:lineRule="auto"/>
        <w:jc w:val="both"/>
        <w:rPr>
          <w:lang w:val="en-AU"/>
        </w:rPr>
      </w:pPr>
      <w:r w:rsidRPr="00286BE9">
        <w:rPr>
          <w:lang w:val="en-AU"/>
        </w:rPr>
        <w:t xml:space="preserve">The severity of AEs is graded from 1 to 5 based on the </w:t>
      </w:r>
      <w:r w:rsidRPr="00286BE9">
        <w:rPr>
          <w:i/>
          <w:iCs/>
          <w:lang w:val="en-AU"/>
        </w:rPr>
        <w:t>Common Terminology Criteria for Adverse Events</w:t>
      </w:r>
      <w:r w:rsidRPr="00286BE9">
        <w:rPr>
          <w:lang w:val="en-AU"/>
        </w:rPr>
        <w:t>:</w:t>
      </w:r>
    </w:p>
    <w:p w14:paraId="207FC65D" w14:textId="77777777" w:rsidR="00146E61" w:rsidRPr="00286BE9" w:rsidRDefault="00146E61" w:rsidP="00146E61">
      <w:pPr>
        <w:spacing w:line="276" w:lineRule="auto"/>
        <w:rPr>
          <w:lang w:val="en-AU"/>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49"/>
        <w:gridCol w:w="8307"/>
      </w:tblGrid>
      <w:tr w:rsidR="00146E61" w:rsidRPr="00286BE9" w14:paraId="16F585CD" w14:textId="77777777" w:rsidTr="001E3B42">
        <w:trPr>
          <w:tblHeader/>
          <w:tblCellSpacing w:w="15" w:type="dxa"/>
        </w:trPr>
        <w:tc>
          <w:tcPr>
            <w:tcW w:w="0" w:type="auto"/>
            <w:vAlign w:val="center"/>
            <w:hideMark/>
          </w:tcPr>
          <w:p w14:paraId="60E99EBF" w14:textId="77777777" w:rsidR="00146E61" w:rsidRPr="00286BE9" w:rsidRDefault="00146E61" w:rsidP="001E3B42">
            <w:pPr>
              <w:spacing w:line="276" w:lineRule="auto"/>
              <w:rPr>
                <w:b/>
                <w:bCs/>
                <w:lang w:val="en-AU"/>
              </w:rPr>
            </w:pPr>
            <w:r w:rsidRPr="00286BE9">
              <w:rPr>
                <w:b/>
                <w:bCs/>
                <w:lang w:val="en-AU"/>
              </w:rPr>
              <w:t>Grade</w:t>
            </w:r>
          </w:p>
        </w:tc>
        <w:tc>
          <w:tcPr>
            <w:tcW w:w="0" w:type="auto"/>
            <w:vAlign w:val="center"/>
            <w:hideMark/>
          </w:tcPr>
          <w:p w14:paraId="7D7BF1BB" w14:textId="77777777" w:rsidR="00146E61" w:rsidRPr="00286BE9" w:rsidRDefault="00146E61" w:rsidP="001E3B42">
            <w:pPr>
              <w:spacing w:line="276" w:lineRule="auto"/>
              <w:rPr>
                <w:b/>
                <w:bCs/>
                <w:lang w:val="en-AU"/>
              </w:rPr>
            </w:pPr>
            <w:r w:rsidRPr="00286BE9">
              <w:rPr>
                <w:b/>
                <w:bCs/>
                <w:lang w:val="en-AU"/>
              </w:rPr>
              <w:t>Description</w:t>
            </w:r>
          </w:p>
        </w:tc>
      </w:tr>
      <w:tr w:rsidR="00146E61" w:rsidRPr="00286BE9" w14:paraId="30FC1915" w14:textId="77777777" w:rsidTr="001E3B42">
        <w:trPr>
          <w:tblCellSpacing w:w="15" w:type="dxa"/>
        </w:trPr>
        <w:tc>
          <w:tcPr>
            <w:tcW w:w="0" w:type="auto"/>
            <w:vAlign w:val="center"/>
            <w:hideMark/>
          </w:tcPr>
          <w:p w14:paraId="641ACE7B" w14:textId="77777777" w:rsidR="00146E61" w:rsidRPr="00286BE9" w:rsidRDefault="00146E61" w:rsidP="001E3B42">
            <w:pPr>
              <w:spacing w:line="276" w:lineRule="auto"/>
              <w:rPr>
                <w:lang w:val="en-AU"/>
              </w:rPr>
            </w:pPr>
            <w:r w:rsidRPr="00286BE9">
              <w:rPr>
                <w:lang w:val="en-AU"/>
              </w:rPr>
              <w:t>1</w:t>
            </w:r>
          </w:p>
        </w:tc>
        <w:tc>
          <w:tcPr>
            <w:tcW w:w="0" w:type="auto"/>
            <w:vAlign w:val="center"/>
            <w:hideMark/>
          </w:tcPr>
          <w:p w14:paraId="737029AF" w14:textId="77777777" w:rsidR="00146E61" w:rsidRPr="00286BE9" w:rsidRDefault="00146E61" w:rsidP="001E3B42">
            <w:pPr>
              <w:spacing w:line="276" w:lineRule="auto"/>
              <w:rPr>
                <w:lang w:val="en-AU"/>
              </w:rPr>
            </w:pPr>
            <w:r w:rsidRPr="00286BE9">
              <w:rPr>
                <w:lang w:val="en-AU"/>
              </w:rPr>
              <w:t>Mild; asymptomatic or mild symptoms; clinical or diagnostic observations only; no intervention needed.</w:t>
            </w:r>
          </w:p>
        </w:tc>
      </w:tr>
      <w:tr w:rsidR="00146E61" w:rsidRPr="00286BE9" w14:paraId="68C8E7F7" w14:textId="77777777" w:rsidTr="001E3B42">
        <w:trPr>
          <w:tblCellSpacing w:w="15" w:type="dxa"/>
        </w:trPr>
        <w:tc>
          <w:tcPr>
            <w:tcW w:w="0" w:type="auto"/>
            <w:vAlign w:val="center"/>
            <w:hideMark/>
          </w:tcPr>
          <w:p w14:paraId="525B13DE" w14:textId="77777777" w:rsidR="00146E61" w:rsidRPr="00286BE9" w:rsidRDefault="00146E61" w:rsidP="001E3B42">
            <w:pPr>
              <w:spacing w:line="276" w:lineRule="auto"/>
              <w:rPr>
                <w:lang w:val="en-AU"/>
              </w:rPr>
            </w:pPr>
            <w:r w:rsidRPr="00286BE9">
              <w:rPr>
                <w:lang w:val="en-AU"/>
              </w:rPr>
              <w:t>2</w:t>
            </w:r>
          </w:p>
        </w:tc>
        <w:tc>
          <w:tcPr>
            <w:tcW w:w="0" w:type="auto"/>
            <w:vAlign w:val="center"/>
            <w:hideMark/>
          </w:tcPr>
          <w:p w14:paraId="0B16124E" w14:textId="77777777" w:rsidR="00146E61" w:rsidRPr="00286BE9" w:rsidRDefault="00146E61" w:rsidP="001E3B42">
            <w:pPr>
              <w:spacing w:line="276" w:lineRule="auto"/>
              <w:rPr>
                <w:lang w:val="en-AU"/>
              </w:rPr>
            </w:pPr>
            <w:r w:rsidRPr="00286BE9">
              <w:rPr>
                <w:lang w:val="en-AU"/>
              </w:rPr>
              <w:t>Moderate; limits age-appropriate instrumental activities of daily living (ADLs); minimal, local, or non-invasive intervention indicated.</w:t>
            </w:r>
          </w:p>
        </w:tc>
      </w:tr>
      <w:tr w:rsidR="00146E61" w:rsidRPr="00286BE9" w14:paraId="1D13F0ED" w14:textId="77777777" w:rsidTr="001E3B42">
        <w:trPr>
          <w:tblCellSpacing w:w="15" w:type="dxa"/>
        </w:trPr>
        <w:tc>
          <w:tcPr>
            <w:tcW w:w="0" w:type="auto"/>
            <w:vAlign w:val="center"/>
            <w:hideMark/>
          </w:tcPr>
          <w:p w14:paraId="7E77E051" w14:textId="77777777" w:rsidR="00146E61" w:rsidRPr="00286BE9" w:rsidRDefault="00146E61" w:rsidP="001E3B42">
            <w:pPr>
              <w:spacing w:line="276" w:lineRule="auto"/>
              <w:rPr>
                <w:lang w:val="en-AU"/>
              </w:rPr>
            </w:pPr>
            <w:r w:rsidRPr="00286BE9">
              <w:rPr>
                <w:lang w:val="en-AU"/>
              </w:rPr>
              <w:t>3</w:t>
            </w:r>
          </w:p>
        </w:tc>
        <w:tc>
          <w:tcPr>
            <w:tcW w:w="0" w:type="auto"/>
            <w:vAlign w:val="center"/>
            <w:hideMark/>
          </w:tcPr>
          <w:p w14:paraId="57E591B7" w14:textId="77777777" w:rsidR="00146E61" w:rsidRPr="00286BE9" w:rsidRDefault="00146E61" w:rsidP="001E3B42">
            <w:pPr>
              <w:spacing w:line="276" w:lineRule="auto"/>
              <w:rPr>
                <w:lang w:val="en-AU"/>
              </w:rPr>
            </w:pPr>
            <w:r w:rsidRPr="00286BE9">
              <w:rPr>
                <w:lang w:val="en-AU"/>
              </w:rPr>
              <w:t>Severe or medically significant but not immediately life-threatening; hospitalization or extension of existing hospitalization necessary; disabling, limits self-care ADLs.</w:t>
            </w:r>
          </w:p>
        </w:tc>
      </w:tr>
      <w:tr w:rsidR="00146E61" w:rsidRPr="00286BE9" w14:paraId="78B505B6" w14:textId="77777777" w:rsidTr="001E3B42">
        <w:trPr>
          <w:tblCellSpacing w:w="15" w:type="dxa"/>
        </w:trPr>
        <w:tc>
          <w:tcPr>
            <w:tcW w:w="0" w:type="auto"/>
            <w:vAlign w:val="center"/>
            <w:hideMark/>
          </w:tcPr>
          <w:p w14:paraId="210E669A" w14:textId="77777777" w:rsidR="00146E61" w:rsidRPr="00286BE9" w:rsidRDefault="00146E61" w:rsidP="001E3B42">
            <w:pPr>
              <w:spacing w:line="276" w:lineRule="auto"/>
              <w:rPr>
                <w:lang w:val="en-AU"/>
              </w:rPr>
            </w:pPr>
            <w:r w:rsidRPr="00286BE9">
              <w:rPr>
                <w:lang w:val="en-AU"/>
              </w:rPr>
              <w:t>4</w:t>
            </w:r>
          </w:p>
        </w:tc>
        <w:tc>
          <w:tcPr>
            <w:tcW w:w="0" w:type="auto"/>
            <w:vAlign w:val="center"/>
            <w:hideMark/>
          </w:tcPr>
          <w:p w14:paraId="4082E5C1" w14:textId="77777777" w:rsidR="00146E61" w:rsidRPr="00286BE9" w:rsidRDefault="00146E61" w:rsidP="001E3B42">
            <w:pPr>
              <w:spacing w:line="276" w:lineRule="auto"/>
              <w:rPr>
                <w:lang w:val="en-AU"/>
              </w:rPr>
            </w:pPr>
            <w:r w:rsidRPr="00286BE9">
              <w:rPr>
                <w:lang w:val="en-AU"/>
              </w:rPr>
              <w:t>Life-threatening; urgent intervention required.</w:t>
            </w:r>
          </w:p>
        </w:tc>
      </w:tr>
      <w:tr w:rsidR="00146E61" w:rsidRPr="00286BE9" w14:paraId="177D462F" w14:textId="77777777" w:rsidTr="001E3B42">
        <w:trPr>
          <w:tblCellSpacing w:w="15" w:type="dxa"/>
        </w:trPr>
        <w:tc>
          <w:tcPr>
            <w:tcW w:w="0" w:type="auto"/>
            <w:vAlign w:val="center"/>
            <w:hideMark/>
          </w:tcPr>
          <w:p w14:paraId="53A906D6" w14:textId="77777777" w:rsidR="00146E61" w:rsidRPr="00286BE9" w:rsidRDefault="00146E61" w:rsidP="001E3B42">
            <w:pPr>
              <w:spacing w:line="276" w:lineRule="auto"/>
              <w:rPr>
                <w:lang w:val="en-AU"/>
              </w:rPr>
            </w:pPr>
            <w:r w:rsidRPr="00286BE9">
              <w:rPr>
                <w:lang w:val="en-AU"/>
              </w:rPr>
              <w:t>5</w:t>
            </w:r>
          </w:p>
        </w:tc>
        <w:tc>
          <w:tcPr>
            <w:tcW w:w="0" w:type="auto"/>
            <w:vAlign w:val="center"/>
            <w:hideMark/>
          </w:tcPr>
          <w:p w14:paraId="167812FE" w14:textId="77777777" w:rsidR="00146E61" w:rsidRPr="00286BE9" w:rsidRDefault="00146E61" w:rsidP="001E3B42">
            <w:pPr>
              <w:spacing w:line="276" w:lineRule="auto"/>
              <w:rPr>
                <w:lang w:val="en-AU"/>
              </w:rPr>
            </w:pPr>
            <w:r w:rsidRPr="00286BE9">
              <w:rPr>
                <w:lang w:val="en-AU"/>
              </w:rPr>
              <w:t>Death.</w:t>
            </w:r>
          </w:p>
        </w:tc>
      </w:tr>
    </w:tbl>
    <w:p w14:paraId="3BFA3D7C" w14:textId="77777777" w:rsidR="00146E61" w:rsidRPr="00286BE9" w:rsidRDefault="00146E61" w:rsidP="00146E61">
      <w:pPr>
        <w:spacing w:line="276" w:lineRule="auto"/>
        <w:outlineLvl w:val="2"/>
        <w:rPr>
          <w:lang w:val="en-AU"/>
        </w:rPr>
      </w:pPr>
    </w:p>
    <w:p w14:paraId="0A1591AC" w14:textId="77777777" w:rsidR="00146E61" w:rsidRPr="00286BE9" w:rsidRDefault="00146E61" w:rsidP="00146E61">
      <w:pPr>
        <w:spacing w:line="276" w:lineRule="auto"/>
        <w:outlineLvl w:val="2"/>
        <w:rPr>
          <w:lang w:val="en-AU"/>
        </w:rPr>
      </w:pPr>
    </w:p>
    <w:p w14:paraId="78821BDE" w14:textId="77777777" w:rsidR="00146E61" w:rsidRPr="00286BE9" w:rsidRDefault="00146E61" w:rsidP="00146E61">
      <w:pPr>
        <w:spacing w:line="276" w:lineRule="auto"/>
        <w:outlineLvl w:val="2"/>
        <w:rPr>
          <w:b/>
          <w:bCs/>
          <w:lang w:val="en-AU"/>
        </w:rPr>
      </w:pPr>
      <w:r w:rsidRPr="00286BE9">
        <w:rPr>
          <w:b/>
          <w:bCs/>
          <w:lang w:val="en-AU"/>
        </w:rPr>
        <w:t>Causality Classification:</w:t>
      </w:r>
    </w:p>
    <w:p w14:paraId="3274102E" w14:textId="77777777" w:rsidR="00146E61" w:rsidRPr="00286BE9" w:rsidRDefault="00146E61" w:rsidP="00146E61">
      <w:pPr>
        <w:spacing w:line="276" w:lineRule="auto"/>
        <w:rPr>
          <w:lang w:val="en-AU"/>
        </w:rPr>
      </w:pPr>
      <w:r w:rsidRPr="00286BE9">
        <w:rPr>
          <w:lang w:val="en-AU"/>
        </w:rPr>
        <w:t>The causality of AEs is assessed based on WHO guidelines:</w:t>
      </w:r>
    </w:p>
    <w:p w14:paraId="299D8A5B" w14:textId="77777777" w:rsidR="00146E61" w:rsidRPr="00286BE9" w:rsidRDefault="00146E61" w:rsidP="00146E61">
      <w:pPr>
        <w:spacing w:line="276" w:lineRule="auto"/>
        <w:rPr>
          <w:lang w:val="en-AU"/>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68"/>
        <w:gridCol w:w="7588"/>
      </w:tblGrid>
      <w:tr w:rsidR="00146E61" w:rsidRPr="00286BE9" w14:paraId="1F24A100" w14:textId="77777777" w:rsidTr="001E3B42">
        <w:trPr>
          <w:tblHeader/>
          <w:tblCellSpacing w:w="15" w:type="dxa"/>
        </w:trPr>
        <w:tc>
          <w:tcPr>
            <w:tcW w:w="0" w:type="auto"/>
            <w:vAlign w:val="center"/>
            <w:hideMark/>
          </w:tcPr>
          <w:p w14:paraId="1BD19024" w14:textId="77777777" w:rsidR="00146E61" w:rsidRPr="00286BE9" w:rsidRDefault="00146E61" w:rsidP="001E3B42">
            <w:pPr>
              <w:spacing w:line="276" w:lineRule="auto"/>
              <w:rPr>
                <w:b/>
                <w:bCs/>
                <w:lang w:val="en-AU"/>
              </w:rPr>
            </w:pPr>
            <w:r w:rsidRPr="00286BE9">
              <w:rPr>
                <w:b/>
                <w:bCs/>
                <w:lang w:val="en-AU"/>
              </w:rPr>
              <w:t>Category</w:t>
            </w:r>
          </w:p>
        </w:tc>
        <w:tc>
          <w:tcPr>
            <w:tcW w:w="0" w:type="auto"/>
            <w:vAlign w:val="center"/>
            <w:hideMark/>
          </w:tcPr>
          <w:p w14:paraId="519368B4" w14:textId="77777777" w:rsidR="00146E61" w:rsidRPr="00286BE9" w:rsidRDefault="00146E61" w:rsidP="001E3B42">
            <w:pPr>
              <w:spacing w:line="276" w:lineRule="auto"/>
              <w:rPr>
                <w:b/>
                <w:bCs/>
                <w:lang w:val="en-AU"/>
              </w:rPr>
            </w:pPr>
            <w:r w:rsidRPr="00286BE9">
              <w:rPr>
                <w:b/>
                <w:bCs/>
                <w:lang w:val="en-AU"/>
              </w:rPr>
              <w:t>Description</w:t>
            </w:r>
          </w:p>
        </w:tc>
      </w:tr>
      <w:tr w:rsidR="00146E61" w:rsidRPr="00286BE9" w14:paraId="3EBF7B5E" w14:textId="77777777" w:rsidTr="001E3B42">
        <w:trPr>
          <w:tblCellSpacing w:w="15" w:type="dxa"/>
        </w:trPr>
        <w:tc>
          <w:tcPr>
            <w:tcW w:w="0" w:type="auto"/>
            <w:vAlign w:val="center"/>
            <w:hideMark/>
          </w:tcPr>
          <w:p w14:paraId="5B414E25" w14:textId="77777777" w:rsidR="00146E61" w:rsidRPr="00286BE9" w:rsidRDefault="00146E61" w:rsidP="001E3B42">
            <w:pPr>
              <w:spacing w:line="276" w:lineRule="auto"/>
              <w:rPr>
                <w:lang w:val="en-AU"/>
              </w:rPr>
            </w:pPr>
            <w:r w:rsidRPr="00286BE9">
              <w:rPr>
                <w:lang w:val="en-AU"/>
              </w:rPr>
              <w:t>Unclassifiable</w:t>
            </w:r>
          </w:p>
        </w:tc>
        <w:tc>
          <w:tcPr>
            <w:tcW w:w="0" w:type="auto"/>
            <w:vAlign w:val="center"/>
            <w:hideMark/>
          </w:tcPr>
          <w:p w14:paraId="735FD6C7" w14:textId="77777777" w:rsidR="00146E61" w:rsidRPr="00286BE9" w:rsidRDefault="00146E61" w:rsidP="001E3B42">
            <w:pPr>
              <w:spacing w:line="276" w:lineRule="auto"/>
              <w:rPr>
                <w:lang w:val="en-AU"/>
              </w:rPr>
            </w:pPr>
            <w:r w:rsidRPr="00286BE9">
              <w:rPr>
                <w:lang w:val="en-AU"/>
              </w:rPr>
              <w:t>Conflicting or incomplete information that cannot be completed.</w:t>
            </w:r>
          </w:p>
        </w:tc>
      </w:tr>
      <w:tr w:rsidR="00146E61" w:rsidRPr="00286BE9" w14:paraId="11B156CB" w14:textId="77777777" w:rsidTr="001E3B42">
        <w:trPr>
          <w:tblCellSpacing w:w="15" w:type="dxa"/>
        </w:trPr>
        <w:tc>
          <w:tcPr>
            <w:tcW w:w="0" w:type="auto"/>
            <w:vAlign w:val="center"/>
            <w:hideMark/>
          </w:tcPr>
          <w:p w14:paraId="52EC8E5A" w14:textId="77777777" w:rsidR="00146E61" w:rsidRPr="00286BE9" w:rsidRDefault="00146E61" w:rsidP="001E3B42">
            <w:pPr>
              <w:spacing w:line="276" w:lineRule="auto"/>
              <w:rPr>
                <w:lang w:val="en-AU"/>
              </w:rPr>
            </w:pPr>
            <w:r w:rsidRPr="00286BE9">
              <w:rPr>
                <w:lang w:val="en-AU"/>
              </w:rPr>
              <w:t>Unclassified</w:t>
            </w:r>
          </w:p>
        </w:tc>
        <w:tc>
          <w:tcPr>
            <w:tcW w:w="0" w:type="auto"/>
            <w:vAlign w:val="center"/>
            <w:hideMark/>
          </w:tcPr>
          <w:p w14:paraId="581DFE4B" w14:textId="77777777" w:rsidR="00146E61" w:rsidRPr="00286BE9" w:rsidRDefault="00146E61" w:rsidP="001E3B42">
            <w:pPr>
              <w:spacing w:line="276" w:lineRule="auto"/>
              <w:rPr>
                <w:lang w:val="en-AU"/>
              </w:rPr>
            </w:pPr>
            <w:r w:rsidRPr="00286BE9">
              <w:rPr>
                <w:lang w:val="en-AU"/>
              </w:rPr>
              <w:t>Incomplete information that may still be supplemented.</w:t>
            </w:r>
          </w:p>
        </w:tc>
      </w:tr>
      <w:tr w:rsidR="00146E61" w:rsidRPr="00286BE9" w14:paraId="6B74EBFF" w14:textId="77777777" w:rsidTr="001E3B42">
        <w:trPr>
          <w:tblCellSpacing w:w="15" w:type="dxa"/>
        </w:trPr>
        <w:tc>
          <w:tcPr>
            <w:tcW w:w="0" w:type="auto"/>
            <w:vAlign w:val="center"/>
            <w:hideMark/>
          </w:tcPr>
          <w:p w14:paraId="5B5B7187" w14:textId="77777777" w:rsidR="00146E61" w:rsidRPr="00286BE9" w:rsidRDefault="00146E61" w:rsidP="001E3B42">
            <w:pPr>
              <w:spacing w:line="276" w:lineRule="auto"/>
              <w:rPr>
                <w:lang w:val="en-AU"/>
              </w:rPr>
            </w:pPr>
            <w:r w:rsidRPr="00286BE9">
              <w:rPr>
                <w:lang w:val="en-AU"/>
              </w:rPr>
              <w:t>Unlikely</w:t>
            </w:r>
          </w:p>
        </w:tc>
        <w:tc>
          <w:tcPr>
            <w:tcW w:w="0" w:type="auto"/>
            <w:vAlign w:val="center"/>
            <w:hideMark/>
          </w:tcPr>
          <w:p w14:paraId="5E1F2254" w14:textId="77777777" w:rsidR="00146E61" w:rsidRPr="00286BE9" w:rsidRDefault="00146E61" w:rsidP="001E3B42">
            <w:pPr>
              <w:spacing w:line="276" w:lineRule="auto"/>
              <w:rPr>
                <w:lang w:val="en-AU"/>
              </w:rPr>
            </w:pPr>
            <w:r w:rsidRPr="00286BE9">
              <w:rPr>
                <w:lang w:val="en-AU"/>
              </w:rPr>
              <w:t>Timing makes a link to DBS programming improbable but not impossible; illness or other factors offer plausible explanations.</w:t>
            </w:r>
          </w:p>
        </w:tc>
      </w:tr>
      <w:tr w:rsidR="00146E61" w:rsidRPr="00286BE9" w14:paraId="0368D25F" w14:textId="77777777" w:rsidTr="001E3B42">
        <w:trPr>
          <w:tblCellSpacing w:w="15" w:type="dxa"/>
        </w:trPr>
        <w:tc>
          <w:tcPr>
            <w:tcW w:w="0" w:type="auto"/>
            <w:vAlign w:val="center"/>
            <w:hideMark/>
          </w:tcPr>
          <w:p w14:paraId="7F8E7CA9" w14:textId="77777777" w:rsidR="00146E61" w:rsidRPr="00286BE9" w:rsidRDefault="00146E61" w:rsidP="001E3B42">
            <w:pPr>
              <w:spacing w:line="276" w:lineRule="auto"/>
              <w:rPr>
                <w:lang w:val="en-AU"/>
              </w:rPr>
            </w:pPr>
            <w:r w:rsidRPr="00286BE9">
              <w:rPr>
                <w:lang w:val="en-AU"/>
              </w:rPr>
              <w:lastRenderedPageBreak/>
              <w:t>Possible</w:t>
            </w:r>
          </w:p>
        </w:tc>
        <w:tc>
          <w:tcPr>
            <w:tcW w:w="0" w:type="auto"/>
            <w:vAlign w:val="center"/>
            <w:hideMark/>
          </w:tcPr>
          <w:p w14:paraId="1851564F" w14:textId="77777777" w:rsidR="00146E61" w:rsidRPr="00286BE9" w:rsidRDefault="00146E61" w:rsidP="001E3B42">
            <w:pPr>
              <w:spacing w:line="276" w:lineRule="auto"/>
              <w:rPr>
                <w:lang w:val="en-AU"/>
              </w:rPr>
            </w:pPr>
            <w:r w:rsidRPr="00286BE9">
              <w:rPr>
                <w:lang w:val="en-AU"/>
              </w:rPr>
              <w:t>Temporal relationship to DBS programming exists; illness or other factors could also explain the event.</w:t>
            </w:r>
          </w:p>
        </w:tc>
      </w:tr>
      <w:tr w:rsidR="00146E61" w:rsidRPr="00286BE9" w14:paraId="1D3DE80F" w14:textId="77777777" w:rsidTr="001E3B42">
        <w:trPr>
          <w:tblCellSpacing w:w="15" w:type="dxa"/>
        </w:trPr>
        <w:tc>
          <w:tcPr>
            <w:tcW w:w="0" w:type="auto"/>
            <w:vAlign w:val="center"/>
            <w:hideMark/>
          </w:tcPr>
          <w:p w14:paraId="675B266E" w14:textId="77777777" w:rsidR="00146E61" w:rsidRPr="00286BE9" w:rsidRDefault="00146E61" w:rsidP="001E3B42">
            <w:pPr>
              <w:spacing w:line="276" w:lineRule="auto"/>
              <w:rPr>
                <w:lang w:val="en-AU"/>
              </w:rPr>
            </w:pPr>
            <w:r w:rsidRPr="00286BE9">
              <w:rPr>
                <w:lang w:val="en-AU"/>
              </w:rPr>
              <w:t>Probable</w:t>
            </w:r>
          </w:p>
        </w:tc>
        <w:tc>
          <w:tcPr>
            <w:tcW w:w="0" w:type="auto"/>
            <w:vAlign w:val="center"/>
            <w:hideMark/>
          </w:tcPr>
          <w:p w14:paraId="2EDE3256" w14:textId="77777777" w:rsidR="00146E61" w:rsidRPr="00286BE9" w:rsidRDefault="00146E61" w:rsidP="001E3B42">
            <w:pPr>
              <w:spacing w:line="276" w:lineRule="auto"/>
              <w:rPr>
                <w:lang w:val="en-AU"/>
              </w:rPr>
            </w:pPr>
            <w:r w:rsidRPr="00286BE9">
              <w:rPr>
                <w:lang w:val="en-AU"/>
              </w:rPr>
              <w:t>Temporal relationship exists; illness or other factors unlikely to explain the event.</w:t>
            </w:r>
          </w:p>
        </w:tc>
      </w:tr>
      <w:tr w:rsidR="00146E61" w:rsidRPr="00286BE9" w14:paraId="621A39CB" w14:textId="77777777" w:rsidTr="001E3B42">
        <w:trPr>
          <w:tblCellSpacing w:w="15" w:type="dxa"/>
        </w:trPr>
        <w:tc>
          <w:tcPr>
            <w:tcW w:w="0" w:type="auto"/>
            <w:vAlign w:val="center"/>
            <w:hideMark/>
          </w:tcPr>
          <w:p w14:paraId="6AFC409E" w14:textId="77777777" w:rsidR="00146E61" w:rsidRPr="00286BE9" w:rsidRDefault="00146E61" w:rsidP="001E3B42">
            <w:pPr>
              <w:spacing w:line="276" w:lineRule="auto"/>
              <w:rPr>
                <w:lang w:val="en-AU"/>
              </w:rPr>
            </w:pPr>
            <w:r w:rsidRPr="00286BE9">
              <w:rPr>
                <w:lang w:val="en-AU"/>
              </w:rPr>
              <w:t>Certain</w:t>
            </w:r>
          </w:p>
        </w:tc>
        <w:tc>
          <w:tcPr>
            <w:tcW w:w="0" w:type="auto"/>
            <w:vAlign w:val="center"/>
            <w:hideMark/>
          </w:tcPr>
          <w:p w14:paraId="6A47DDF0" w14:textId="77777777" w:rsidR="00146E61" w:rsidRPr="00286BE9" w:rsidRDefault="00146E61" w:rsidP="001E3B42">
            <w:pPr>
              <w:spacing w:line="276" w:lineRule="auto"/>
              <w:rPr>
                <w:lang w:val="en-AU"/>
              </w:rPr>
            </w:pPr>
            <w:r w:rsidRPr="00286BE9">
              <w:rPr>
                <w:lang w:val="en-AU"/>
              </w:rPr>
              <w:t>Plausible temporal relationship: AE cannot be explained by illness or other factors.</w:t>
            </w:r>
          </w:p>
        </w:tc>
      </w:tr>
    </w:tbl>
    <w:p w14:paraId="23281962" w14:textId="77777777" w:rsidR="00146E61" w:rsidRPr="00286BE9" w:rsidRDefault="00146E61" w:rsidP="00146E61">
      <w:pPr>
        <w:spacing w:line="276" w:lineRule="auto"/>
        <w:outlineLvl w:val="2"/>
        <w:rPr>
          <w:lang w:val="en-AU"/>
        </w:rPr>
      </w:pPr>
    </w:p>
    <w:p w14:paraId="54628903" w14:textId="77777777" w:rsidR="00146E61" w:rsidRPr="00286BE9" w:rsidRDefault="00146E61" w:rsidP="00146E61">
      <w:pPr>
        <w:spacing w:line="276" w:lineRule="auto"/>
        <w:outlineLvl w:val="2"/>
        <w:rPr>
          <w:b/>
          <w:bCs/>
          <w:lang w:val="en-AU"/>
        </w:rPr>
      </w:pPr>
      <w:r w:rsidRPr="00286BE9">
        <w:rPr>
          <w:b/>
          <w:bCs/>
          <w:lang w:val="en-AU"/>
        </w:rPr>
        <w:t>Documentation &amp; Reporting Procedures:</w:t>
      </w:r>
    </w:p>
    <w:p w14:paraId="632F0BB5" w14:textId="77777777" w:rsidR="00146E61" w:rsidRPr="00286BE9" w:rsidRDefault="00146E61" w:rsidP="00146E61">
      <w:pPr>
        <w:spacing w:line="276" w:lineRule="auto"/>
        <w:jc w:val="both"/>
        <w:rPr>
          <w:lang w:val="en-AU"/>
        </w:rPr>
      </w:pPr>
      <w:r w:rsidRPr="00286BE9">
        <w:rPr>
          <w:lang w:val="en-AU"/>
        </w:rPr>
        <w:t>Each AE and SAE must be reported to the responsible study physician and documented on an adverse event reporting form. The report must clearly identify the responsible physician and be dated and signed by them. It should include an assessment of the causal relationship between the event and the procedure.</w:t>
      </w:r>
    </w:p>
    <w:p w14:paraId="1EE113DF" w14:textId="77777777" w:rsidR="00146E61" w:rsidRPr="00286BE9" w:rsidRDefault="00146E61" w:rsidP="00146E61">
      <w:pPr>
        <w:spacing w:line="276" w:lineRule="auto"/>
        <w:rPr>
          <w:lang w:val="en-AU"/>
        </w:rPr>
      </w:pPr>
    </w:p>
    <w:p w14:paraId="3BC401D1" w14:textId="77777777" w:rsidR="00146E61" w:rsidRPr="00286BE9" w:rsidRDefault="00146E61" w:rsidP="00146E61">
      <w:pPr>
        <w:spacing w:line="276" w:lineRule="auto"/>
        <w:rPr>
          <w:b/>
          <w:bCs/>
          <w:lang w:val="en-AU"/>
        </w:rPr>
      </w:pPr>
      <w:r w:rsidRPr="00286BE9">
        <w:rPr>
          <w:b/>
          <w:bCs/>
          <w:lang w:val="en-AU"/>
        </w:rPr>
        <w:t>The AE description must include:</w:t>
      </w:r>
    </w:p>
    <w:p w14:paraId="6986846B" w14:textId="77777777" w:rsidR="00146E61" w:rsidRPr="00286BE9" w:rsidRDefault="00146E61" w:rsidP="00146E61">
      <w:pPr>
        <w:numPr>
          <w:ilvl w:val="0"/>
          <w:numId w:val="7"/>
        </w:numPr>
        <w:spacing w:line="276" w:lineRule="auto"/>
        <w:rPr>
          <w:lang w:val="en-AU"/>
        </w:rPr>
      </w:pPr>
      <w:r w:rsidRPr="00286BE9">
        <w:rPr>
          <w:lang w:val="en-AU"/>
        </w:rPr>
        <w:t>Time of occurrence</w:t>
      </w:r>
    </w:p>
    <w:p w14:paraId="6892E060" w14:textId="77777777" w:rsidR="00146E61" w:rsidRPr="00286BE9" w:rsidRDefault="00146E61" w:rsidP="00146E61">
      <w:pPr>
        <w:numPr>
          <w:ilvl w:val="0"/>
          <w:numId w:val="7"/>
        </w:numPr>
        <w:spacing w:line="276" w:lineRule="auto"/>
        <w:rPr>
          <w:lang w:val="en-AU"/>
        </w:rPr>
      </w:pPr>
      <w:r w:rsidRPr="00286BE9">
        <w:rPr>
          <w:lang w:val="en-AU"/>
        </w:rPr>
        <w:t>Duration</w:t>
      </w:r>
    </w:p>
    <w:p w14:paraId="65B6A51B" w14:textId="77777777" w:rsidR="00146E61" w:rsidRPr="00286BE9" w:rsidRDefault="00146E61" w:rsidP="00146E61">
      <w:pPr>
        <w:numPr>
          <w:ilvl w:val="0"/>
          <w:numId w:val="7"/>
        </w:numPr>
        <w:spacing w:line="276" w:lineRule="auto"/>
        <w:rPr>
          <w:lang w:val="en-AU"/>
        </w:rPr>
      </w:pPr>
      <w:r w:rsidRPr="00286BE9">
        <w:rPr>
          <w:lang w:val="en-AU"/>
        </w:rPr>
        <w:t>Severity</w:t>
      </w:r>
    </w:p>
    <w:p w14:paraId="2AE8DBAB" w14:textId="77777777" w:rsidR="00146E61" w:rsidRPr="00286BE9" w:rsidRDefault="00146E61" w:rsidP="00146E61">
      <w:pPr>
        <w:numPr>
          <w:ilvl w:val="0"/>
          <w:numId w:val="7"/>
        </w:numPr>
        <w:spacing w:line="276" w:lineRule="auto"/>
        <w:rPr>
          <w:lang w:val="en-AU"/>
        </w:rPr>
      </w:pPr>
      <w:r w:rsidRPr="00286BE9">
        <w:rPr>
          <w:lang w:val="en-AU"/>
        </w:rPr>
        <w:t>Intensity</w:t>
      </w:r>
    </w:p>
    <w:p w14:paraId="42400750" w14:textId="77777777" w:rsidR="00146E61" w:rsidRPr="00286BE9" w:rsidRDefault="00146E61" w:rsidP="00146E61">
      <w:pPr>
        <w:numPr>
          <w:ilvl w:val="0"/>
          <w:numId w:val="7"/>
        </w:numPr>
        <w:spacing w:line="276" w:lineRule="auto"/>
        <w:rPr>
          <w:lang w:val="en-AU"/>
        </w:rPr>
      </w:pPr>
      <w:r w:rsidRPr="00286BE9">
        <w:rPr>
          <w:lang w:val="en-AU"/>
        </w:rPr>
        <w:t>Outcome</w:t>
      </w:r>
    </w:p>
    <w:p w14:paraId="2D6559E3" w14:textId="77777777" w:rsidR="00146E61" w:rsidRPr="00286BE9" w:rsidRDefault="00146E61" w:rsidP="00146E61">
      <w:pPr>
        <w:numPr>
          <w:ilvl w:val="0"/>
          <w:numId w:val="7"/>
        </w:numPr>
        <w:spacing w:line="276" w:lineRule="auto"/>
        <w:rPr>
          <w:lang w:val="en-AU"/>
        </w:rPr>
      </w:pPr>
      <w:r w:rsidRPr="00286BE9">
        <w:rPr>
          <w:lang w:val="en-AU"/>
        </w:rPr>
        <w:t>Assumed causal relationship to DBS adjustment</w:t>
      </w:r>
    </w:p>
    <w:p w14:paraId="24361A6E" w14:textId="77777777" w:rsidR="00146E61" w:rsidRPr="00286BE9" w:rsidRDefault="00146E61" w:rsidP="00146E61">
      <w:pPr>
        <w:numPr>
          <w:ilvl w:val="0"/>
          <w:numId w:val="7"/>
        </w:numPr>
        <w:spacing w:line="276" w:lineRule="auto"/>
        <w:rPr>
          <w:lang w:val="en-AU"/>
        </w:rPr>
      </w:pPr>
      <w:r w:rsidRPr="00286BE9">
        <w:rPr>
          <w:lang w:val="en-AU"/>
        </w:rPr>
        <w:t>Required treatment</w:t>
      </w:r>
    </w:p>
    <w:p w14:paraId="4AA0B3F2" w14:textId="77777777" w:rsidR="00146E61" w:rsidRPr="00286BE9" w:rsidRDefault="00146E61" w:rsidP="00146E61">
      <w:pPr>
        <w:spacing w:line="276" w:lineRule="auto"/>
        <w:rPr>
          <w:lang w:val="en-AU"/>
        </w:rPr>
      </w:pPr>
    </w:p>
    <w:p w14:paraId="1224176B" w14:textId="77777777" w:rsidR="00146E61" w:rsidRPr="00286BE9" w:rsidRDefault="00146E61" w:rsidP="00146E61">
      <w:pPr>
        <w:spacing w:line="276" w:lineRule="auto"/>
        <w:rPr>
          <w:lang w:val="en-AU"/>
        </w:rPr>
      </w:pPr>
      <w:r w:rsidRPr="00286BE9">
        <w:rPr>
          <w:lang w:val="en-AU"/>
        </w:rPr>
        <w:t>All therapeutic measures must be documented.</w:t>
      </w:r>
    </w:p>
    <w:p w14:paraId="0DA328CF" w14:textId="77777777" w:rsidR="00146E61" w:rsidRPr="00286BE9" w:rsidRDefault="00146E61" w:rsidP="00146E61">
      <w:pPr>
        <w:spacing w:line="276" w:lineRule="auto"/>
        <w:outlineLvl w:val="2"/>
        <w:rPr>
          <w:lang w:val="en-AU"/>
        </w:rPr>
      </w:pPr>
    </w:p>
    <w:p w14:paraId="476144DF" w14:textId="77777777" w:rsidR="00146E61" w:rsidRPr="00286BE9" w:rsidRDefault="00146E61" w:rsidP="00146E61">
      <w:pPr>
        <w:spacing w:line="276" w:lineRule="auto"/>
        <w:outlineLvl w:val="2"/>
        <w:rPr>
          <w:b/>
          <w:bCs/>
          <w:lang w:val="en-AU"/>
        </w:rPr>
      </w:pPr>
      <w:r w:rsidRPr="00286BE9">
        <w:rPr>
          <w:b/>
          <w:bCs/>
          <w:lang w:val="en-AU"/>
        </w:rPr>
        <w:t>Therapeutic Measures:</w:t>
      </w:r>
    </w:p>
    <w:p w14:paraId="799BF746" w14:textId="77777777" w:rsidR="00146E61" w:rsidRPr="00286BE9" w:rsidRDefault="00146E61" w:rsidP="00146E61">
      <w:pPr>
        <w:spacing w:line="276" w:lineRule="auto"/>
        <w:jc w:val="both"/>
        <w:rPr>
          <w:lang w:val="en-AU"/>
        </w:rPr>
      </w:pPr>
      <w:r w:rsidRPr="00286BE9">
        <w:rPr>
          <w:lang w:val="en-AU"/>
        </w:rPr>
        <w:t xml:space="preserve">Complications related to DBS reprogramming are considered very unlikely. If AEs or SAEs do occur, the original settings will be immediately restored or reprogrammed according to current medical standards. If AEs or SAEs occur in </w:t>
      </w:r>
      <w:r w:rsidRPr="00286BE9">
        <w:rPr>
          <w:b/>
          <w:bCs/>
          <w:lang w:val="en-AU"/>
        </w:rPr>
        <w:t>Group B</w:t>
      </w:r>
      <w:r w:rsidRPr="00286BE9">
        <w:rPr>
          <w:lang w:val="en-AU"/>
        </w:rPr>
        <w:t xml:space="preserve">, in-person consultation with the study physician is always possible. Such visits for medication advice or changes do </w:t>
      </w:r>
      <w:r w:rsidRPr="00286BE9">
        <w:rPr>
          <w:b/>
          <w:bCs/>
          <w:lang w:val="en-AU"/>
        </w:rPr>
        <w:t>not</w:t>
      </w:r>
      <w:r w:rsidRPr="00286BE9">
        <w:rPr>
          <w:lang w:val="en-AU"/>
        </w:rPr>
        <w:t xml:space="preserve"> result in exclusion from the study. Only </w:t>
      </w:r>
      <w:r w:rsidRPr="00286BE9">
        <w:rPr>
          <w:b/>
          <w:bCs/>
          <w:lang w:val="en-AU"/>
        </w:rPr>
        <w:t>in-person DBS reprogramming including clinical testing</w:t>
      </w:r>
      <w:r w:rsidRPr="00286BE9">
        <w:rPr>
          <w:lang w:val="en-AU"/>
        </w:rPr>
        <w:t xml:space="preserve"> results in study exclusion.</w:t>
      </w:r>
    </w:p>
    <w:p w14:paraId="6F6A3795" w14:textId="77777777" w:rsidR="00146E61" w:rsidRPr="00286BE9" w:rsidRDefault="00146E61" w:rsidP="00146E61">
      <w:pPr>
        <w:spacing w:line="276" w:lineRule="auto"/>
        <w:outlineLvl w:val="2"/>
        <w:rPr>
          <w:lang w:val="en-AU"/>
        </w:rPr>
      </w:pPr>
    </w:p>
    <w:p w14:paraId="58E33268" w14:textId="77777777" w:rsidR="00146E61" w:rsidRPr="00286BE9" w:rsidRDefault="00146E61" w:rsidP="00146E61">
      <w:pPr>
        <w:spacing w:line="276" w:lineRule="auto"/>
        <w:outlineLvl w:val="2"/>
        <w:rPr>
          <w:b/>
          <w:bCs/>
          <w:lang w:val="en-AU"/>
        </w:rPr>
      </w:pPr>
      <w:r w:rsidRPr="00286BE9">
        <w:rPr>
          <w:b/>
          <w:bCs/>
          <w:lang w:val="en-AU"/>
        </w:rPr>
        <w:t>Benefit:</w:t>
      </w:r>
    </w:p>
    <w:p w14:paraId="1F11B38C" w14:textId="21D9F311" w:rsidR="00146E61" w:rsidRPr="00286BE9" w:rsidRDefault="00146E61" w:rsidP="00146E61">
      <w:pPr>
        <w:spacing w:line="276" w:lineRule="auto"/>
        <w:jc w:val="both"/>
        <w:rPr>
          <w:lang w:val="en-AU"/>
        </w:rPr>
      </w:pPr>
      <w:r w:rsidRPr="00286BE9">
        <w:rPr>
          <w:lang w:val="en-AU"/>
        </w:rPr>
        <w:t xml:space="preserve">Deep brain stimulation is a proven and well-established therapy for advanced Parkinson's disease. Achieving optimal therapeutic outcomes requires optimal adjustment of stimulation parameters. The number of adjustable parameters has increased significantly, particularly due to the rise in electrode contacts. Testing all contacts and parameters is time-consuming and difficult to perform in full. Currently, there is </w:t>
      </w:r>
      <w:r w:rsidRPr="00286BE9">
        <w:rPr>
          <w:b/>
          <w:bCs/>
          <w:lang w:val="en-AU"/>
        </w:rPr>
        <w:t>no established alternative method</w:t>
      </w:r>
      <w:r w:rsidRPr="00286BE9">
        <w:rPr>
          <w:lang w:val="en-AU"/>
        </w:rPr>
        <w:t xml:space="preserve"> for parameter setting. Therefore, alternative methods are urgently needed. If the </w:t>
      </w:r>
      <w:r w:rsidRPr="00286BE9">
        <w:rPr>
          <w:b/>
          <w:bCs/>
          <w:lang w:val="en-AU"/>
        </w:rPr>
        <w:t xml:space="preserve">remote </w:t>
      </w:r>
      <w:r w:rsidR="00853D66">
        <w:rPr>
          <w:b/>
          <w:bCs/>
          <w:lang w:val="en-AU"/>
        </w:rPr>
        <w:t xml:space="preserve">programming </w:t>
      </w:r>
      <w:r w:rsidRPr="00286BE9">
        <w:rPr>
          <w:lang w:val="en-AU"/>
        </w:rPr>
        <w:t xml:space="preserve">proves effective and safe, it could significantly improve follow-up care for DBS patients. The importance of </w:t>
      </w:r>
      <w:r w:rsidRPr="00286BE9">
        <w:rPr>
          <w:b/>
          <w:bCs/>
          <w:lang w:val="en-AU"/>
        </w:rPr>
        <w:t>telemedical care structures</w:t>
      </w:r>
      <w:r w:rsidRPr="00286BE9">
        <w:rPr>
          <w:lang w:val="en-AU"/>
        </w:rPr>
        <w:t xml:space="preserve"> for this often elderly and multimorbid patient group became especially apparent during the recent SARS-CoV-2 pandemic.</w:t>
      </w:r>
    </w:p>
    <w:p w14:paraId="0521CDB1" w14:textId="77777777" w:rsidR="00146E61" w:rsidRPr="00286BE9" w:rsidRDefault="00146E61" w:rsidP="00146E61">
      <w:pPr>
        <w:spacing w:line="276" w:lineRule="auto"/>
        <w:outlineLvl w:val="2"/>
        <w:rPr>
          <w:lang w:val="en-AU"/>
        </w:rPr>
      </w:pPr>
    </w:p>
    <w:p w14:paraId="7CDCABE1" w14:textId="77777777" w:rsidR="00146E61" w:rsidRPr="00286BE9" w:rsidRDefault="00146E61" w:rsidP="00146E61">
      <w:pPr>
        <w:spacing w:line="276" w:lineRule="auto"/>
        <w:outlineLvl w:val="2"/>
        <w:rPr>
          <w:b/>
          <w:bCs/>
          <w:lang w:val="en-AU"/>
        </w:rPr>
      </w:pPr>
      <w:r w:rsidRPr="00286BE9">
        <w:rPr>
          <w:b/>
          <w:bCs/>
          <w:lang w:val="en-AU"/>
        </w:rPr>
        <w:t>Risk:</w:t>
      </w:r>
    </w:p>
    <w:p w14:paraId="38BAD9DD" w14:textId="77777777" w:rsidR="00146E61" w:rsidRPr="00286BE9" w:rsidRDefault="00146E61" w:rsidP="00146E61">
      <w:pPr>
        <w:spacing w:line="276" w:lineRule="auto"/>
        <w:jc w:val="both"/>
        <w:rPr>
          <w:lang w:val="en-AU"/>
        </w:rPr>
      </w:pPr>
      <w:r w:rsidRPr="00286BE9">
        <w:rPr>
          <w:lang w:val="en-AU"/>
        </w:rPr>
        <w:t xml:space="preserve">DBS adjustments are performed by physicians trained in the therapy. If temporary subjective or objective side effects occur, immediate adjustment is carried out. Persistent side effects are </w:t>
      </w:r>
      <w:r w:rsidRPr="00286BE9">
        <w:rPr>
          <w:b/>
          <w:bCs/>
          <w:lang w:val="en-AU"/>
        </w:rPr>
        <w:t>not expected</w:t>
      </w:r>
      <w:r w:rsidRPr="00286BE9">
        <w:rPr>
          <w:lang w:val="en-AU"/>
        </w:rPr>
        <w:t xml:space="preserve">. Serious side effects are also </w:t>
      </w:r>
      <w:r w:rsidRPr="00286BE9">
        <w:rPr>
          <w:b/>
          <w:bCs/>
          <w:lang w:val="en-AU"/>
        </w:rPr>
        <w:t>not expected</w:t>
      </w:r>
      <w:r w:rsidRPr="00286BE9">
        <w:rPr>
          <w:lang w:val="en-AU"/>
        </w:rPr>
        <w:t xml:space="preserve"> and generally do not occur in the context of DBS programming. In case of a </w:t>
      </w:r>
      <w:r w:rsidRPr="00286BE9">
        <w:rPr>
          <w:b/>
          <w:bCs/>
          <w:lang w:val="en-AU"/>
        </w:rPr>
        <w:t>technical disruption</w:t>
      </w:r>
      <w:r w:rsidRPr="00286BE9">
        <w:rPr>
          <w:lang w:val="en-AU"/>
        </w:rPr>
        <w:t xml:space="preserve"> during remote programming, the system </w:t>
      </w:r>
      <w:r w:rsidRPr="00286BE9">
        <w:rPr>
          <w:b/>
          <w:bCs/>
          <w:lang w:val="en-AU"/>
        </w:rPr>
        <w:t>automatically restores</w:t>
      </w:r>
      <w:r w:rsidRPr="00286BE9">
        <w:rPr>
          <w:lang w:val="en-AU"/>
        </w:rPr>
        <w:t xml:space="preserve"> the previous setting used before the video session. The software used in this study is </w:t>
      </w:r>
      <w:r w:rsidRPr="00286BE9">
        <w:rPr>
          <w:b/>
          <w:bCs/>
          <w:lang w:val="en-AU"/>
        </w:rPr>
        <w:t>secure and CE-certified</w:t>
      </w:r>
      <w:r w:rsidRPr="00286BE9">
        <w:rPr>
          <w:lang w:val="en-AU"/>
        </w:rPr>
        <w:t>.</w:t>
      </w:r>
    </w:p>
    <w:p w14:paraId="7344C853" w14:textId="77777777" w:rsidR="00146E61" w:rsidRPr="00286BE9" w:rsidRDefault="00146E61" w:rsidP="00146E61">
      <w:pPr>
        <w:spacing w:line="276" w:lineRule="auto"/>
        <w:outlineLvl w:val="2"/>
        <w:rPr>
          <w:lang w:val="en-AU"/>
        </w:rPr>
      </w:pPr>
    </w:p>
    <w:p w14:paraId="30C61E93" w14:textId="77777777" w:rsidR="00146E61" w:rsidRPr="00286BE9" w:rsidRDefault="00146E61" w:rsidP="00146E61">
      <w:pPr>
        <w:spacing w:line="276" w:lineRule="auto"/>
        <w:outlineLvl w:val="2"/>
        <w:rPr>
          <w:b/>
          <w:bCs/>
          <w:lang w:val="en-AU"/>
        </w:rPr>
      </w:pPr>
      <w:r w:rsidRPr="00286BE9">
        <w:rPr>
          <w:b/>
          <w:bCs/>
          <w:lang w:val="en-AU"/>
        </w:rPr>
        <w:t>Benefit-Risk Assessment:</w:t>
      </w:r>
    </w:p>
    <w:p w14:paraId="3B8FC226" w14:textId="77777777" w:rsidR="00146E61" w:rsidRPr="00286BE9" w:rsidRDefault="00146E61" w:rsidP="00146E61">
      <w:pPr>
        <w:spacing w:line="276" w:lineRule="auto"/>
        <w:jc w:val="both"/>
        <w:rPr>
          <w:lang w:val="en-AU"/>
        </w:rPr>
      </w:pPr>
      <w:r w:rsidRPr="00286BE9">
        <w:rPr>
          <w:lang w:val="en-AU"/>
        </w:rPr>
        <w:t xml:space="preserve">Considering the expected new insights into DBS programming for Parkinson’s disease and the low associated risks, we consider the study to be </w:t>
      </w:r>
      <w:r w:rsidRPr="00286BE9">
        <w:rPr>
          <w:b/>
          <w:bCs/>
          <w:lang w:val="en-AU"/>
        </w:rPr>
        <w:t>ethically justifiable</w:t>
      </w:r>
      <w:r w:rsidRPr="00286BE9">
        <w:rPr>
          <w:lang w:val="en-AU"/>
        </w:rPr>
        <w:t>.</w:t>
      </w:r>
    </w:p>
    <w:p w14:paraId="1517EFFE" w14:textId="77777777" w:rsidR="00146E61" w:rsidRPr="00286BE9" w:rsidRDefault="00146E61" w:rsidP="00146E61">
      <w:pPr>
        <w:spacing w:line="276" w:lineRule="auto"/>
        <w:outlineLvl w:val="2"/>
        <w:rPr>
          <w:lang w:val="en-AU"/>
        </w:rPr>
      </w:pPr>
    </w:p>
    <w:p w14:paraId="525EA1FD" w14:textId="77777777" w:rsidR="00146E61" w:rsidRPr="00286BE9" w:rsidRDefault="00146E61" w:rsidP="00146E61">
      <w:pPr>
        <w:spacing w:line="276" w:lineRule="auto"/>
        <w:outlineLvl w:val="2"/>
        <w:rPr>
          <w:b/>
          <w:bCs/>
          <w:lang w:val="en-AU"/>
        </w:rPr>
      </w:pPr>
      <w:r w:rsidRPr="00286BE9">
        <w:rPr>
          <w:b/>
          <w:bCs/>
          <w:lang w:val="en-AU"/>
        </w:rPr>
        <w:t>Legal Aspects:</w:t>
      </w:r>
    </w:p>
    <w:p w14:paraId="13794207" w14:textId="77777777" w:rsidR="00146E61" w:rsidRPr="00286BE9" w:rsidRDefault="00146E61" w:rsidP="00146E61">
      <w:pPr>
        <w:spacing w:line="276" w:lineRule="auto"/>
        <w:jc w:val="both"/>
        <w:rPr>
          <w:lang w:val="en-AU"/>
        </w:rPr>
      </w:pPr>
      <w:r w:rsidRPr="00286BE9">
        <w:rPr>
          <w:lang w:val="en-AU"/>
        </w:rPr>
        <w:t xml:space="preserve">The study protocol, including all necessary appendices, will be submitted to the Ethics Committee of the Medical Faculty of LMU Munich for review before the study begins. It will also be ratified by the responsible ethics committees at all participating centers. </w:t>
      </w:r>
      <w:r w:rsidRPr="00286BE9">
        <w:rPr>
          <w:b/>
          <w:bCs/>
          <w:lang w:val="en-AU"/>
        </w:rPr>
        <w:t>Approval must be granted without restriction</w:t>
      </w:r>
      <w:r w:rsidRPr="00286BE9">
        <w:rPr>
          <w:lang w:val="en-AU"/>
        </w:rPr>
        <w:t xml:space="preserve"> before the start of the study. Any changes to the protocol will be immediately communicated to the Ethics Committee.</w:t>
      </w:r>
    </w:p>
    <w:p w14:paraId="2DE6B53A" w14:textId="77777777" w:rsidR="00146E61" w:rsidRPr="00286BE9" w:rsidRDefault="00146E61" w:rsidP="00146E61">
      <w:pPr>
        <w:spacing w:line="276" w:lineRule="auto"/>
        <w:rPr>
          <w:lang w:val="en-AU"/>
        </w:rPr>
      </w:pPr>
    </w:p>
    <w:p w14:paraId="06C32BC5" w14:textId="77777777" w:rsidR="00146E61" w:rsidRPr="00286BE9" w:rsidRDefault="00146E61" w:rsidP="00146E61">
      <w:pPr>
        <w:spacing w:line="276" w:lineRule="auto"/>
        <w:rPr>
          <w:lang w:val="en-AU"/>
        </w:rPr>
      </w:pPr>
      <w:r w:rsidRPr="00286BE9">
        <w:rPr>
          <w:lang w:val="en-AU"/>
        </w:rPr>
        <w:t>The study will be conducted in accordance with:</w:t>
      </w:r>
    </w:p>
    <w:p w14:paraId="0872D2CD" w14:textId="77777777" w:rsidR="00146E61" w:rsidRPr="00286BE9" w:rsidRDefault="00146E61" w:rsidP="00146E61">
      <w:pPr>
        <w:numPr>
          <w:ilvl w:val="0"/>
          <w:numId w:val="8"/>
        </w:numPr>
        <w:spacing w:line="276" w:lineRule="auto"/>
        <w:rPr>
          <w:lang w:val="en-AU"/>
        </w:rPr>
      </w:pPr>
      <w:r w:rsidRPr="00286BE9">
        <w:rPr>
          <w:lang w:val="en-AU"/>
        </w:rPr>
        <w:t>The Professional Code for Physicians (current version)</w:t>
      </w:r>
    </w:p>
    <w:p w14:paraId="380DB8B9" w14:textId="77777777" w:rsidR="00146E61" w:rsidRPr="00286BE9" w:rsidRDefault="00146E61" w:rsidP="00146E61">
      <w:pPr>
        <w:numPr>
          <w:ilvl w:val="0"/>
          <w:numId w:val="8"/>
        </w:numPr>
        <w:spacing w:line="276" w:lineRule="auto"/>
        <w:rPr>
          <w:lang w:val="en-AU"/>
        </w:rPr>
      </w:pPr>
      <w:r w:rsidRPr="00286BE9">
        <w:rPr>
          <w:lang w:val="en-AU"/>
        </w:rPr>
        <w:t xml:space="preserve">The </w:t>
      </w:r>
      <w:r w:rsidRPr="00286BE9">
        <w:rPr>
          <w:b/>
          <w:bCs/>
          <w:lang w:val="en-AU"/>
        </w:rPr>
        <w:t>Declaration of Helsinki (1996)</w:t>
      </w:r>
    </w:p>
    <w:p w14:paraId="0174582B" w14:textId="77777777" w:rsidR="00146E61" w:rsidRPr="00286BE9" w:rsidRDefault="00146E61" w:rsidP="00146E61">
      <w:pPr>
        <w:numPr>
          <w:ilvl w:val="0"/>
          <w:numId w:val="8"/>
        </w:numPr>
        <w:spacing w:line="276" w:lineRule="auto"/>
        <w:rPr>
          <w:lang w:val="en-AU"/>
        </w:rPr>
      </w:pPr>
      <w:r w:rsidRPr="00286BE9">
        <w:rPr>
          <w:lang w:val="en-AU"/>
        </w:rPr>
        <w:t xml:space="preserve">The </w:t>
      </w:r>
      <w:r w:rsidRPr="00286BE9">
        <w:rPr>
          <w:b/>
          <w:bCs/>
          <w:lang w:val="en-AU"/>
        </w:rPr>
        <w:t>Federal Data Protection Act (BDSG)</w:t>
      </w:r>
    </w:p>
    <w:p w14:paraId="67671D9F" w14:textId="77777777" w:rsidR="00146E61" w:rsidRPr="00286BE9" w:rsidRDefault="00146E61" w:rsidP="00146E61">
      <w:pPr>
        <w:spacing w:line="276" w:lineRule="auto"/>
        <w:ind w:left="720"/>
        <w:rPr>
          <w:lang w:val="en-AU"/>
        </w:rPr>
      </w:pPr>
    </w:p>
    <w:p w14:paraId="79E838D9" w14:textId="77777777" w:rsidR="00146E61" w:rsidRPr="00286BE9" w:rsidRDefault="00146E61" w:rsidP="00146E61">
      <w:pPr>
        <w:spacing w:line="276" w:lineRule="auto"/>
        <w:jc w:val="both"/>
        <w:rPr>
          <w:lang w:val="en-AU"/>
        </w:rPr>
      </w:pPr>
      <w:r w:rsidRPr="00286BE9">
        <w:rPr>
          <w:lang w:val="en-AU"/>
        </w:rPr>
        <w:t xml:space="preserve">Patient names and all confidential information are subject to medical confidentiality and data protection laws. Data will be shared with third parties only in </w:t>
      </w:r>
      <w:r w:rsidRPr="00286BE9">
        <w:rPr>
          <w:b/>
          <w:bCs/>
          <w:lang w:val="en-AU"/>
        </w:rPr>
        <w:t>pseudonymized form</w:t>
      </w:r>
      <w:r w:rsidRPr="00286BE9">
        <w:rPr>
          <w:lang w:val="en-AU"/>
        </w:rPr>
        <w:t xml:space="preserve">. Study funding by </w:t>
      </w:r>
      <w:r w:rsidRPr="00286BE9">
        <w:rPr>
          <w:b/>
          <w:bCs/>
          <w:lang w:val="en-AU"/>
        </w:rPr>
        <w:t>Abbott</w:t>
      </w:r>
      <w:r w:rsidRPr="00286BE9">
        <w:rPr>
          <w:lang w:val="en-AU"/>
        </w:rPr>
        <w:t xml:space="preserve"> will be managed and legally supervised by the legal department of the University Hospital of Munich.</w:t>
      </w:r>
    </w:p>
    <w:p w14:paraId="5CD9CB33" w14:textId="77777777" w:rsidR="00146E61" w:rsidRPr="00286BE9" w:rsidRDefault="00146E61" w:rsidP="00146E61">
      <w:pPr>
        <w:spacing w:line="276" w:lineRule="auto"/>
        <w:jc w:val="both"/>
        <w:rPr>
          <w:lang w:val="en-AU"/>
        </w:rPr>
      </w:pPr>
    </w:p>
    <w:p w14:paraId="2A5552CC" w14:textId="77777777" w:rsidR="00146E61" w:rsidRPr="00286BE9" w:rsidRDefault="00146E61" w:rsidP="00146E61">
      <w:pPr>
        <w:spacing w:line="276" w:lineRule="auto"/>
        <w:outlineLvl w:val="2"/>
        <w:rPr>
          <w:b/>
          <w:bCs/>
          <w:lang w:val="en-AU"/>
        </w:rPr>
      </w:pPr>
      <w:r w:rsidRPr="00286BE9">
        <w:rPr>
          <w:b/>
          <w:bCs/>
          <w:lang w:val="en-AU"/>
        </w:rPr>
        <w:t>10. Biometry</w:t>
      </w:r>
    </w:p>
    <w:p w14:paraId="26562BD6" w14:textId="77777777" w:rsidR="00146E61" w:rsidRPr="00286BE9" w:rsidRDefault="00146E61" w:rsidP="00146E61">
      <w:pPr>
        <w:spacing w:line="276" w:lineRule="auto"/>
        <w:jc w:val="both"/>
        <w:rPr>
          <w:lang w:val="en-AU"/>
        </w:rPr>
      </w:pPr>
      <w:r w:rsidRPr="00286BE9">
        <w:rPr>
          <w:lang w:val="en-AU"/>
        </w:rPr>
        <w:t>The determination and professional execution of the biometric test procedures were carried out in cooperation with the Institute for Medical Information Processing, Biometry, and Epidemiology at Ludwig-Maximilians-University Munich.</w:t>
      </w:r>
    </w:p>
    <w:p w14:paraId="52DC6E68" w14:textId="77777777" w:rsidR="00146E61" w:rsidRPr="00286BE9" w:rsidRDefault="00146E61" w:rsidP="00146E61">
      <w:pPr>
        <w:spacing w:line="276" w:lineRule="auto"/>
        <w:rPr>
          <w:lang w:val="en-AU"/>
        </w:rPr>
      </w:pPr>
    </w:p>
    <w:p w14:paraId="6D84786D" w14:textId="77777777" w:rsidR="00146E61" w:rsidRPr="00286BE9" w:rsidRDefault="00146E61" w:rsidP="00146E61">
      <w:pPr>
        <w:spacing w:line="276" w:lineRule="auto"/>
        <w:outlineLvl w:val="3"/>
        <w:rPr>
          <w:b/>
          <w:bCs/>
          <w:lang w:val="en-AU"/>
        </w:rPr>
      </w:pPr>
      <w:r w:rsidRPr="00286BE9">
        <w:rPr>
          <w:b/>
          <w:bCs/>
          <w:lang w:val="en-AU"/>
        </w:rPr>
        <w:t>Study Endpoints</w:t>
      </w:r>
    </w:p>
    <w:p w14:paraId="0E0CD5FA" w14:textId="77777777" w:rsidR="00146E61" w:rsidRPr="00286BE9" w:rsidRDefault="00146E61" w:rsidP="00146E61">
      <w:pPr>
        <w:spacing w:line="276" w:lineRule="auto"/>
        <w:outlineLvl w:val="3"/>
        <w:rPr>
          <w:b/>
          <w:bCs/>
          <w:lang w:val="en-AU"/>
        </w:rPr>
      </w:pPr>
    </w:p>
    <w:p w14:paraId="1D798C59" w14:textId="77777777" w:rsidR="00146E61" w:rsidRPr="00286BE9" w:rsidRDefault="00146E61" w:rsidP="00146E61">
      <w:pPr>
        <w:spacing w:line="276" w:lineRule="auto"/>
        <w:rPr>
          <w:lang w:val="en-AU"/>
        </w:rPr>
      </w:pPr>
      <w:r w:rsidRPr="00286BE9">
        <w:rPr>
          <w:b/>
          <w:bCs/>
          <w:lang w:val="en-AU"/>
        </w:rPr>
        <w:t>Primary Endpoint:</w:t>
      </w:r>
    </w:p>
    <w:p w14:paraId="5B09F278" w14:textId="77777777" w:rsidR="00146E61" w:rsidRPr="00286BE9" w:rsidRDefault="00146E61" w:rsidP="00146E61">
      <w:pPr>
        <w:numPr>
          <w:ilvl w:val="0"/>
          <w:numId w:val="9"/>
        </w:numPr>
        <w:spacing w:line="276" w:lineRule="auto"/>
        <w:rPr>
          <w:lang w:val="en-AU"/>
        </w:rPr>
      </w:pPr>
      <w:r w:rsidRPr="00286BE9">
        <w:rPr>
          <w:lang w:val="en-AU"/>
        </w:rPr>
        <w:t>The primary endpoint of our study is the UPDRS-III score (STIM-ON/MED-ON) 90 days after surgery.</w:t>
      </w:r>
    </w:p>
    <w:p w14:paraId="27A7D204" w14:textId="77777777" w:rsidR="00146E61" w:rsidRPr="00286BE9" w:rsidRDefault="00146E61" w:rsidP="00146E61">
      <w:pPr>
        <w:spacing w:line="276" w:lineRule="auto"/>
        <w:ind w:left="720"/>
        <w:rPr>
          <w:lang w:val="en-AU"/>
        </w:rPr>
      </w:pPr>
    </w:p>
    <w:p w14:paraId="6C30B6EC" w14:textId="77777777" w:rsidR="00146E61" w:rsidRPr="00286BE9" w:rsidRDefault="00146E61" w:rsidP="00146E61">
      <w:pPr>
        <w:spacing w:line="276" w:lineRule="auto"/>
        <w:rPr>
          <w:lang w:val="en-AU"/>
        </w:rPr>
      </w:pPr>
      <w:r w:rsidRPr="00286BE9">
        <w:rPr>
          <w:b/>
          <w:bCs/>
          <w:lang w:val="en-AU"/>
        </w:rPr>
        <w:t>Secondary Endpoints:</w:t>
      </w:r>
    </w:p>
    <w:p w14:paraId="23E662EA" w14:textId="77777777" w:rsidR="00146E61" w:rsidRPr="00286BE9" w:rsidRDefault="00146E61" w:rsidP="00146E61">
      <w:pPr>
        <w:numPr>
          <w:ilvl w:val="0"/>
          <w:numId w:val="10"/>
        </w:numPr>
        <w:spacing w:line="276" w:lineRule="auto"/>
        <w:rPr>
          <w:lang w:val="en-AU"/>
        </w:rPr>
      </w:pPr>
      <w:r w:rsidRPr="00286BE9">
        <w:rPr>
          <w:lang w:val="en-AU"/>
        </w:rPr>
        <w:t>Clinical and neuropsychological parameters (see Table 2)</w:t>
      </w:r>
    </w:p>
    <w:p w14:paraId="586D6321" w14:textId="486BEA61" w:rsidR="00146E61" w:rsidRPr="00286BE9" w:rsidRDefault="00146E61" w:rsidP="00146E61">
      <w:pPr>
        <w:numPr>
          <w:ilvl w:val="0"/>
          <w:numId w:val="10"/>
        </w:numPr>
        <w:spacing w:line="276" w:lineRule="auto"/>
        <w:rPr>
          <w:lang w:val="en-AU"/>
        </w:rPr>
      </w:pPr>
      <w:r w:rsidRPr="00286BE9">
        <w:rPr>
          <w:lang w:val="en-AU"/>
        </w:rPr>
        <w:t xml:space="preserve">A patient diary documenting daily ON- and OFF-times, as previously described </w:t>
      </w:r>
      <w:sdt>
        <w:sdtPr>
          <w:rPr>
            <w:rFonts w:ascii="Arial" w:hAnsi="Arial" w:cs="Arial"/>
            <w:lang w:val="en-AU"/>
          </w:rPr>
          <w:alias w:val="SmartCite Citation"/>
          <w:tag w:val="e1a7da00-c597-49e3-9997-bbfc1b33b542:ba0e18a6-ca52-42be-87c5-09810e813f4f+"/>
          <w:id w:val="-416026528"/>
          <w:placeholder>
            <w:docPart w:val="67E47D278B24A545B594D8BBAA320FE9"/>
          </w:placeholder>
        </w:sdtPr>
        <w:sdtContent>
          <w:r w:rsidR="00395812" w:rsidRPr="00395812">
            <w:rPr>
              <w:rFonts w:ascii="Arial" w:hAnsi="Arial" w:cs="Arial"/>
              <w:vertAlign w:val="superscript"/>
            </w:rPr>
            <w:t>37</w:t>
          </w:r>
        </w:sdtContent>
      </w:sdt>
    </w:p>
    <w:p w14:paraId="7780C4B3" w14:textId="77777777" w:rsidR="00146E61" w:rsidRPr="00286BE9" w:rsidRDefault="00146E61" w:rsidP="00146E61">
      <w:pPr>
        <w:numPr>
          <w:ilvl w:val="0"/>
          <w:numId w:val="10"/>
        </w:numPr>
        <w:spacing w:line="276" w:lineRule="auto"/>
        <w:rPr>
          <w:lang w:val="en-AU"/>
        </w:rPr>
      </w:pPr>
      <w:r w:rsidRPr="00286BE9">
        <w:rPr>
          <w:lang w:val="en-AU"/>
        </w:rPr>
        <w:t>UPDRS Parts I, II, and IV</w:t>
      </w:r>
    </w:p>
    <w:p w14:paraId="2206ED75" w14:textId="77777777" w:rsidR="00146E61" w:rsidRPr="00286BE9" w:rsidRDefault="00146E61" w:rsidP="00146E61">
      <w:pPr>
        <w:numPr>
          <w:ilvl w:val="0"/>
          <w:numId w:val="10"/>
        </w:numPr>
        <w:spacing w:line="276" w:lineRule="auto"/>
        <w:rPr>
          <w:lang w:val="en-AU"/>
        </w:rPr>
      </w:pPr>
      <w:r w:rsidRPr="00286BE9">
        <w:rPr>
          <w:lang w:val="en-AU"/>
        </w:rPr>
        <w:lastRenderedPageBreak/>
        <w:t>PDQ-39</w:t>
      </w:r>
    </w:p>
    <w:p w14:paraId="7ED060AA" w14:textId="77777777" w:rsidR="00146E61" w:rsidRPr="00286BE9" w:rsidRDefault="00146E61" w:rsidP="00146E61">
      <w:pPr>
        <w:numPr>
          <w:ilvl w:val="0"/>
          <w:numId w:val="10"/>
        </w:numPr>
        <w:spacing w:line="276" w:lineRule="auto"/>
        <w:rPr>
          <w:lang w:val="en-AU"/>
        </w:rPr>
      </w:pPr>
      <w:r w:rsidRPr="00286BE9">
        <w:rPr>
          <w:lang w:val="en-AU"/>
        </w:rPr>
        <w:t>Number and duration of physician-patient contacts in both study arms (Group A: number and duration of outpatient visits; Group B: number and duration of REMOTE consultations)</w:t>
      </w:r>
    </w:p>
    <w:p w14:paraId="1B195EAF" w14:textId="77777777" w:rsidR="00146E61" w:rsidRPr="00286BE9" w:rsidRDefault="00146E61" w:rsidP="00146E61">
      <w:pPr>
        <w:numPr>
          <w:ilvl w:val="0"/>
          <w:numId w:val="10"/>
        </w:numPr>
        <w:spacing w:line="276" w:lineRule="auto"/>
        <w:rPr>
          <w:lang w:val="en-AU"/>
        </w:rPr>
      </w:pPr>
      <w:r w:rsidRPr="00286BE9">
        <w:rPr>
          <w:lang w:val="en-AU"/>
        </w:rPr>
        <w:t>Total Electrical Energy Delivered (TEED) at the time of the second study visit</w:t>
      </w:r>
    </w:p>
    <w:p w14:paraId="37521C0B" w14:textId="77777777" w:rsidR="00146E61" w:rsidRPr="00286BE9" w:rsidRDefault="00146E61" w:rsidP="00146E61">
      <w:pPr>
        <w:numPr>
          <w:ilvl w:val="0"/>
          <w:numId w:val="10"/>
        </w:numPr>
        <w:spacing w:line="276" w:lineRule="auto"/>
        <w:rPr>
          <w:lang w:val="en-AU"/>
        </w:rPr>
      </w:pPr>
      <w:r w:rsidRPr="00286BE9">
        <w:rPr>
          <w:lang w:val="en-AU"/>
        </w:rPr>
        <w:t>Results of the measurement instruments listed in Table 2 (BDI, MOCA, SSEV, Ardouin Scale, VAS-based monopolar review)</w:t>
      </w:r>
    </w:p>
    <w:p w14:paraId="640A9BE0" w14:textId="77777777" w:rsidR="00146E61" w:rsidRPr="00286BE9" w:rsidRDefault="00146E61" w:rsidP="00146E61">
      <w:pPr>
        <w:spacing w:line="276" w:lineRule="auto"/>
        <w:ind w:left="720"/>
        <w:rPr>
          <w:lang w:val="en-AU"/>
        </w:rPr>
      </w:pPr>
    </w:p>
    <w:p w14:paraId="060ABDF7" w14:textId="77777777" w:rsidR="00146E61" w:rsidRPr="00286BE9" w:rsidRDefault="00146E61" w:rsidP="00146E61">
      <w:pPr>
        <w:spacing w:line="276" w:lineRule="auto"/>
        <w:rPr>
          <w:b/>
          <w:bCs/>
          <w:lang w:val="en-AU"/>
        </w:rPr>
      </w:pPr>
      <w:r w:rsidRPr="00286BE9">
        <w:rPr>
          <w:b/>
          <w:bCs/>
          <w:lang w:val="en-AU"/>
        </w:rPr>
        <w:t>Overview of Endpoints:</w:t>
      </w:r>
    </w:p>
    <w:p w14:paraId="65265B2F" w14:textId="77777777" w:rsidR="00146E61" w:rsidRPr="00286BE9" w:rsidRDefault="00146E61" w:rsidP="00146E61">
      <w:pPr>
        <w:spacing w:line="276" w:lineRule="auto"/>
        <w:rPr>
          <w:lang w:val="en-AU"/>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59"/>
        <w:gridCol w:w="2884"/>
        <w:gridCol w:w="4313"/>
      </w:tblGrid>
      <w:tr w:rsidR="00146E61" w:rsidRPr="00286BE9" w14:paraId="0265CF40" w14:textId="77777777" w:rsidTr="001E3B42">
        <w:trPr>
          <w:tblHeader/>
          <w:tblCellSpacing w:w="15" w:type="dxa"/>
        </w:trPr>
        <w:tc>
          <w:tcPr>
            <w:tcW w:w="0" w:type="auto"/>
            <w:vAlign w:val="center"/>
            <w:hideMark/>
          </w:tcPr>
          <w:p w14:paraId="0B850B98" w14:textId="77777777" w:rsidR="00146E61" w:rsidRPr="00286BE9" w:rsidRDefault="00146E61" w:rsidP="001E3B42">
            <w:pPr>
              <w:spacing w:line="276" w:lineRule="auto"/>
              <w:rPr>
                <w:b/>
                <w:bCs/>
                <w:lang w:val="en-AU"/>
              </w:rPr>
            </w:pPr>
            <w:r w:rsidRPr="00286BE9">
              <w:rPr>
                <w:b/>
                <w:bCs/>
                <w:lang w:val="en-AU"/>
              </w:rPr>
              <w:t>Primary Endpoint</w:t>
            </w:r>
          </w:p>
        </w:tc>
        <w:tc>
          <w:tcPr>
            <w:tcW w:w="0" w:type="auto"/>
            <w:vAlign w:val="center"/>
            <w:hideMark/>
          </w:tcPr>
          <w:p w14:paraId="0A1A80D1" w14:textId="77777777" w:rsidR="00146E61" w:rsidRPr="00286BE9" w:rsidRDefault="00146E61" w:rsidP="001E3B42">
            <w:pPr>
              <w:spacing w:line="276" w:lineRule="auto"/>
              <w:rPr>
                <w:b/>
                <w:bCs/>
                <w:lang w:val="en-AU"/>
              </w:rPr>
            </w:pPr>
            <w:r w:rsidRPr="00286BE9">
              <w:rPr>
                <w:b/>
                <w:bCs/>
                <w:lang w:val="en-AU"/>
              </w:rPr>
              <w:t>Secondary Endpoints</w:t>
            </w:r>
          </w:p>
        </w:tc>
        <w:tc>
          <w:tcPr>
            <w:tcW w:w="0" w:type="auto"/>
            <w:vAlign w:val="center"/>
            <w:hideMark/>
          </w:tcPr>
          <w:p w14:paraId="35CC870D" w14:textId="77777777" w:rsidR="00146E61" w:rsidRPr="00286BE9" w:rsidRDefault="00146E61" w:rsidP="001E3B42">
            <w:pPr>
              <w:spacing w:line="276" w:lineRule="auto"/>
              <w:rPr>
                <w:b/>
                <w:bCs/>
                <w:lang w:val="en-AU"/>
              </w:rPr>
            </w:pPr>
            <w:r w:rsidRPr="00286BE9">
              <w:rPr>
                <w:b/>
                <w:bCs/>
                <w:lang w:val="en-AU"/>
              </w:rPr>
              <w:t>Exploratory Endpoints</w:t>
            </w:r>
          </w:p>
        </w:tc>
      </w:tr>
      <w:tr w:rsidR="00146E61" w:rsidRPr="00286BE9" w14:paraId="6CE95199" w14:textId="77777777" w:rsidTr="001E3B42">
        <w:trPr>
          <w:tblCellSpacing w:w="15" w:type="dxa"/>
        </w:trPr>
        <w:tc>
          <w:tcPr>
            <w:tcW w:w="0" w:type="auto"/>
            <w:vAlign w:val="center"/>
            <w:hideMark/>
          </w:tcPr>
          <w:p w14:paraId="16CC6F58" w14:textId="77777777" w:rsidR="00146E61" w:rsidRPr="00286BE9" w:rsidRDefault="00146E61" w:rsidP="001E3B42">
            <w:pPr>
              <w:spacing w:line="276" w:lineRule="auto"/>
              <w:rPr>
                <w:lang w:val="en-AU"/>
              </w:rPr>
            </w:pPr>
            <w:r w:rsidRPr="00286BE9">
              <w:rPr>
                <w:lang w:val="en-AU"/>
              </w:rPr>
              <w:t>UPDRS-III (STIM-ON/MED-ON)</w:t>
            </w:r>
          </w:p>
        </w:tc>
        <w:tc>
          <w:tcPr>
            <w:tcW w:w="0" w:type="auto"/>
            <w:vAlign w:val="center"/>
            <w:hideMark/>
          </w:tcPr>
          <w:p w14:paraId="3BD83313" w14:textId="77777777" w:rsidR="00146E61" w:rsidRPr="00286BE9" w:rsidRDefault="00146E61" w:rsidP="001E3B42">
            <w:pPr>
              <w:spacing w:line="276" w:lineRule="auto"/>
              <w:rPr>
                <w:lang w:val="en-AU"/>
              </w:rPr>
            </w:pPr>
            <w:r w:rsidRPr="00286BE9">
              <w:rPr>
                <w:lang w:val="en-AU"/>
              </w:rPr>
              <w:t>UPDRS Part I</w:t>
            </w:r>
          </w:p>
        </w:tc>
        <w:tc>
          <w:tcPr>
            <w:tcW w:w="0" w:type="auto"/>
            <w:vAlign w:val="center"/>
            <w:hideMark/>
          </w:tcPr>
          <w:p w14:paraId="702C41E8" w14:textId="77777777" w:rsidR="00146E61" w:rsidRPr="00286BE9" w:rsidRDefault="00146E61" w:rsidP="001E3B42">
            <w:pPr>
              <w:spacing w:line="276" w:lineRule="auto"/>
              <w:rPr>
                <w:lang w:val="en-AU"/>
              </w:rPr>
            </w:pPr>
            <w:r w:rsidRPr="00286BE9">
              <w:rPr>
                <w:lang w:val="en-AU"/>
              </w:rPr>
              <w:t>Correlation of electrode position, Volume of Tissue Activated (VTA), and MRI analyses (connectomics)</w:t>
            </w:r>
          </w:p>
        </w:tc>
      </w:tr>
      <w:tr w:rsidR="00146E61" w:rsidRPr="00286BE9" w14:paraId="72F628F2" w14:textId="77777777" w:rsidTr="001E3B42">
        <w:trPr>
          <w:tblCellSpacing w:w="15" w:type="dxa"/>
        </w:trPr>
        <w:tc>
          <w:tcPr>
            <w:tcW w:w="0" w:type="auto"/>
            <w:vAlign w:val="center"/>
            <w:hideMark/>
          </w:tcPr>
          <w:p w14:paraId="4DEC3F36" w14:textId="77777777" w:rsidR="00146E61" w:rsidRPr="00286BE9" w:rsidRDefault="00146E61" w:rsidP="001E3B42">
            <w:pPr>
              <w:spacing w:line="276" w:lineRule="auto"/>
              <w:rPr>
                <w:lang w:val="en-AU"/>
              </w:rPr>
            </w:pPr>
          </w:p>
        </w:tc>
        <w:tc>
          <w:tcPr>
            <w:tcW w:w="0" w:type="auto"/>
            <w:vAlign w:val="center"/>
            <w:hideMark/>
          </w:tcPr>
          <w:p w14:paraId="7B41D25B" w14:textId="77777777" w:rsidR="00146E61" w:rsidRPr="00286BE9" w:rsidRDefault="00146E61" w:rsidP="001E3B42">
            <w:pPr>
              <w:spacing w:line="276" w:lineRule="auto"/>
              <w:rPr>
                <w:lang w:val="en-AU"/>
              </w:rPr>
            </w:pPr>
            <w:r w:rsidRPr="00286BE9">
              <w:rPr>
                <w:lang w:val="en-AU"/>
              </w:rPr>
              <w:t>UPDRS Part II</w:t>
            </w:r>
          </w:p>
        </w:tc>
        <w:tc>
          <w:tcPr>
            <w:tcW w:w="0" w:type="auto"/>
            <w:vAlign w:val="center"/>
            <w:hideMark/>
          </w:tcPr>
          <w:p w14:paraId="272FE1CC" w14:textId="77777777" w:rsidR="00146E61" w:rsidRPr="00286BE9" w:rsidRDefault="00146E61" w:rsidP="001E3B42">
            <w:pPr>
              <w:spacing w:line="276" w:lineRule="auto"/>
              <w:rPr>
                <w:lang w:val="en-AU"/>
              </w:rPr>
            </w:pPr>
          </w:p>
        </w:tc>
      </w:tr>
      <w:tr w:rsidR="00146E61" w:rsidRPr="00286BE9" w14:paraId="423255DE" w14:textId="77777777" w:rsidTr="001E3B42">
        <w:trPr>
          <w:tblCellSpacing w:w="15" w:type="dxa"/>
        </w:trPr>
        <w:tc>
          <w:tcPr>
            <w:tcW w:w="0" w:type="auto"/>
            <w:vAlign w:val="center"/>
            <w:hideMark/>
          </w:tcPr>
          <w:p w14:paraId="688DC3F2" w14:textId="77777777" w:rsidR="00146E61" w:rsidRPr="00286BE9" w:rsidRDefault="00146E61" w:rsidP="001E3B42">
            <w:pPr>
              <w:spacing w:line="276" w:lineRule="auto"/>
              <w:rPr>
                <w:lang w:val="en-AU"/>
              </w:rPr>
            </w:pPr>
          </w:p>
        </w:tc>
        <w:tc>
          <w:tcPr>
            <w:tcW w:w="0" w:type="auto"/>
            <w:vAlign w:val="center"/>
            <w:hideMark/>
          </w:tcPr>
          <w:p w14:paraId="21A31AD2" w14:textId="77777777" w:rsidR="00146E61" w:rsidRPr="00286BE9" w:rsidRDefault="00146E61" w:rsidP="001E3B42">
            <w:pPr>
              <w:spacing w:line="276" w:lineRule="auto"/>
              <w:rPr>
                <w:lang w:val="en-AU"/>
              </w:rPr>
            </w:pPr>
            <w:r w:rsidRPr="00286BE9">
              <w:rPr>
                <w:lang w:val="en-AU"/>
              </w:rPr>
              <w:t>UPDRS Part IV</w:t>
            </w:r>
          </w:p>
        </w:tc>
        <w:tc>
          <w:tcPr>
            <w:tcW w:w="0" w:type="auto"/>
            <w:vAlign w:val="center"/>
            <w:hideMark/>
          </w:tcPr>
          <w:p w14:paraId="0948A017" w14:textId="77777777" w:rsidR="00146E61" w:rsidRPr="00286BE9" w:rsidRDefault="00146E61" w:rsidP="001E3B42">
            <w:pPr>
              <w:spacing w:line="276" w:lineRule="auto"/>
              <w:rPr>
                <w:lang w:val="en-AU"/>
              </w:rPr>
            </w:pPr>
          </w:p>
        </w:tc>
      </w:tr>
      <w:tr w:rsidR="00146E61" w:rsidRPr="00286BE9" w14:paraId="0D0C0D90" w14:textId="77777777" w:rsidTr="001E3B42">
        <w:trPr>
          <w:tblCellSpacing w:w="15" w:type="dxa"/>
        </w:trPr>
        <w:tc>
          <w:tcPr>
            <w:tcW w:w="0" w:type="auto"/>
            <w:vAlign w:val="center"/>
            <w:hideMark/>
          </w:tcPr>
          <w:p w14:paraId="2014F261" w14:textId="77777777" w:rsidR="00146E61" w:rsidRPr="00286BE9" w:rsidRDefault="00146E61" w:rsidP="001E3B42">
            <w:pPr>
              <w:spacing w:line="276" w:lineRule="auto"/>
              <w:rPr>
                <w:lang w:val="en-AU"/>
              </w:rPr>
            </w:pPr>
          </w:p>
        </w:tc>
        <w:tc>
          <w:tcPr>
            <w:tcW w:w="0" w:type="auto"/>
            <w:vAlign w:val="center"/>
            <w:hideMark/>
          </w:tcPr>
          <w:p w14:paraId="5EA326B6" w14:textId="77777777" w:rsidR="00146E61" w:rsidRPr="00286BE9" w:rsidRDefault="00146E61" w:rsidP="001E3B42">
            <w:pPr>
              <w:spacing w:line="276" w:lineRule="auto"/>
              <w:rPr>
                <w:lang w:val="en-AU"/>
              </w:rPr>
            </w:pPr>
            <w:r w:rsidRPr="00286BE9">
              <w:rPr>
                <w:lang w:val="en-AU"/>
              </w:rPr>
              <w:t>PDQ-39</w:t>
            </w:r>
          </w:p>
        </w:tc>
        <w:tc>
          <w:tcPr>
            <w:tcW w:w="0" w:type="auto"/>
            <w:vAlign w:val="center"/>
            <w:hideMark/>
          </w:tcPr>
          <w:p w14:paraId="34110C27" w14:textId="77777777" w:rsidR="00146E61" w:rsidRPr="00286BE9" w:rsidRDefault="00146E61" w:rsidP="001E3B42">
            <w:pPr>
              <w:spacing w:line="276" w:lineRule="auto"/>
              <w:rPr>
                <w:lang w:val="en-AU"/>
              </w:rPr>
            </w:pPr>
          </w:p>
        </w:tc>
      </w:tr>
      <w:tr w:rsidR="00146E61" w:rsidRPr="00286BE9" w14:paraId="6A49801D" w14:textId="77777777" w:rsidTr="001E3B42">
        <w:trPr>
          <w:tblCellSpacing w:w="15" w:type="dxa"/>
        </w:trPr>
        <w:tc>
          <w:tcPr>
            <w:tcW w:w="0" w:type="auto"/>
            <w:vAlign w:val="center"/>
            <w:hideMark/>
          </w:tcPr>
          <w:p w14:paraId="2270F52D" w14:textId="77777777" w:rsidR="00146E61" w:rsidRPr="00286BE9" w:rsidRDefault="00146E61" w:rsidP="001E3B42">
            <w:pPr>
              <w:spacing w:line="276" w:lineRule="auto"/>
              <w:rPr>
                <w:lang w:val="en-AU"/>
              </w:rPr>
            </w:pPr>
          </w:p>
        </w:tc>
        <w:tc>
          <w:tcPr>
            <w:tcW w:w="0" w:type="auto"/>
            <w:vAlign w:val="center"/>
            <w:hideMark/>
          </w:tcPr>
          <w:p w14:paraId="627A8B19" w14:textId="77777777" w:rsidR="00146E61" w:rsidRPr="00286BE9" w:rsidRDefault="00146E61" w:rsidP="001E3B42">
            <w:pPr>
              <w:spacing w:line="276" w:lineRule="auto"/>
              <w:rPr>
                <w:lang w:val="en-AU"/>
              </w:rPr>
            </w:pPr>
            <w:r w:rsidRPr="00286BE9">
              <w:rPr>
                <w:lang w:val="en-AU"/>
              </w:rPr>
              <w:t>Number of physician-patient contacts in both arms</w:t>
            </w:r>
          </w:p>
        </w:tc>
        <w:tc>
          <w:tcPr>
            <w:tcW w:w="0" w:type="auto"/>
            <w:vAlign w:val="center"/>
            <w:hideMark/>
          </w:tcPr>
          <w:p w14:paraId="1237306D" w14:textId="77777777" w:rsidR="00146E61" w:rsidRPr="00286BE9" w:rsidRDefault="00146E61" w:rsidP="001E3B42">
            <w:pPr>
              <w:spacing w:line="276" w:lineRule="auto"/>
              <w:rPr>
                <w:lang w:val="en-AU"/>
              </w:rPr>
            </w:pPr>
          </w:p>
        </w:tc>
      </w:tr>
      <w:tr w:rsidR="00146E61" w:rsidRPr="00286BE9" w14:paraId="58F5E0E5" w14:textId="77777777" w:rsidTr="001E3B42">
        <w:trPr>
          <w:tblCellSpacing w:w="15" w:type="dxa"/>
        </w:trPr>
        <w:tc>
          <w:tcPr>
            <w:tcW w:w="0" w:type="auto"/>
            <w:vAlign w:val="center"/>
            <w:hideMark/>
          </w:tcPr>
          <w:p w14:paraId="20C4D36B" w14:textId="77777777" w:rsidR="00146E61" w:rsidRPr="00286BE9" w:rsidRDefault="00146E61" w:rsidP="001E3B42">
            <w:pPr>
              <w:spacing w:line="276" w:lineRule="auto"/>
              <w:rPr>
                <w:lang w:val="en-AU"/>
              </w:rPr>
            </w:pPr>
          </w:p>
        </w:tc>
        <w:tc>
          <w:tcPr>
            <w:tcW w:w="0" w:type="auto"/>
            <w:vAlign w:val="center"/>
            <w:hideMark/>
          </w:tcPr>
          <w:p w14:paraId="39EF8584" w14:textId="77777777" w:rsidR="00146E61" w:rsidRPr="00286BE9" w:rsidRDefault="00146E61" w:rsidP="001E3B42">
            <w:pPr>
              <w:spacing w:line="276" w:lineRule="auto"/>
              <w:rPr>
                <w:lang w:val="en-AU"/>
              </w:rPr>
            </w:pPr>
            <w:r w:rsidRPr="00286BE9">
              <w:rPr>
                <w:lang w:val="en-AU"/>
              </w:rPr>
              <w:t>Total Electrical Energy Delivered (TEED)</w:t>
            </w:r>
          </w:p>
        </w:tc>
        <w:tc>
          <w:tcPr>
            <w:tcW w:w="0" w:type="auto"/>
            <w:vAlign w:val="center"/>
            <w:hideMark/>
          </w:tcPr>
          <w:p w14:paraId="34E1E408" w14:textId="77777777" w:rsidR="00146E61" w:rsidRPr="00286BE9" w:rsidRDefault="00146E61" w:rsidP="001E3B42">
            <w:pPr>
              <w:spacing w:line="276" w:lineRule="auto"/>
              <w:rPr>
                <w:lang w:val="en-AU"/>
              </w:rPr>
            </w:pPr>
          </w:p>
        </w:tc>
      </w:tr>
      <w:tr w:rsidR="00146E61" w:rsidRPr="00286BE9" w14:paraId="1B223251" w14:textId="77777777" w:rsidTr="001E3B42">
        <w:trPr>
          <w:tblCellSpacing w:w="15" w:type="dxa"/>
        </w:trPr>
        <w:tc>
          <w:tcPr>
            <w:tcW w:w="0" w:type="auto"/>
            <w:vAlign w:val="center"/>
            <w:hideMark/>
          </w:tcPr>
          <w:p w14:paraId="6BC190CC" w14:textId="77777777" w:rsidR="00146E61" w:rsidRPr="00286BE9" w:rsidRDefault="00146E61" w:rsidP="001E3B42">
            <w:pPr>
              <w:spacing w:line="276" w:lineRule="auto"/>
              <w:rPr>
                <w:lang w:val="en-AU"/>
              </w:rPr>
            </w:pPr>
          </w:p>
        </w:tc>
        <w:tc>
          <w:tcPr>
            <w:tcW w:w="0" w:type="auto"/>
            <w:vAlign w:val="center"/>
            <w:hideMark/>
          </w:tcPr>
          <w:p w14:paraId="7BDCD99E" w14:textId="77777777" w:rsidR="00146E61" w:rsidRPr="00286BE9" w:rsidRDefault="00146E61" w:rsidP="001E3B42">
            <w:pPr>
              <w:spacing w:line="276" w:lineRule="auto"/>
              <w:rPr>
                <w:lang w:val="en-AU"/>
              </w:rPr>
            </w:pPr>
            <w:r w:rsidRPr="00286BE9">
              <w:rPr>
                <w:lang w:val="en-AU"/>
              </w:rPr>
              <w:t>Beck Depression Inventory II (BDI)</w:t>
            </w:r>
          </w:p>
        </w:tc>
        <w:tc>
          <w:tcPr>
            <w:tcW w:w="0" w:type="auto"/>
            <w:vAlign w:val="center"/>
            <w:hideMark/>
          </w:tcPr>
          <w:p w14:paraId="629577CF" w14:textId="77777777" w:rsidR="00146E61" w:rsidRPr="00286BE9" w:rsidRDefault="00146E61" w:rsidP="001E3B42">
            <w:pPr>
              <w:spacing w:line="276" w:lineRule="auto"/>
              <w:rPr>
                <w:lang w:val="en-AU"/>
              </w:rPr>
            </w:pPr>
          </w:p>
        </w:tc>
      </w:tr>
      <w:tr w:rsidR="00146E61" w:rsidRPr="00286BE9" w14:paraId="19762A6C" w14:textId="77777777" w:rsidTr="001E3B42">
        <w:trPr>
          <w:tblCellSpacing w:w="15" w:type="dxa"/>
        </w:trPr>
        <w:tc>
          <w:tcPr>
            <w:tcW w:w="0" w:type="auto"/>
            <w:vAlign w:val="center"/>
            <w:hideMark/>
          </w:tcPr>
          <w:p w14:paraId="09F11968" w14:textId="77777777" w:rsidR="00146E61" w:rsidRPr="00286BE9" w:rsidRDefault="00146E61" w:rsidP="001E3B42">
            <w:pPr>
              <w:spacing w:line="276" w:lineRule="auto"/>
              <w:rPr>
                <w:lang w:val="en-AU"/>
              </w:rPr>
            </w:pPr>
          </w:p>
        </w:tc>
        <w:tc>
          <w:tcPr>
            <w:tcW w:w="0" w:type="auto"/>
            <w:vAlign w:val="center"/>
            <w:hideMark/>
          </w:tcPr>
          <w:p w14:paraId="0168654E" w14:textId="77777777" w:rsidR="00146E61" w:rsidRPr="00286BE9" w:rsidRDefault="00146E61" w:rsidP="001E3B42">
            <w:pPr>
              <w:spacing w:line="276" w:lineRule="auto"/>
              <w:rPr>
                <w:lang w:val="en-AU"/>
              </w:rPr>
            </w:pPr>
            <w:r w:rsidRPr="00286BE9">
              <w:rPr>
                <w:lang w:val="en-AU"/>
              </w:rPr>
              <w:t>Scale for Suicidal Experiences and Behavior (SSEV)</w:t>
            </w:r>
          </w:p>
        </w:tc>
        <w:tc>
          <w:tcPr>
            <w:tcW w:w="0" w:type="auto"/>
            <w:vAlign w:val="center"/>
            <w:hideMark/>
          </w:tcPr>
          <w:p w14:paraId="1D030F7F" w14:textId="77777777" w:rsidR="00146E61" w:rsidRPr="00286BE9" w:rsidRDefault="00146E61" w:rsidP="001E3B42">
            <w:pPr>
              <w:spacing w:line="276" w:lineRule="auto"/>
              <w:rPr>
                <w:lang w:val="en-AU"/>
              </w:rPr>
            </w:pPr>
          </w:p>
        </w:tc>
      </w:tr>
      <w:tr w:rsidR="00146E61" w:rsidRPr="00286BE9" w14:paraId="17C5F246" w14:textId="77777777" w:rsidTr="001E3B42">
        <w:trPr>
          <w:tblCellSpacing w:w="15" w:type="dxa"/>
        </w:trPr>
        <w:tc>
          <w:tcPr>
            <w:tcW w:w="0" w:type="auto"/>
            <w:vAlign w:val="center"/>
            <w:hideMark/>
          </w:tcPr>
          <w:p w14:paraId="65462173" w14:textId="77777777" w:rsidR="00146E61" w:rsidRPr="00286BE9" w:rsidRDefault="00146E61" w:rsidP="001E3B42">
            <w:pPr>
              <w:spacing w:line="276" w:lineRule="auto"/>
              <w:rPr>
                <w:lang w:val="en-AU"/>
              </w:rPr>
            </w:pPr>
          </w:p>
        </w:tc>
        <w:tc>
          <w:tcPr>
            <w:tcW w:w="0" w:type="auto"/>
            <w:vAlign w:val="center"/>
            <w:hideMark/>
          </w:tcPr>
          <w:p w14:paraId="4E7E216A" w14:textId="77777777" w:rsidR="00146E61" w:rsidRPr="00286BE9" w:rsidRDefault="00146E61" w:rsidP="001E3B42">
            <w:pPr>
              <w:spacing w:line="276" w:lineRule="auto"/>
              <w:rPr>
                <w:lang w:val="en-AU"/>
              </w:rPr>
            </w:pPr>
            <w:r w:rsidRPr="00286BE9">
              <w:rPr>
                <w:lang w:val="en-AU"/>
              </w:rPr>
              <w:t>Montreal Cognitive Assessment (MOCA)</w:t>
            </w:r>
          </w:p>
        </w:tc>
        <w:tc>
          <w:tcPr>
            <w:tcW w:w="0" w:type="auto"/>
            <w:vAlign w:val="center"/>
            <w:hideMark/>
          </w:tcPr>
          <w:p w14:paraId="57D4BF91" w14:textId="77777777" w:rsidR="00146E61" w:rsidRPr="00286BE9" w:rsidRDefault="00146E61" w:rsidP="001E3B42">
            <w:pPr>
              <w:spacing w:line="276" w:lineRule="auto"/>
              <w:rPr>
                <w:lang w:val="en-AU"/>
              </w:rPr>
            </w:pPr>
          </w:p>
        </w:tc>
      </w:tr>
      <w:tr w:rsidR="00146E61" w:rsidRPr="00286BE9" w14:paraId="720E99A2" w14:textId="77777777" w:rsidTr="001E3B42">
        <w:trPr>
          <w:tblCellSpacing w:w="15" w:type="dxa"/>
        </w:trPr>
        <w:tc>
          <w:tcPr>
            <w:tcW w:w="0" w:type="auto"/>
            <w:vAlign w:val="center"/>
            <w:hideMark/>
          </w:tcPr>
          <w:p w14:paraId="1FEC1DAE" w14:textId="77777777" w:rsidR="00146E61" w:rsidRPr="00286BE9" w:rsidRDefault="00146E61" w:rsidP="001E3B42">
            <w:pPr>
              <w:spacing w:line="276" w:lineRule="auto"/>
              <w:rPr>
                <w:lang w:val="en-AU"/>
              </w:rPr>
            </w:pPr>
          </w:p>
        </w:tc>
        <w:tc>
          <w:tcPr>
            <w:tcW w:w="0" w:type="auto"/>
            <w:vAlign w:val="center"/>
            <w:hideMark/>
          </w:tcPr>
          <w:p w14:paraId="403B632B" w14:textId="77777777" w:rsidR="00146E61" w:rsidRPr="00286BE9" w:rsidRDefault="00146E61" w:rsidP="001E3B42">
            <w:pPr>
              <w:spacing w:line="276" w:lineRule="auto"/>
              <w:rPr>
                <w:lang w:val="en-AU"/>
              </w:rPr>
            </w:pPr>
            <w:r w:rsidRPr="00286BE9">
              <w:rPr>
                <w:lang w:val="en-AU"/>
              </w:rPr>
              <w:t>Ardouin Scale (behavioral assessment in Parkinson’s)</w:t>
            </w:r>
          </w:p>
        </w:tc>
        <w:tc>
          <w:tcPr>
            <w:tcW w:w="0" w:type="auto"/>
            <w:vAlign w:val="center"/>
            <w:hideMark/>
          </w:tcPr>
          <w:p w14:paraId="415842FC" w14:textId="77777777" w:rsidR="00146E61" w:rsidRPr="00286BE9" w:rsidRDefault="00146E61" w:rsidP="001E3B42">
            <w:pPr>
              <w:spacing w:line="276" w:lineRule="auto"/>
              <w:rPr>
                <w:lang w:val="en-AU"/>
              </w:rPr>
            </w:pPr>
          </w:p>
        </w:tc>
      </w:tr>
      <w:tr w:rsidR="00146E61" w:rsidRPr="00286BE9" w14:paraId="49DFF8BE" w14:textId="77777777" w:rsidTr="001E3B42">
        <w:trPr>
          <w:tblCellSpacing w:w="15" w:type="dxa"/>
        </w:trPr>
        <w:tc>
          <w:tcPr>
            <w:tcW w:w="0" w:type="auto"/>
            <w:vAlign w:val="center"/>
            <w:hideMark/>
          </w:tcPr>
          <w:p w14:paraId="3528BEC2" w14:textId="77777777" w:rsidR="00146E61" w:rsidRPr="00286BE9" w:rsidRDefault="00146E61" w:rsidP="001E3B42">
            <w:pPr>
              <w:spacing w:line="276" w:lineRule="auto"/>
              <w:rPr>
                <w:lang w:val="en-AU"/>
              </w:rPr>
            </w:pPr>
          </w:p>
        </w:tc>
        <w:tc>
          <w:tcPr>
            <w:tcW w:w="0" w:type="auto"/>
            <w:vAlign w:val="center"/>
            <w:hideMark/>
          </w:tcPr>
          <w:p w14:paraId="772AE952" w14:textId="77777777" w:rsidR="00146E61" w:rsidRPr="00286BE9" w:rsidRDefault="00146E61" w:rsidP="001E3B42">
            <w:pPr>
              <w:spacing w:line="276" w:lineRule="auto"/>
              <w:rPr>
                <w:lang w:val="en-AU"/>
              </w:rPr>
            </w:pPr>
            <w:r w:rsidRPr="00286BE9">
              <w:rPr>
                <w:lang w:val="en-AU"/>
              </w:rPr>
              <w:t>VAS-based monopolar review per VISUAL-STIM protocol (18)</w:t>
            </w:r>
          </w:p>
        </w:tc>
        <w:tc>
          <w:tcPr>
            <w:tcW w:w="0" w:type="auto"/>
            <w:vAlign w:val="center"/>
            <w:hideMark/>
          </w:tcPr>
          <w:p w14:paraId="4445EE9E" w14:textId="77777777" w:rsidR="00146E61" w:rsidRPr="00286BE9" w:rsidRDefault="00146E61" w:rsidP="001E3B42">
            <w:pPr>
              <w:spacing w:line="276" w:lineRule="auto"/>
              <w:rPr>
                <w:lang w:val="en-AU"/>
              </w:rPr>
            </w:pPr>
          </w:p>
        </w:tc>
      </w:tr>
    </w:tbl>
    <w:p w14:paraId="30566698" w14:textId="77777777" w:rsidR="00146E61" w:rsidRPr="00286BE9" w:rsidRDefault="00146E61" w:rsidP="00146E61">
      <w:pPr>
        <w:spacing w:line="276" w:lineRule="auto"/>
        <w:outlineLvl w:val="3"/>
        <w:rPr>
          <w:b/>
          <w:bCs/>
          <w:lang w:val="en-AU"/>
        </w:rPr>
      </w:pPr>
    </w:p>
    <w:p w14:paraId="7DAA9953" w14:textId="77777777" w:rsidR="00146E61" w:rsidRPr="00286BE9" w:rsidRDefault="00146E61" w:rsidP="00146E61">
      <w:pPr>
        <w:spacing w:line="276" w:lineRule="auto"/>
        <w:outlineLvl w:val="3"/>
        <w:rPr>
          <w:b/>
          <w:bCs/>
          <w:lang w:val="en-AU"/>
        </w:rPr>
      </w:pPr>
      <w:r w:rsidRPr="00286BE9">
        <w:rPr>
          <w:b/>
          <w:bCs/>
          <w:lang w:val="en-AU"/>
        </w:rPr>
        <w:t>Statistical Analysis</w:t>
      </w:r>
    </w:p>
    <w:p w14:paraId="14C909A1" w14:textId="6A75D9B3" w:rsidR="00146E61" w:rsidRPr="00286BE9" w:rsidRDefault="00146E61" w:rsidP="00146E61">
      <w:pPr>
        <w:spacing w:line="276" w:lineRule="auto"/>
        <w:jc w:val="both"/>
        <w:rPr>
          <w:lang w:val="en-AU"/>
        </w:rPr>
      </w:pPr>
      <w:r w:rsidRPr="00286BE9">
        <w:rPr>
          <w:lang w:val="en-AU"/>
        </w:rPr>
        <w:t>Statistical analysis of the primary endpoint will include a non-inferiority test. Based on previous studies defining a minimal clinically relevant difference for the UPDRS-III</w:t>
      </w:r>
      <w:r w:rsidRPr="00286BE9">
        <w:rPr>
          <w:rFonts w:ascii="Arial" w:hAnsi="Arial" w:cs="Arial"/>
          <w:lang w:val="en-AU"/>
        </w:rPr>
        <w:t xml:space="preserve"> </w:t>
      </w:r>
      <w:sdt>
        <w:sdtPr>
          <w:rPr>
            <w:rFonts w:ascii="Arial" w:hAnsi="Arial" w:cs="Arial"/>
            <w:lang w:val="en-AU"/>
          </w:rPr>
          <w:alias w:val="SmartCite Citation"/>
          <w:tag w:val="e1a7da00-c597-49e3-9997-bbfc1b33b542:eac29917-7e8d-4148-b4b3-6088f9e50d05+"/>
          <w:id w:val="779533641"/>
          <w:placeholder>
            <w:docPart w:val="8107E934CF98324A926317C8468EA21D"/>
          </w:placeholder>
        </w:sdtPr>
        <w:sdtContent>
          <w:r w:rsidR="00395812" w:rsidRPr="00395812">
            <w:rPr>
              <w:rFonts w:ascii="Arial" w:hAnsi="Arial" w:cs="Arial"/>
              <w:vertAlign w:val="superscript"/>
            </w:rPr>
            <w:t>6</w:t>
          </w:r>
        </w:sdtContent>
      </w:sdt>
      <w:r w:rsidRPr="00286BE9">
        <w:rPr>
          <w:lang w:val="en-AU"/>
        </w:rPr>
        <w:t>, a difference of ≤ 5 points is considered non-inferior. We expect a 30% improvement on the UPDRS-III scale, with a standard deviation of 6 points in both groups.</w:t>
      </w:r>
      <w:r w:rsidRPr="00DC3FE1">
        <w:rPr>
          <w:lang w:val="en-AU"/>
        </w:rPr>
        <w:t xml:space="preserve"> </w:t>
      </w:r>
      <w:sdt>
        <w:sdtPr>
          <w:rPr>
            <w:lang w:val="en-AU"/>
          </w:rPr>
          <w:alias w:val="SmartCite Citation"/>
          <w:tag w:val="e1a7da00-c597-49e3-9997-bbfc1b33b542:22220345-881a-4780-8061-ed4e3f9a5c22+"/>
          <w:id w:val="893622172"/>
          <w:placeholder>
            <w:docPart w:val="CE0C89583CC0574982A3AE8A218BF249"/>
          </w:placeholder>
        </w:sdtPr>
        <w:sdtContent>
          <w:r w:rsidR="00395812" w:rsidRPr="00395812">
            <w:rPr>
              <w:vertAlign w:val="superscript"/>
            </w:rPr>
            <w:t>7</w:t>
          </w:r>
        </w:sdtContent>
      </w:sdt>
    </w:p>
    <w:p w14:paraId="7F831E5B" w14:textId="77777777" w:rsidR="00146E61" w:rsidRPr="00286BE9" w:rsidRDefault="00146E61" w:rsidP="00146E61">
      <w:pPr>
        <w:spacing w:line="276" w:lineRule="auto"/>
        <w:rPr>
          <w:lang w:val="en-AU"/>
        </w:rPr>
      </w:pPr>
    </w:p>
    <w:p w14:paraId="64308417" w14:textId="77777777" w:rsidR="00146E61" w:rsidRPr="00286BE9" w:rsidRDefault="00146E61" w:rsidP="00146E61">
      <w:pPr>
        <w:spacing w:line="276" w:lineRule="auto"/>
        <w:rPr>
          <w:b/>
          <w:bCs/>
          <w:lang w:val="en-AU"/>
        </w:rPr>
      </w:pPr>
      <w:r w:rsidRPr="00286BE9">
        <w:rPr>
          <w:b/>
          <w:bCs/>
          <w:lang w:val="en-AU"/>
        </w:rPr>
        <w:lastRenderedPageBreak/>
        <w:t>Expected Values:</w:t>
      </w:r>
    </w:p>
    <w:p w14:paraId="34484A16" w14:textId="77777777" w:rsidR="00146E61" w:rsidRPr="00286BE9" w:rsidRDefault="00146E61" w:rsidP="00146E61">
      <w:pPr>
        <w:spacing w:line="276" w:lineRule="auto"/>
        <w:rPr>
          <w:lang w:val="en-AU"/>
        </w:rPr>
      </w:pPr>
    </w:p>
    <w:tbl>
      <w:tblPr>
        <w:tblW w:w="8938"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147"/>
        <w:gridCol w:w="2791"/>
      </w:tblGrid>
      <w:tr w:rsidR="00146E61" w:rsidRPr="00286BE9" w14:paraId="424CE758" w14:textId="77777777" w:rsidTr="001E3B42">
        <w:trPr>
          <w:trHeight w:val="280"/>
          <w:tblHeader/>
          <w:tblCellSpacing w:w="15" w:type="dxa"/>
        </w:trPr>
        <w:tc>
          <w:tcPr>
            <w:tcW w:w="0" w:type="auto"/>
            <w:vAlign w:val="center"/>
            <w:hideMark/>
          </w:tcPr>
          <w:p w14:paraId="544EFEC4" w14:textId="77777777" w:rsidR="00146E61" w:rsidRPr="00286BE9" w:rsidRDefault="00146E61" w:rsidP="001E3B42">
            <w:pPr>
              <w:spacing w:line="276" w:lineRule="auto"/>
              <w:rPr>
                <w:b/>
                <w:bCs/>
                <w:lang w:val="en-AU"/>
              </w:rPr>
            </w:pPr>
            <w:r w:rsidRPr="00286BE9">
              <w:rPr>
                <w:b/>
                <w:bCs/>
                <w:lang w:val="en-AU"/>
              </w:rPr>
              <w:t>Parameter</w:t>
            </w:r>
          </w:p>
        </w:tc>
        <w:tc>
          <w:tcPr>
            <w:tcW w:w="0" w:type="auto"/>
            <w:vAlign w:val="center"/>
            <w:hideMark/>
          </w:tcPr>
          <w:p w14:paraId="759077B2" w14:textId="77777777" w:rsidR="00146E61" w:rsidRPr="00286BE9" w:rsidRDefault="00146E61" w:rsidP="001E3B42">
            <w:pPr>
              <w:spacing w:line="276" w:lineRule="auto"/>
              <w:rPr>
                <w:b/>
                <w:bCs/>
                <w:lang w:val="en-AU"/>
              </w:rPr>
            </w:pPr>
            <w:r w:rsidRPr="00286BE9">
              <w:rPr>
                <w:b/>
                <w:bCs/>
                <w:lang w:val="en-AU"/>
              </w:rPr>
              <w:t>Expected Score</w:t>
            </w:r>
          </w:p>
        </w:tc>
      </w:tr>
      <w:tr w:rsidR="00146E61" w:rsidRPr="00286BE9" w14:paraId="23B70185" w14:textId="77777777" w:rsidTr="001E3B42">
        <w:trPr>
          <w:trHeight w:val="280"/>
          <w:tblCellSpacing w:w="15" w:type="dxa"/>
        </w:trPr>
        <w:tc>
          <w:tcPr>
            <w:tcW w:w="0" w:type="auto"/>
            <w:vAlign w:val="center"/>
            <w:hideMark/>
          </w:tcPr>
          <w:p w14:paraId="1B53E23A" w14:textId="77777777" w:rsidR="00146E61" w:rsidRPr="00286BE9" w:rsidRDefault="00146E61" w:rsidP="001E3B42">
            <w:pPr>
              <w:spacing w:line="276" w:lineRule="auto"/>
              <w:rPr>
                <w:lang w:val="en-AU"/>
              </w:rPr>
            </w:pPr>
            <w:r w:rsidRPr="00286BE9">
              <w:rPr>
                <w:lang w:val="en-AU"/>
              </w:rPr>
              <w:t>Preoperative UPDRS-III scores (MED OFF)</w:t>
            </w:r>
          </w:p>
        </w:tc>
        <w:tc>
          <w:tcPr>
            <w:tcW w:w="0" w:type="auto"/>
            <w:vAlign w:val="center"/>
            <w:hideMark/>
          </w:tcPr>
          <w:p w14:paraId="7C1A9AF1" w14:textId="77777777" w:rsidR="00146E61" w:rsidRPr="00286BE9" w:rsidRDefault="00146E61" w:rsidP="001E3B42">
            <w:pPr>
              <w:spacing w:line="276" w:lineRule="auto"/>
              <w:rPr>
                <w:lang w:val="en-AU"/>
              </w:rPr>
            </w:pPr>
            <w:r w:rsidRPr="00286BE9">
              <w:rPr>
                <w:lang w:val="en-AU"/>
              </w:rPr>
              <w:t>20</w:t>
            </w:r>
          </w:p>
        </w:tc>
      </w:tr>
      <w:tr w:rsidR="00146E61" w:rsidRPr="00286BE9" w14:paraId="10C535BD" w14:textId="77777777" w:rsidTr="001E3B42">
        <w:trPr>
          <w:trHeight w:val="280"/>
          <w:tblCellSpacing w:w="15" w:type="dxa"/>
        </w:trPr>
        <w:tc>
          <w:tcPr>
            <w:tcW w:w="0" w:type="auto"/>
            <w:vAlign w:val="center"/>
            <w:hideMark/>
          </w:tcPr>
          <w:p w14:paraId="3EC2096F" w14:textId="77777777" w:rsidR="00146E61" w:rsidRPr="00286BE9" w:rsidRDefault="00146E61" w:rsidP="001E3B42">
            <w:pPr>
              <w:spacing w:line="276" w:lineRule="auto"/>
              <w:rPr>
                <w:lang w:val="en-AU"/>
              </w:rPr>
            </w:pPr>
            <w:r w:rsidRPr="00286BE9">
              <w:rPr>
                <w:lang w:val="en-AU"/>
              </w:rPr>
              <w:t>Postoperative UPDRS-III scores (MED ON/STIM ON)</w:t>
            </w:r>
          </w:p>
        </w:tc>
        <w:tc>
          <w:tcPr>
            <w:tcW w:w="0" w:type="auto"/>
            <w:vAlign w:val="center"/>
            <w:hideMark/>
          </w:tcPr>
          <w:p w14:paraId="34F0B10E" w14:textId="77777777" w:rsidR="00146E61" w:rsidRPr="00286BE9" w:rsidRDefault="00146E61" w:rsidP="001E3B42">
            <w:pPr>
              <w:spacing w:line="276" w:lineRule="auto"/>
              <w:rPr>
                <w:lang w:val="en-AU"/>
              </w:rPr>
            </w:pPr>
            <w:r w:rsidRPr="00286BE9">
              <w:rPr>
                <w:lang w:val="en-AU"/>
              </w:rPr>
              <w:t>14 (~30% improvement)</w:t>
            </w:r>
          </w:p>
        </w:tc>
      </w:tr>
      <w:tr w:rsidR="00146E61" w:rsidRPr="00286BE9" w14:paraId="4FC507BA" w14:textId="77777777" w:rsidTr="001E3B42">
        <w:trPr>
          <w:trHeight w:val="280"/>
          <w:tblCellSpacing w:w="15" w:type="dxa"/>
        </w:trPr>
        <w:tc>
          <w:tcPr>
            <w:tcW w:w="0" w:type="auto"/>
            <w:vAlign w:val="center"/>
            <w:hideMark/>
          </w:tcPr>
          <w:p w14:paraId="78AB4A5B" w14:textId="77777777" w:rsidR="00146E61" w:rsidRPr="00286BE9" w:rsidRDefault="00146E61" w:rsidP="001E3B42">
            <w:pPr>
              <w:spacing w:line="276" w:lineRule="auto"/>
              <w:rPr>
                <w:lang w:val="en-AU"/>
              </w:rPr>
            </w:pPr>
            <w:r w:rsidRPr="00286BE9">
              <w:rPr>
                <w:lang w:val="en-AU"/>
              </w:rPr>
              <w:t>Standard Deviation (SD)</w:t>
            </w:r>
          </w:p>
        </w:tc>
        <w:tc>
          <w:tcPr>
            <w:tcW w:w="0" w:type="auto"/>
            <w:vAlign w:val="center"/>
            <w:hideMark/>
          </w:tcPr>
          <w:p w14:paraId="5E5075D3" w14:textId="77777777" w:rsidR="00146E61" w:rsidRPr="00286BE9" w:rsidRDefault="00146E61" w:rsidP="001E3B42">
            <w:pPr>
              <w:spacing w:line="276" w:lineRule="auto"/>
              <w:rPr>
                <w:lang w:val="en-AU"/>
              </w:rPr>
            </w:pPr>
            <w:r w:rsidRPr="00286BE9">
              <w:rPr>
                <w:lang w:val="en-AU"/>
              </w:rPr>
              <w:t>6</w:t>
            </w:r>
          </w:p>
        </w:tc>
      </w:tr>
    </w:tbl>
    <w:p w14:paraId="54C64FDF" w14:textId="77777777" w:rsidR="00146E61" w:rsidRPr="00286BE9" w:rsidRDefault="00146E61" w:rsidP="00146E61">
      <w:pPr>
        <w:spacing w:line="276" w:lineRule="auto"/>
        <w:outlineLvl w:val="3"/>
        <w:rPr>
          <w:b/>
          <w:bCs/>
          <w:lang w:val="en-AU"/>
        </w:rPr>
      </w:pPr>
    </w:p>
    <w:p w14:paraId="56F30E07" w14:textId="77777777" w:rsidR="00146E61" w:rsidRPr="00286BE9" w:rsidRDefault="00146E61" w:rsidP="00146E61">
      <w:pPr>
        <w:spacing w:line="276" w:lineRule="auto"/>
        <w:outlineLvl w:val="3"/>
        <w:rPr>
          <w:b/>
          <w:bCs/>
          <w:lang w:val="en-AU"/>
        </w:rPr>
      </w:pPr>
      <w:r w:rsidRPr="00286BE9">
        <w:rPr>
          <w:b/>
          <w:bCs/>
          <w:lang w:val="en-AU"/>
        </w:rPr>
        <w:t>Biometric Formulation of Main Research Questions:</w:t>
      </w:r>
    </w:p>
    <w:p w14:paraId="456E1196" w14:textId="77777777" w:rsidR="00146E61" w:rsidRPr="00286BE9" w:rsidRDefault="00146E61" w:rsidP="00146E61">
      <w:pPr>
        <w:spacing w:line="276" w:lineRule="auto"/>
        <w:jc w:val="both"/>
        <w:rPr>
          <w:lang w:val="en-AU"/>
        </w:rPr>
      </w:pPr>
      <w:r w:rsidRPr="00286BE9">
        <w:rPr>
          <w:lang w:val="en-AU"/>
        </w:rPr>
        <w:t xml:space="preserve">According to our calculations, a total of </w:t>
      </w:r>
      <w:r w:rsidRPr="00286BE9">
        <w:rPr>
          <w:b/>
          <w:bCs/>
          <w:lang w:val="en-AU"/>
        </w:rPr>
        <w:t>n = 23 patients per group</w:t>
      </w:r>
      <w:r w:rsidRPr="00286BE9">
        <w:rPr>
          <w:lang w:val="en-AU"/>
        </w:rPr>
        <w:t xml:space="preserve"> is required to achieve a power of 80% with a two-sided confidence interval of 5% (analysis based on: </w:t>
      </w:r>
      <w:hyperlink r:id="rId12" w:history="1">
        <w:r w:rsidRPr="00286BE9">
          <w:rPr>
            <w:color w:val="0000FF"/>
            <w:u w:val="single"/>
            <w:lang w:val="en-AU"/>
          </w:rPr>
          <w:t>powerandsamplesize.com</w:t>
        </w:r>
      </w:hyperlink>
      <w:r w:rsidRPr="00286BE9">
        <w:rPr>
          <w:lang w:val="en-AU"/>
        </w:rPr>
        <w:t xml:space="preserve">). To compensate for potential study dropouts, we aim to recruit a total of </w:t>
      </w:r>
      <w:r w:rsidRPr="00286BE9">
        <w:rPr>
          <w:b/>
          <w:bCs/>
          <w:lang w:val="en-AU"/>
        </w:rPr>
        <w:t>n = 50 patients</w:t>
      </w:r>
      <w:r w:rsidRPr="00286BE9">
        <w:rPr>
          <w:lang w:val="en-AU"/>
        </w:rPr>
        <w:t xml:space="preserve"> (i.e., two more per group than the minimum required). Potential secondary analyses will include </w:t>
      </w:r>
      <w:r w:rsidRPr="00286BE9">
        <w:rPr>
          <w:b/>
          <w:bCs/>
          <w:lang w:val="en-AU"/>
        </w:rPr>
        <w:t>correlative evaluations</w:t>
      </w:r>
      <w:r w:rsidRPr="00286BE9">
        <w:rPr>
          <w:lang w:val="en-AU"/>
        </w:rPr>
        <w:t xml:space="preserve"> of the secondary clinical and neurocognitive outcome parameters, MRI data (electrode positioning), medication (LED), and stimulation programming parameters (TEED).</w:t>
      </w:r>
    </w:p>
    <w:p w14:paraId="2AA588AD" w14:textId="77777777" w:rsidR="00146E61" w:rsidRPr="00286BE9" w:rsidRDefault="00146E61" w:rsidP="00146E61">
      <w:pPr>
        <w:spacing w:line="276" w:lineRule="auto"/>
        <w:outlineLvl w:val="2"/>
        <w:rPr>
          <w:lang w:val="en-AU"/>
        </w:rPr>
      </w:pPr>
    </w:p>
    <w:p w14:paraId="2B791EE1" w14:textId="77777777" w:rsidR="00146E61" w:rsidRPr="00286BE9" w:rsidRDefault="00146E61" w:rsidP="00146E61">
      <w:pPr>
        <w:spacing w:line="276" w:lineRule="auto"/>
        <w:outlineLvl w:val="2"/>
        <w:rPr>
          <w:b/>
          <w:bCs/>
          <w:lang w:val="en-AU"/>
        </w:rPr>
      </w:pPr>
      <w:r w:rsidRPr="00286BE9">
        <w:rPr>
          <w:b/>
          <w:bCs/>
          <w:lang w:val="en-AU"/>
        </w:rPr>
        <w:t>11. Data Management</w:t>
      </w:r>
    </w:p>
    <w:p w14:paraId="60A262E5" w14:textId="77777777" w:rsidR="00146E61" w:rsidRPr="00286BE9" w:rsidRDefault="00146E61" w:rsidP="00146E61">
      <w:pPr>
        <w:spacing w:line="276" w:lineRule="auto"/>
        <w:outlineLvl w:val="2"/>
        <w:rPr>
          <w:b/>
          <w:bCs/>
          <w:lang w:val="en-AU"/>
        </w:rPr>
      </w:pPr>
    </w:p>
    <w:p w14:paraId="50B8DE21" w14:textId="77777777" w:rsidR="00146E61" w:rsidRPr="00286BE9" w:rsidRDefault="00146E61" w:rsidP="00146E61">
      <w:pPr>
        <w:spacing w:line="276" w:lineRule="auto"/>
        <w:outlineLvl w:val="3"/>
        <w:rPr>
          <w:b/>
          <w:bCs/>
          <w:lang w:val="en-AU"/>
        </w:rPr>
      </w:pPr>
      <w:r w:rsidRPr="00286BE9">
        <w:rPr>
          <w:b/>
          <w:bCs/>
          <w:lang w:val="en-AU"/>
        </w:rPr>
        <w:t>Data Collection</w:t>
      </w:r>
    </w:p>
    <w:p w14:paraId="5F2E8A41" w14:textId="77777777" w:rsidR="00146E61" w:rsidRPr="00286BE9" w:rsidRDefault="00146E61" w:rsidP="00146E61">
      <w:pPr>
        <w:spacing w:line="276" w:lineRule="auto"/>
        <w:jc w:val="both"/>
        <w:rPr>
          <w:lang w:val="en-AU"/>
        </w:rPr>
      </w:pPr>
      <w:r w:rsidRPr="00286BE9">
        <w:rPr>
          <w:lang w:val="en-AU"/>
        </w:rPr>
        <w:t>All patients who are potential candidates for the study and who have provided consent to participate will undergo a study visit. Data collected during this visit will be recorded on standardized case report forms (CRFs) (Annex_2A/B). The responsible study physician conducting the assessment is accountable for the accurate and complete entry of all CRF components.</w:t>
      </w:r>
    </w:p>
    <w:p w14:paraId="177AB988" w14:textId="77777777" w:rsidR="00146E61" w:rsidRPr="00286BE9" w:rsidRDefault="00146E61" w:rsidP="00146E61">
      <w:pPr>
        <w:spacing w:line="276" w:lineRule="auto"/>
        <w:jc w:val="both"/>
        <w:rPr>
          <w:lang w:val="en-AU"/>
        </w:rPr>
      </w:pPr>
    </w:p>
    <w:p w14:paraId="5A2C48AF" w14:textId="77777777" w:rsidR="00146E61" w:rsidRPr="00286BE9" w:rsidRDefault="00146E61" w:rsidP="00146E61">
      <w:pPr>
        <w:spacing w:line="276" w:lineRule="auto"/>
        <w:outlineLvl w:val="3"/>
        <w:rPr>
          <w:b/>
          <w:bCs/>
          <w:lang w:val="en-AU"/>
        </w:rPr>
      </w:pPr>
      <w:r w:rsidRPr="00286BE9">
        <w:rPr>
          <w:b/>
          <w:bCs/>
          <w:lang w:val="en-AU"/>
        </w:rPr>
        <w:t>Data Capture and Archiving</w:t>
      </w:r>
    </w:p>
    <w:p w14:paraId="6FED36D7" w14:textId="77777777" w:rsidR="00146E61" w:rsidRPr="00286BE9" w:rsidRDefault="00146E61" w:rsidP="00146E61">
      <w:pPr>
        <w:spacing w:line="276" w:lineRule="auto"/>
        <w:jc w:val="both"/>
        <w:rPr>
          <w:lang w:val="en-AU"/>
        </w:rPr>
      </w:pPr>
      <w:r w:rsidRPr="00286BE9">
        <w:rPr>
          <w:lang w:val="en-AU"/>
        </w:rPr>
        <w:t xml:space="preserve">Data collection and storage will be conducted in compliance with the </w:t>
      </w:r>
      <w:r w:rsidRPr="00286BE9">
        <w:rPr>
          <w:b/>
          <w:bCs/>
          <w:lang w:val="en-AU"/>
        </w:rPr>
        <w:t>General Data Protection Regulation (GDPR)</w:t>
      </w:r>
      <w:r w:rsidRPr="00286BE9">
        <w:rPr>
          <w:lang w:val="en-AU"/>
        </w:rPr>
        <w:t xml:space="preserve"> and in consultation with the institution’s Data Protection Officer (Art. 30 GDPR). The recommendations of the Data Protection Officer will be fully implemented. The </w:t>
      </w:r>
      <w:r w:rsidRPr="00286BE9">
        <w:rPr>
          <w:b/>
          <w:bCs/>
          <w:lang w:val="en-AU"/>
        </w:rPr>
        <w:t>ICFs and CRFs</w:t>
      </w:r>
      <w:r w:rsidRPr="00286BE9">
        <w:rPr>
          <w:lang w:val="en-AU"/>
        </w:rPr>
        <w:t xml:space="preserve"> of study participants will initially be archived in paper format at each study center. Only local study physicians and their authorized delegates (named in the delegation log) will have access. At the conclusion of the study, CRFs will be personally collected by the principal investigator and archived at the main study center (Department of Neurology, LMU Munich). CRFs for patients who have provided written informed consent will also be digitized and securely transferred to the principal investigator (PD Dr. med. Thomas Köglsperger). Data will be stored for </w:t>
      </w:r>
      <w:r w:rsidRPr="00286BE9">
        <w:rPr>
          <w:b/>
          <w:bCs/>
          <w:lang w:val="en-AU"/>
        </w:rPr>
        <w:t>a maximum of 10 years</w:t>
      </w:r>
      <w:r w:rsidRPr="00286BE9">
        <w:rPr>
          <w:lang w:val="en-AU"/>
        </w:rPr>
        <w:t xml:space="preserve">, after which all records will be deleted or destroyed. All data will be </w:t>
      </w:r>
      <w:r w:rsidRPr="00286BE9">
        <w:rPr>
          <w:b/>
          <w:bCs/>
          <w:lang w:val="en-AU"/>
        </w:rPr>
        <w:t>pseudonymized immediately after collection</w:t>
      </w:r>
      <w:r w:rsidRPr="00286BE9">
        <w:rPr>
          <w:lang w:val="en-AU"/>
        </w:rPr>
        <w:t xml:space="preserve">. Electronic data will only be stored and transmitted in pseudonymized form. ICFs will remain at the local study center. A </w:t>
      </w:r>
      <w:r w:rsidRPr="00286BE9">
        <w:rPr>
          <w:b/>
          <w:bCs/>
          <w:lang w:val="en-AU"/>
        </w:rPr>
        <w:t>subject-specific encryption code</w:t>
      </w:r>
      <w:r w:rsidRPr="00286BE9">
        <w:rPr>
          <w:lang w:val="en-AU"/>
        </w:rPr>
        <w:t xml:space="preserve"> will be generated for each participant (e.g., REMOTE_01_0071), accessible only to the local principal investigators. Data decryption may occur only for the purposes of (i) fulfilling the scientific objectives of the study or (ii) ensuring patient safety. In the event of withdrawal of consent, participants will be asked whether they wish to have their data deleted or allow its continued use in anonymized form. </w:t>
      </w:r>
      <w:r w:rsidRPr="00286BE9">
        <w:rPr>
          <w:b/>
          <w:bCs/>
          <w:lang w:val="en-AU"/>
        </w:rPr>
        <w:t>Imaging data</w:t>
      </w:r>
      <w:r w:rsidRPr="00286BE9">
        <w:rPr>
          <w:lang w:val="en-AU"/>
        </w:rPr>
        <w:t xml:space="preserve">, </w:t>
      </w:r>
      <w:r w:rsidRPr="00286BE9">
        <w:rPr>
          <w:lang w:val="en-AU"/>
        </w:rPr>
        <w:lastRenderedPageBreak/>
        <w:t>including CT and MRI scans conducted before and/or after DBS electrode implantation, will also be considered part of the study data. These may be shared in pseudonymized form with authorized research personnel (e.g., PhD students or scientific staff) for analysis.</w:t>
      </w:r>
    </w:p>
    <w:p w14:paraId="7A5DCB11" w14:textId="77777777" w:rsidR="00146E61" w:rsidRPr="00286BE9" w:rsidRDefault="00146E61" w:rsidP="00146E61">
      <w:pPr>
        <w:spacing w:line="276" w:lineRule="auto"/>
        <w:outlineLvl w:val="2"/>
        <w:rPr>
          <w:lang w:val="en-AU"/>
        </w:rPr>
      </w:pPr>
    </w:p>
    <w:p w14:paraId="7B4439D7" w14:textId="77777777" w:rsidR="00146E61" w:rsidRPr="00286BE9" w:rsidRDefault="00146E61" w:rsidP="00146E61">
      <w:pPr>
        <w:spacing w:line="276" w:lineRule="auto"/>
        <w:outlineLvl w:val="2"/>
        <w:rPr>
          <w:b/>
          <w:bCs/>
          <w:lang w:val="en-AU"/>
        </w:rPr>
      </w:pPr>
      <w:r w:rsidRPr="00286BE9">
        <w:rPr>
          <w:b/>
          <w:bCs/>
          <w:lang w:val="en-AU"/>
        </w:rPr>
        <w:t>12. Insurance Coverage</w:t>
      </w:r>
    </w:p>
    <w:p w14:paraId="2384D0FD" w14:textId="4E54BC73" w:rsidR="00146E61" w:rsidRDefault="00146E61" w:rsidP="006F682A">
      <w:pPr>
        <w:spacing w:line="276" w:lineRule="auto"/>
        <w:jc w:val="both"/>
        <w:rPr>
          <w:lang w:val="en-AU"/>
        </w:rPr>
      </w:pPr>
      <w:r w:rsidRPr="00286BE9">
        <w:rPr>
          <w:lang w:val="en-AU"/>
        </w:rPr>
        <w:t xml:space="preserve">In our assessment, the risk attributable solely to participation in this study is negligible for the reasons outlined above. Therefore, we currently consider </w:t>
      </w:r>
      <w:r w:rsidRPr="00286BE9">
        <w:rPr>
          <w:b/>
          <w:bCs/>
          <w:lang w:val="en-AU"/>
        </w:rPr>
        <w:t>study-specific insurance coverage unnecessary</w:t>
      </w:r>
      <w:r w:rsidRPr="00286BE9">
        <w:rPr>
          <w:lang w:val="en-AU"/>
        </w:rPr>
        <w:t>, and such coverage has not yet been established.</w:t>
      </w:r>
    </w:p>
    <w:p w14:paraId="3EA38628" w14:textId="77777777" w:rsidR="008A240F" w:rsidRDefault="008A240F" w:rsidP="006F682A">
      <w:pPr>
        <w:spacing w:line="276" w:lineRule="auto"/>
        <w:jc w:val="both"/>
        <w:rPr>
          <w:lang w:val="en-AU"/>
        </w:rPr>
      </w:pPr>
    </w:p>
    <w:p w14:paraId="20AF801F" w14:textId="77777777" w:rsidR="00146E61" w:rsidRDefault="00146E61" w:rsidP="006F682A">
      <w:pPr>
        <w:spacing w:line="276" w:lineRule="auto"/>
        <w:jc w:val="both"/>
        <w:rPr>
          <w:lang w:val="en-AU"/>
        </w:rPr>
      </w:pPr>
    </w:p>
    <w:p w14:paraId="3F16C742" w14:textId="239CB83D" w:rsidR="00146E61" w:rsidRPr="008A240F" w:rsidRDefault="008A240F" w:rsidP="006F682A">
      <w:pPr>
        <w:spacing w:line="276" w:lineRule="auto"/>
        <w:jc w:val="both"/>
        <w:rPr>
          <w:b/>
          <w:bCs/>
          <w:sz w:val="28"/>
          <w:szCs w:val="28"/>
          <w:lang w:val="en-AU"/>
        </w:rPr>
      </w:pPr>
      <w:r>
        <w:rPr>
          <w:b/>
          <w:bCs/>
          <w:sz w:val="28"/>
          <w:szCs w:val="28"/>
          <w:lang w:val="en-AU"/>
        </w:rPr>
        <w:t xml:space="preserve">Supplementary </w:t>
      </w:r>
      <w:r w:rsidR="00146E61" w:rsidRPr="008A240F">
        <w:rPr>
          <w:b/>
          <w:bCs/>
          <w:sz w:val="28"/>
          <w:szCs w:val="28"/>
          <w:lang w:val="en-AU"/>
        </w:rPr>
        <w:t xml:space="preserve">References: </w:t>
      </w:r>
    </w:p>
    <w:p w14:paraId="223C12D3" w14:textId="77777777" w:rsidR="00906A91" w:rsidRDefault="00906A91" w:rsidP="006F682A">
      <w:pPr>
        <w:spacing w:line="276" w:lineRule="auto"/>
        <w:jc w:val="both"/>
        <w:rPr>
          <w:lang w:val="en-AU"/>
        </w:rPr>
      </w:pPr>
    </w:p>
    <w:sdt>
      <w:sdtPr>
        <w:rPr>
          <w:b/>
          <w:lang w:val="en-AU"/>
        </w:rPr>
        <w:alias w:val="SmartCite Bibliography"/>
        <w:tag w:val="AMA Manual of Style 11th edition+{&quot;language&quot;:&quot;en-US&quot;,&quot;isSectionsModeOn&quot;:false}"/>
        <w:id w:val="-281815661"/>
        <w:placeholder>
          <w:docPart w:val="DefaultPlaceholder_-1854013440"/>
        </w:placeholder>
      </w:sdtPr>
      <w:sdtContent>
        <w:p w14:paraId="416993BE" w14:textId="77777777" w:rsidR="00395812" w:rsidRPr="007639B4" w:rsidRDefault="00395812" w:rsidP="00395812">
          <w:pPr>
            <w:jc w:val="both"/>
            <w:rPr>
              <w:szCs w:val="22"/>
            </w:rPr>
          </w:pPr>
        </w:p>
        <w:p w14:paraId="0A55BAFD" w14:textId="77777777" w:rsidR="00395812" w:rsidRPr="007639B4" w:rsidRDefault="00395812" w:rsidP="00395812">
          <w:pPr>
            <w:pStyle w:val="Literaturverzeichnis8"/>
            <w:jc w:val="both"/>
            <w:rPr>
              <w:szCs w:val="22"/>
            </w:rPr>
          </w:pPr>
          <w:r w:rsidRPr="007639B4">
            <w:rPr>
              <w:szCs w:val="22"/>
            </w:rPr>
            <w:t xml:space="preserve">1. Dong J, Peschke S, Kirchner A, et al. Subjective Patient Rating as a Novel Feedback Signal for DBS Programming in Parkinson’s Disease. </w:t>
          </w:r>
          <w:r w:rsidRPr="007639B4">
            <w:rPr>
              <w:i/>
              <w:iCs/>
              <w:szCs w:val="22"/>
            </w:rPr>
            <w:t>Brain Stimul</w:t>
          </w:r>
          <w:r w:rsidRPr="007639B4">
            <w:rPr>
              <w:szCs w:val="22"/>
            </w:rPr>
            <w:t>. Published online 2025. doi:10.1016/j.brs.2025.03.008</w:t>
          </w:r>
        </w:p>
        <w:p w14:paraId="15F34305" w14:textId="77777777" w:rsidR="00395812" w:rsidRPr="007639B4" w:rsidRDefault="00395812" w:rsidP="00395812">
          <w:pPr>
            <w:pStyle w:val="Literaturverzeichnis8"/>
            <w:jc w:val="both"/>
            <w:rPr>
              <w:szCs w:val="22"/>
            </w:rPr>
          </w:pPr>
          <w:r w:rsidRPr="007639B4">
            <w:rPr>
              <w:szCs w:val="22"/>
            </w:rPr>
            <w:t xml:space="preserve">2. Palleis C, Gehmeyr M, Mehrkens JH, Bötzel K, Koeglsperger T. Establishment of a Visual Analog Scale for DBS Programming (VISUAL-STIM Trial). </w:t>
          </w:r>
          <w:r w:rsidRPr="007639B4">
            <w:rPr>
              <w:i/>
              <w:iCs/>
              <w:szCs w:val="22"/>
            </w:rPr>
            <w:t>Front Neurol</w:t>
          </w:r>
          <w:r w:rsidRPr="007639B4">
            <w:rPr>
              <w:szCs w:val="22"/>
            </w:rPr>
            <w:t>. 2020;11:561323. doi:10.3389/fneur.2020.561323</w:t>
          </w:r>
        </w:p>
        <w:p w14:paraId="305ED8C1" w14:textId="77777777" w:rsidR="00395812" w:rsidRPr="007639B4" w:rsidRDefault="00395812" w:rsidP="00395812">
          <w:pPr>
            <w:pStyle w:val="Literaturverzeichnis8"/>
            <w:jc w:val="both"/>
            <w:rPr>
              <w:szCs w:val="22"/>
            </w:rPr>
          </w:pPr>
          <w:r w:rsidRPr="007639B4">
            <w:rPr>
              <w:szCs w:val="22"/>
            </w:rPr>
            <w:t>3. Peschke S, Dong J, Kirschner A, et al. Patient Reported Feedback Suggests an Alternative Sweet Spot for DBS Programming in Essential Tremor. Published online 2025. doi:10.21203/rs.3.rs-8050162/v1</w:t>
          </w:r>
        </w:p>
        <w:p w14:paraId="41AE37F5" w14:textId="77777777" w:rsidR="00395812" w:rsidRPr="007639B4" w:rsidRDefault="00395812" w:rsidP="00395812">
          <w:pPr>
            <w:pStyle w:val="Literaturverzeichnis8"/>
            <w:jc w:val="both"/>
            <w:rPr>
              <w:szCs w:val="22"/>
            </w:rPr>
          </w:pPr>
          <w:r w:rsidRPr="007639B4">
            <w:rPr>
              <w:szCs w:val="22"/>
            </w:rPr>
            <w:t>4. Off J, Scherer M, Peschke S, et al. Psychometric reliability of patient-reported visual analogue scales in STN-DBS programming for Parkinson’s disease. Published online November 13, 2025. doi:10.21203/rs.3.rs-8047862/v1</w:t>
          </w:r>
        </w:p>
        <w:p w14:paraId="53A595A8" w14:textId="77777777" w:rsidR="00395812" w:rsidRPr="007639B4" w:rsidRDefault="00395812" w:rsidP="00395812">
          <w:pPr>
            <w:pStyle w:val="Literaturverzeichnis8"/>
            <w:jc w:val="both"/>
            <w:rPr>
              <w:szCs w:val="22"/>
            </w:rPr>
          </w:pPr>
          <w:r w:rsidRPr="007639B4">
            <w:rPr>
              <w:szCs w:val="22"/>
            </w:rPr>
            <w:t xml:space="preserve">5. McIntyre CC, Anderson RW. Deep brain stimulation mechanisms: the control of network activity via neurochemistry modulation. </w:t>
          </w:r>
          <w:r w:rsidRPr="007639B4">
            <w:rPr>
              <w:i/>
              <w:iCs/>
              <w:szCs w:val="22"/>
            </w:rPr>
            <w:t>Journal of Neurochemistry</w:t>
          </w:r>
          <w:r w:rsidRPr="007639B4">
            <w:rPr>
              <w:szCs w:val="22"/>
            </w:rPr>
            <w:t>. 2016;139(Suppl 3):338-345. doi:10.1111/jnc.13649</w:t>
          </w:r>
        </w:p>
        <w:p w14:paraId="126B3E34" w14:textId="77777777" w:rsidR="00395812" w:rsidRPr="007639B4" w:rsidRDefault="00395812" w:rsidP="00395812">
          <w:pPr>
            <w:pStyle w:val="Literaturverzeichnis8"/>
            <w:jc w:val="both"/>
            <w:rPr>
              <w:szCs w:val="22"/>
            </w:rPr>
          </w:pPr>
          <w:r w:rsidRPr="007639B4">
            <w:rPr>
              <w:szCs w:val="22"/>
            </w:rPr>
            <w:t xml:space="preserve">6. Horváth K, Aschermann Z, Ács P, et al. Minimal clinically important difference on the Motor Examination part of MDS-UPDRS. </w:t>
          </w:r>
          <w:r w:rsidRPr="007639B4">
            <w:rPr>
              <w:i/>
              <w:iCs/>
              <w:szCs w:val="22"/>
            </w:rPr>
            <w:t>Parkinsonism Relat D</w:t>
          </w:r>
          <w:r w:rsidRPr="007639B4">
            <w:rPr>
              <w:szCs w:val="22"/>
            </w:rPr>
            <w:t>. 2015;21(12):1421-1426. doi:10.1016/j.parkreldis.2015.10.006</w:t>
          </w:r>
        </w:p>
        <w:p w14:paraId="373E0125" w14:textId="77777777" w:rsidR="00395812" w:rsidRPr="007639B4" w:rsidRDefault="00395812" w:rsidP="00395812">
          <w:pPr>
            <w:pStyle w:val="Literaturverzeichnis8"/>
            <w:jc w:val="both"/>
            <w:rPr>
              <w:szCs w:val="22"/>
            </w:rPr>
          </w:pPr>
          <w:r w:rsidRPr="007639B4">
            <w:rPr>
              <w:szCs w:val="22"/>
            </w:rPr>
            <w:t xml:space="preserve">7. Deuschl G, Schade-Brittinger C, Krack P, et al. A randomized trial of deep-brain stimulation for Parkinson’s disease. </w:t>
          </w:r>
          <w:r w:rsidRPr="007639B4">
            <w:rPr>
              <w:i/>
              <w:iCs/>
              <w:szCs w:val="22"/>
            </w:rPr>
            <w:t>The New England journal of medicine</w:t>
          </w:r>
          <w:r w:rsidRPr="007639B4">
            <w:rPr>
              <w:szCs w:val="22"/>
            </w:rPr>
            <w:t>. 2006;355(9):896-908. doi:10.1056/nejmoa060281</w:t>
          </w:r>
        </w:p>
        <w:p w14:paraId="60BEC161" w14:textId="77777777" w:rsidR="00395812" w:rsidRPr="007639B4" w:rsidRDefault="00395812" w:rsidP="00395812">
          <w:pPr>
            <w:pStyle w:val="Literaturverzeichnis8"/>
            <w:jc w:val="both"/>
            <w:rPr>
              <w:szCs w:val="22"/>
            </w:rPr>
          </w:pPr>
          <w:r w:rsidRPr="007639B4">
            <w:rPr>
              <w:szCs w:val="22"/>
            </w:rPr>
            <w:t xml:space="preserve">8. Ho J, Tumkaya T, Aryal S, Choi H, Claridge-Chang A. Moving beyond P values: data analysis with estimation graphics. </w:t>
          </w:r>
          <w:r w:rsidRPr="007639B4">
            <w:rPr>
              <w:i/>
              <w:iCs/>
              <w:szCs w:val="22"/>
            </w:rPr>
            <w:t>Nat Methods</w:t>
          </w:r>
          <w:r w:rsidRPr="007639B4">
            <w:rPr>
              <w:szCs w:val="22"/>
            </w:rPr>
            <w:t>. 2019;16(7):565-566. doi:10.1038/s41592-019-0470-3</w:t>
          </w:r>
        </w:p>
        <w:p w14:paraId="110D9762" w14:textId="77777777" w:rsidR="00395812" w:rsidRPr="007639B4" w:rsidRDefault="00395812" w:rsidP="00395812">
          <w:pPr>
            <w:pStyle w:val="Literaturverzeichnis8"/>
            <w:jc w:val="both"/>
            <w:rPr>
              <w:szCs w:val="22"/>
            </w:rPr>
          </w:pPr>
          <w:r w:rsidRPr="007639B4">
            <w:rPr>
              <w:szCs w:val="22"/>
            </w:rPr>
            <w:t xml:space="preserve">9. Martínez-Martín P, Rodríguez-Blázquez C, Alvarez M, et al. Parkinson’s disease severity levels and MDS-Unified Parkinson’s Disease Rating Scale. </w:t>
          </w:r>
          <w:r w:rsidRPr="007639B4">
            <w:rPr>
              <w:i/>
              <w:iCs/>
              <w:szCs w:val="22"/>
            </w:rPr>
            <w:t>Park Relat Disord</w:t>
          </w:r>
          <w:r w:rsidRPr="007639B4">
            <w:rPr>
              <w:szCs w:val="22"/>
            </w:rPr>
            <w:t>. 2015;21(1):50-54. doi:10.1016/j.parkreldis.2014.10.026</w:t>
          </w:r>
        </w:p>
        <w:p w14:paraId="517548B7" w14:textId="77777777" w:rsidR="00395812" w:rsidRPr="007639B4" w:rsidRDefault="00395812" w:rsidP="00395812">
          <w:pPr>
            <w:pStyle w:val="Literaturverzeichnis8"/>
            <w:jc w:val="both"/>
            <w:rPr>
              <w:szCs w:val="22"/>
            </w:rPr>
          </w:pPr>
          <w:r w:rsidRPr="007639B4">
            <w:rPr>
              <w:szCs w:val="22"/>
            </w:rPr>
            <w:lastRenderedPageBreak/>
            <w:t xml:space="preserve">10. Horn A, Li N, Dembek TA, et al. Lead-DBS v2: Towards a comprehensive pipeline for deep brain stimulation imaging. </w:t>
          </w:r>
          <w:r w:rsidRPr="007639B4">
            <w:rPr>
              <w:i/>
              <w:iCs/>
              <w:szCs w:val="22"/>
            </w:rPr>
            <w:t>NeuroImage</w:t>
          </w:r>
          <w:r w:rsidRPr="007639B4">
            <w:rPr>
              <w:szCs w:val="22"/>
            </w:rPr>
            <w:t>. 2019;184:293-316. doi:10.1016/j.neuroimage.2018.08.068</w:t>
          </w:r>
        </w:p>
        <w:p w14:paraId="1B738493" w14:textId="77777777" w:rsidR="00395812" w:rsidRPr="007639B4" w:rsidRDefault="00395812" w:rsidP="00395812">
          <w:pPr>
            <w:pStyle w:val="Literaturverzeichnis8"/>
            <w:jc w:val="both"/>
            <w:rPr>
              <w:szCs w:val="22"/>
            </w:rPr>
          </w:pPr>
          <w:r w:rsidRPr="007639B4">
            <w:rPr>
              <w:szCs w:val="22"/>
            </w:rPr>
            <w:t xml:space="preserve">11. Husch A, Petersen MV, Gemmar P, Goncalves J, Hertel F. PaCER - A fully automated method for electrode trajectory and contact reconstruction in deep brain stimulation. </w:t>
          </w:r>
          <w:r w:rsidRPr="007639B4">
            <w:rPr>
              <w:i/>
              <w:iCs/>
              <w:szCs w:val="22"/>
            </w:rPr>
            <w:t>NeuroImage: Clinical</w:t>
          </w:r>
          <w:r w:rsidRPr="007639B4">
            <w:rPr>
              <w:szCs w:val="22"/>
            </w:rPr>
            <w:t>. 2018;17:80-89. doi:10.1016/j.nicl.2017.10.004</w:t>
          </w:r>
        </w:p>
        <w:p w14:paraId="39B1CB0D" w14:textId="77777777" w:rsidR="00395812" w:rsidRPr="007639B4" w:rsidRDefault="00395812" w:rsidP="00395812">
          <w:pPr>
            <w:pStyle w:val="Literaturverzeichnis8"/>
            <w:jc w:val="both"/>
            <w:rPr>
              <w:szCs w:val="22"/>
            </w:rPr>
          </w:pPr>
          <w:r w:rsidRPr="007639B4">
            <w:rPr>
              <w:szCs w:val="22"/>
            </w:rPr>
            <w:t xml:space="preserve">12. Hellerbach A, Dembek TA, Hoevels M, et al. DiODe: Directional Orientation Detection of Segmented Deep Brain Stimulation Leads: A Sequential Algorithm Based on CT Imaging. </w:t>
          </w:r>
          <w:r w:rsidRPr="007639B4">
            <w:rPr>
              <w:i/>
              <w:iCs/>
              <w:szCs w:val="22"/>
            </w:rPr>
            <w:t>Stereotact Funct Neurosurg</w:t>
          </w:r>
          <w:r w:rsidRPr="007639B4">
            <w:rPr>
              <w:szCs w:val="22"/>
            </w:rPr>
            <w:t>. 2018;96(5):335-341. doi:10.1159/000494738</w:t>
          </w:r>
        </w:p>
        <w:p w14:paraId="74C78EC8" w14:textId="77777777" w:rsidR="00395812" w:rsidRPr="007639B4" w:rsidRDefault="00395812" w:rsidP="00395812">
          <w:pPr>
            <w:pStyle w:val="Literaturverzeichnis8"/>
            <w:jc w:val="both"/>
            <w:rPr>
              <w:szCs w:val="22"/>
            </w:rPr>
          </w:pPr>
          <w:r w:rsidRPr="007639B4">
            <w:rPr>
              <w:szCs w:val="22"/>
            </w:rPr>
            <w:t xml:space="preserve">13. Ewert S, Plettig P, Li N, et al. Toward defining deep brain stimulation targets in MNI space: A subcortical atlas based on multimodal MRI, histology and structural connectivity. </w:t>
          </w:r>
          <w:r w:rsidRPr="007639B4">
            <w:rPr>
              <w:i/>
              <w:iCs/>
              <w:szCs w:val="22"/>
            </w:rPr>
            <w:t>NeuroImage</w:t>
          </w:r>
          <w:r w:rsidRPr="007639B4">
            <w:rPr>
              <w:szCs w:val="22"/>
            </w:rPr>
            <w:t>. 2017;170:271-282. doi:10.1016/j.neuroimage.2017.05.015</w:t>
          </w:r>
        </w:p>
        <w:p w14:paraId="26BD7F6D" w14:textId="77777777" w:rsidR="00395812" w:rsidRPr="007639B4" w:rsidRDefault="00395812" w:rsidP="00395812">
          <w:pPr>
            <w:pStyle w:val="Literaturverzeichnis8"/>
            <w:jc w:val="both"/>
            <w:rPr>
              <w:szCs w:val="22"/>
            </w:rPr>
          </w:pPr>
          <w:r w:rsidRPr="007639B4">
            <w:rPr>
              <w:szCs w:val="22"/>
            </w:rPr>
            <w:t xml:space="preserve">14. Astrom M, Diczfalusy E, Martens H, Wardell K. Relationship between Neural Activation and Electric Field Distribution during Deep Brain Stimulation. </w:t>
          </w:r>
          <w:r w:rsidRPr="007639B4">
            <w:rPr>
              <w:i/>
              <w:iCs/>
              <w:szCs w:val="22"/>
            </w:rPr>
            <w:t>IEEE Trans Biomed Eng</w:t>
          </w:r>
          <w:r w:rsidRPr="007639B4">
            <w:rPr>
              <w:szCs w:val="22"/>
            </w:rPr>
            <w:t>. 2014;62(2):664-672. doi:10.1109/tbme.2014.2363494</w:t>
          </w:r>
        </w:p>
        <w:p w14:paraId="4ECE3A4F" w14:textId="77777777" w:rsidR="00395812" w:rsidRPr="007639B4" w:rsidRDefault="00395812" w:rsidP="00395812">
          <w:pPr>
            <w:pStyle w:val="Literaturverzeichnis8"/>
            <w:jc w:val="both"/>
            <w:rPr>
              <w:szCs w:val="22"/>
            </w:rPr>
          </w:pPr>
          <w:r w:rsidRPr="007639B4">
            <w:rPr>
              <w:szCs w:val="22"/>
            </w:rPr>
            <w:t xml:space="preserve">15. Walter BL, Vitek JL. Surgical treatment for Parkinson’s disease. </w:t>
          </w:r>
          <w:r w:rsidRPr="007639B4">
            <w:rPr>
              <w:i/>
              <w:iCs/>
              <w:szCs w:val="22"/>
            </w:rPr>
            <w:t>The Lancet Neurology</w:t>
          </w:r>
          <w:r w:rsidRPr="007639B4">
            <w:rPr>
              <w:szCs w:val="22"/>
            </w:rPr>
            <w:t>. 2004;3(12):719-728. doi:10.1016/s1474-4422(04)00934-2</w:t>
          </w:r>
        </w:p>
        <w:p w14:paraId="589FCE00" w14:textId="77777777" w:rsidR="00395812" w:rsidRPr="007639B4" w:rsidRDefault="00395812" w:rsidP="00395812">
          <w:pPr>
            <w:pStyle w:val="Literaturverzeichnis8"/>
            <w:jc w:val="both"/>
            <w:rPr>
              <w:szCs w:val="22"/>
            </w:rPr>
          </w:pPr>
          <w:r w:rsidRPr="007639B4">
            <w:rPr>
              <w:szCs w:val="22"/>
            </w:rPr>
            <w:t xml:space="preserve">16. Machado A, Rezai AR, Kopell BH, Gross RE, Sharan AD, Benabid AL. Deep brain stimulation for Parkinson’s disease: Surgical technique and perioperative management. </w:t>
          </w:r>
          <w:r w:rsidRPr="007639B4">
            <w:rPr>
              <w:i/>
              <w:iCs/>
              <w:szCs w:val="22"/>
            </w:rPr>
            <w:t>Movement disorders : official journal of the Movement Disorder Society</w:t>
          </w:r>
          <w:r w:rsidRPr="007639B4">
            <w:rPr>
              <w:szCs w:val="22"/>
            </w:rPr>
            <w:t>. 2006;21(S14):S247-S258. doi:10.1002/mds.20959</w:t>
          </w:r>
        </w:p>
        <w:p w14:paraId="05AEC606" w14:textId="77777777" w:rsidR="00395812" w:rsidRPr="007639B4" w:rsidRDefault="00395812" w:rsidP="00395812">
          <w:pPr>
            <w:pStyle w:val="Literaturverzeichnis8"/>
            <w:jc w:val="both"/>
            <w:rPr>
              <w:szCs w:val="22"/>
            </w:rPr>
          </w:pPr>
          <w:r w:rsidRPr="007639B4">
            <w:rPr>
              <w:szCs w:val="22"/>
            </w:rPr>
            <w:t xml:space="preserve">17. Picillo M, Lozano AM, Kou N, Munhoz RP, Fasano A. Programming Deep Brain Stimulation for Parkinson’s Disease: The Toronto Western Hospital Algorithms. </w:t>
          </w:r>
          <w:r w:rsidRPr="007639B4">
            <w:rPr>
              <w:i/>
              <w:iCs/>
              <w:szCs w:val="22"/>
            </w:rPr>
            <w:t>Brain stimulation</w:t>
          </w:r>
          <w:r w:rsidRPr="007639B4">
            <w:rPr>
              <w:szCs w:val="22"/>
            </w:rPr>
            <w:t>. 2016;9(3):425-437. doi:10.1016/j.brs.2016.02.004</w:t>
          </w:r>
        </w:p>
        <w:p w14:paraId="1CEF7680" w14:textId="77777777" w:rsidR="00395812" w:rsidRPr="007639B4" w:rsidRDefault="00395812" w:rsidP="00395812">
          <w:pPr>
            <w:pStyle w:val="Literaturverzeichnis8"/>
            <w:jc w:val="both"/>
            <w:rPr>
              <w:szCs w:val="22"/>
            </w:rPr>
          </w:pPr>
          <w:r w:rsidRPr="007639B4">
            <w:rPr>
              <w:szCs w:val="22"/>
            </w:rPr>
            <w:t xml:space="preserve">18. Picillo M, Lozano AM, Kou N, Munhoz RP, Fasano A. Programming Deep Brain Stimulation for Tremor and Dystonia: The Toronto Western Hospital Algorithms. </w:t>
          </w:r>
          <w:r w:rsidRPr="007639B4">
            <w:rPr>
              <w:i/>
              <w:iCs/>
              <w:szCs w:val="22"/>
            </w:rPr>
            <w:t>Brain stimulation</w:t>
          </w:r>
          <w:r w:rsidRPr="007639B4">
            <w:rPr>
              <w:szCs w:val="22"/>
            </w:rPr>
            <w:t>. 2016;9(3):438-452. doi:10.1016/j.brs.2016.02.003</w:t>
          </w:r>
        </w:p>
        <w:p w14:paraId="29A1C752" w14:textId="77777777" w:rsidR="00395812" w:rsidRPr="007639B4" w:rsidRDefault="00395812" w:rsidP="00395812">
          <w:pPr>
            <w:pStyle w:val="Literaturverzeichnis8"/>
            <w:jc w:val="both"/>
            <w:rPr>
              <w:szCs w:val="22"/>
            </w:rPr>
          </w:pPr>
          <w:r w:rsidRPr="007639B4">
            <w:rPr>
              <w:szCs w:val="22"/>
            </w:rPr>
            <w:t xml:space="preserve">19. Volkmann J, Moro E, Pahwa R. Basic algorithms for the programming of deep brain stimulation in Parkinson’s disease. </w:t>
          </w:r>
          <w:r w:rsidRPr="007639B4">
            <w:rPr>
              <w:i/>
              <w:iCs/>
              <w:szCs w:val="22"/>
            </w:rPr>
            <w:t>Movement disorders : official journal of the Movement Disorder Society</w:t>
          </w:r>
          <w:r w:rsidRPr="007639B4">
            <w:rPr>
              <w:szCs w:val="22"/>
            </w:rPr>
            <w:t>. 2006;21 Suppl 14(S14):S284-9. doi:10.1002/mds.20961</w:t>
          </w:r>
        </w:p>
        <w:p w14:paraId="3E685ED2" w14:textId="77777777" w:rsidR="00395812" w:rsidRPr="007639B4" w:rsidRDefault="00395812" w:rsidP="00395812">
          <w:pPr>
            <w:pStyle w:val="Literaturverzeichnis8"/>
            <w:jc w:val="both"/>
            <w:rPr>
              <w:szCs w:val="22"/>
            </w:rPr>
          </w:pPr>
          <w:r w:rsidRPr="007639B4">
            <w:rPr>
              <w:szCs w:val="22"/>
            </w:rPr>
            <w:t xml:space="preserve">20. Shukla AW, Zeilman P, Fernandez H, Bajwa JA, Mehanna R. DBS Programming: An Evolving Approach for Patients with Parkinson’s Disease. </w:t>
          </w:r>
          <w:r w:rsidRPr="007639B4">
            <w:rPr>
              <w:i/>
              <w:iCs/>
              <w:szCs w:val="22"/>
            </w:rPr>
            <w:t>Parkinson’s disease</w:t>
          </w:r>
          <w:r w:rsidRPr="007639B4">
            <w:rPr>
              <w:szCs w:val="22"/>
            </w:rPr>
            <w:t>. 2017;2017:1-11. doi:10.1155/2017/8492619</w:t>
          </w:r>
        </w:p>
        <w:p w14:paraId="450A6373" w14:textId="77777777" w:rsidR="00395812" w:rsidRPr="007639B4" w:rsidRDefault="00395812" w:rsidP="00395812">
          <w:pPr>
            <w:pStyle w:val="Literaturverzeichnis8"/>
            <w:jc w:val="both"/>
            <w:rPr>
              <w:szCs w:val="22"/>
            </w:rPr>
          </w:pPr>
          <w:r w:rsidRPr="007639B4">
            <w:rPr>
              <w:szCs w:val="22"/>
            </w:rPr>
            <w:t xml:space="preserve">21. Hell F, Palleis C, Mehrkens JH, Koeglsperger T, Bötzel K. Deep Brain Stimulation Programming 2.0: Future Perspectives for Target Identification and Adaptive Closed Loop Stimulation. </w:t>
          </w:r>
          <w:r w:rsidRPr="007639B4">
            <w:rPr>
              <w:i/>
              <w:iCs/>
              <w:szCs w:val="22"/>
            </w:rPr>
            <w:t>Front Neurol</w:t>
          </w:r>
          <w:r w:rsidRPr="007639B4">
            <w:rPr>
              <w:szCs w:val="22"/>
            </w:rPr>
            <w:t>. 2019;10:314. doi:10.3389/fneur.2019.00314</w:t>
          </w:r>
        </w:p>
        <w:p w14:paraId="3A95FF5B" w14:textId="77777777" w:rsidR="00395812" w:rsidRPr="007639B4" w:rsidRDefault="00395812" w:rsidP="00395812">
          <w:pPr>
            <w:pStyle w:val="Literaturverzeichnis8"/>
            <w:jc w:val="both"/>
            <w:rPr>
              <w:szCs w:val="22"/>
            </w:rPr>
          </w:pPr>
          <w:r w:rsidRPr="007639B4">
            <w:rPr>
              <w:szCs w:val="22"/>
            </w:rPr>
            <w:t xml:space="preserve">22. Koeglsperger T, Palleis C, Hell F, Mehrkens JH, Bötzel K. Deep Brain Stimulation Programming for Movement Disorders: Current Concepts and Evidence-Based Strategies. </w:t>
          </w:r>
          <w:r w:rsidRPr="007639B4">
            <w:rPr>
              <w:i/>
              <w:iCs/>
              <w:szCs w:val="22"/>
            </w:rPr>
            <w:t>Front Neurol</w:t>
          </w:r>
          <w:r w:rsidRPr="007639B4">
            <w:rPr>
              <w:szCs w:val="22"/>
            </w:rPr>
            <w:t>. 2019;10:410. doi:10.3389/fneur.2019.00410</w:t>
          </w:r>
        </w:p>
        <w:p w14:paraId="277211F6" w14:textId="77777777" w:rsidR="00395812" w:rsidRPr="007639B4" w:rsidRDefault="00395812" w:rsidP="00395812">
          <w:pPr>
            <w:pStyle w:val="Literaturverzeichnis8"/>
            <w:jc w:val="both"/>
            <w:rPr>
              <w:szCs w:val="22"/>
            </w:rPr>
          </w:pPr>
          <w:r w:rsidRPr="007639B4">
            <w:rPr>
              <w:szCs w:val="22"/>
            </w:rPr>
            <w:lastRenderedPageBreak/>
            <w:t xml:space="preserve">23. Fasano A, Daniele A, Albanese A. Treatment of motor and non-motor features of Parkinson’s disease with deep brain stimulation. </w:t>
          </w:r>
          <w:r w:rsidRPr="007639B4">
            <w:rPr>
              <w:i/>
              <w:iCs/>
              <w:szCs w:val="22"/>
            </w:rPr>
            <w:t>The Lancet Neurology</w:t>
          </w:r>
          <w:r w:rsidRPr="007639B4">
            <w:rPr>
              <w:szCs w:val="22"/>
            </w:rPr>
            <w:t>. 2012;11(5):429-442. doi:10.1016/s1474-4422(12)70049-2</w:t>
          </w:r>
        </w:p>
        <w:p w14:paraId="5E27E448" w14:textId="77777777" w:rsidR="00395812" w:rsidRPr="007639B4" w:rsidRDefault="00395812" w:rsidP="00395812">
          <w:pPr>
            <w:pStyle w:val="Literaturverzeichnis8"/>
            <w:jc w:val="both"/>
            <w:rPr>
              <w:szCs w:val="22"/>
            </w:rPr>
          </w:pPr>
          <w:r w:rsidRPr="007639B4">
            <w:rPr>
              <w:szCs w:val="22"/>
            </w:rPr>
            <w:t xml:space="preserve">24. Follett KA, Weaver FM, Stern M, et al. Pallidal versus subthalamic deep-brain stimulation for Parkinson’s disease. </w:t>
          </w:r>
          <w:r w:rsidRPr="007639B4">
            <w:rPr>
              <w:i/>
              <w:iCs/>
              <w:szCs w:val="22"/>
            </w:rPr>
            <w:t>The New England journal of medicine</w:t>
          </w:r>
          <w:r w:rsidRPr="007639B4">
            <w:rPr>
              <w:szCs w:val="22"/>
            </w:rPr>
            <w:t>. 2010;362(22):2077-2091. doi:10.1056/nejmoa0907083</w:t>
          </w:r>
        </w:p>
        <w:p w14:paraId="3B6D76CC" w14:textId="77777777" w:rsidR="00395812" w:rsidRPr="007639B4" w:rsidRDefault="00395812" w:rsidP="00395812">
          <w:pPr>
            <w:pStyle w:val="Literaturverzeichnis8"/>
            <w:jc w:val="both"/>
            <w:rPr>
              <w:szCs w:val="22"/>
            </w:rPr>
          </w:pPr>
          <w:r w:rsidRPr="007639B4">
            <w:rPr>
              <w:szCs w:val="22"/>
            </w:rPr>
            <w:t xml:space="preserve">25. Okun MS, Fernandez HH, Wu SS, et al. Cognition and mood in Parkinson’s disease in subthalamic nucleus versus globus pallidus interna deep brain stimulation: the COMPARE trial. </w:t>
          </w:r>
          <w:r w:rsidRPr="007639B4">
            <w:rPr>
              <w:i/>
              <w:iCs/>
              <w:szCs w:val="22"/>
            </w:rPr>
            <w:t>Annals of Neurology</w:t>
          </w:r>
          <w:r w:rsidRPr="007639B4">
            <w:rPr>
              <w:szCs w:val="22"/>
            </w:rPr>
            <w:t>. 2009;65(5):586-595. doi:10.1002/ana.21596</w:t>
          </w:r>
        </w:p>
        <w:p w14:paraId="71734560" w14:textId="77777777" w:rsidR="00395812" w:rsidRPr="007639B4" w:rsidRDefault="00395812" w:rsidP="00395812">
          <w:pPr>
            <w:pStyle w:val="Literaturverzeichnis8"/>
            <w:jc w:val="both"/>
            <w:rPr>
              <w:szCs w:val="22"/>
            </w:rPr>
          </w:pPr>
          <w:r w:rsidRPr="007639B4">
            <w:rPr>
              <w:szCs w:val="22"/>
            </w:rPr>
            <w:t xml:space="preserve">26. Odekerken VJJ, Laar T van, Staal MJ, et al. Subthalamic nucleus versus globus pallidus bilateral deep brain stimulation for advanced Parkinson’s disease (NSTAPS study): a randomised controlled trial. </w:t>
          </w:r>
          <w:r w:rsidRPr="007639B4">
            <w:rPr>
              <w:i/>
              <w:iCs/>
              <w:szCs w:val="22"/>
            </w:rPr>
            <w:t>The Lancet Neurology</w:t>
          </w:r>
          <w:r w:rsidRPr="007639B4">
            <w:rPr>
              <w:szCs w:val="22"/>
            </w:rPr>
            <w:t>. 2013;12(1):37-44. doi:10.1016/s1474-4422(12)70264-8</w:t>
          </w:r>
        </w:p>
        <w:p w14:paraId="6E3968D6" w14:textId="77777777" w:rsidR="00395812" w:rsidRPr="007639B4" w:rsidRDefault="00395812" w:rsidP="00395812">
          <w:pPr>
            <w:pStyle w:val="Literaturverzeichnis8"/>
            <w:jc w:val="both"/>
            <w:rPr>
              <w:szCs w:val="22"/>
            </w:rPr>
          </w:pPr>
          <w:r w:rsidRPr="007639B4">
            <w:rPr>
              <w:szCs w:val="22"/>
            </w:rPr>
            <w:t xml:space="preserve">27. Merola A, Zibetti M, Artusi CA, et al. 80 Hz versus 130 Hz subthalamic nucleus deep brain stimulation: effects on involuntary movements. </w:t>
          </w:r>
          <w:r w:rsidRPr="007639B4">
            <w:rPr>
              <w:i/>
              <w:iCs/>
              <w:szCs w:val="22"/>
            </w:rPr>
            <w:t>Parkinsonism &amp; related disorders</w:t>
          </w:r>
          <w:r w:rsidRPr="007639B4">
            <w:rPr>
              <w:szCs w:val="22"/>
            </w:rPr>
            <w:t>. 2013;19(4):453-456. doi:10.1016/j.parkreldis.2013.01.006</w:t>
          </w:r>
        </w:p>
        <w:p w14:paraId="2B77C86A" w14:textId="77777777" w:rsidR="00395812" w:rsidRPr="007639B4" w:rsidRDefault="00395812" w:rsidP="00395812">
          <w:pPr>
            <w:pStyle w:val="Literaturverzeichnis8"/>
            <w:jc w:val="both"/>
            <w:rPr>
              <w:szCs w:val="22"/>
            </w:rPr>
          </w:pPr>
          <w:r w:rsidRPr="007639B4">
            <w:rPr>
              <w:szCs w:val="22"/>
            </w:rPr>
            <w:t xml:space="preserve">28. Rizzone M, Lanotte M, Bergamasco B, et al. Deep brain stimulation of the subthalamic nucleus in Parkinson’s disease: effects of variation in stimulation parameters. </w:t>
          </w:r>
          <w:r w:rsidRPr="007639B4">
            <w:rPr>
              <w:i/>
              <w:iCs/>
              <w:szCs w:val="22"/>
            </w:rPr>
            <w:t>Journal of neurology, neurosurgery, and psychiatry</w:t>
          </w:r>
          <w:r w:rsidRPr="007639B4">
            <w:rPr>
              <w:szCs w:val="22"/>
            </w:rPr>
            <w:t>. 2001;71(2):215-219.</w:t>
          </w:r>
        </w:p>
        <w:p w14:paraId="2D5048ED" w14:textId="77777777" w:rsidR="00395812" w:rsidRPr="007639B4" w:rsidRDefault="00395812" w:rsidP="00395812">
          <w:pPr>
            <w:pStyle w:val="Literaturverzeichnis8"/>
            <w:jc w:val="both"/>
            <w:rPr>
              <w:szCs w:val="22"/>
            </w:rPr>
          </w:pPr>
          <w:r w:rsidRPr="007639B4">
            <w:rPr>
              <w:szCs w:val="22"/>
            </w:rPr>
            <w:t xml:space="preserve">29. Moro E, Esselink RJA, Xie J, Hommel M, Benabid AL, Pollak P. The impact on Parkinson’s disease of electrical parameter settings in STN stimulation. </w:t>
          </w:r>
          <w:r w:rsidRPr="007639B4">
            <w:rPr>
              <w:i/>
              <w:iCs/>
              <w:szCs w:val="22"/>
            </w:rPr>
            <w:t>Neurology</w:t>
          </w:r>
          <w:r w:rsidRPr="007639B4">
            <w:rPr>
              <w:szCs w:val="22"/>
            </w:rPr>
            <w:t>. 2002;59(5):706-713.</w:t>
          </w:r>
        </w:p>
        <w:p w14:paraId="7C0A6B55" w14:textId="77777777" w:rsidR="00395812" w:rsidRPr="007639B4" w:rsidRDefault="00395812" w:rsidP="00395812">
          <w:pPr>
            <w:pStyle w:val="Literaturverzeichnis8"/>
            <w:jc w:val="both"/>
            <w:rPr>
              <w:szCs w:val="22"/>
            </w:rPr>
          </w:pPr>
          <w:r w:rsidRPr="007639B4">
            <w:rPr>
              <w:szCs w:val="22"/>
            </w:rPr>
            <w:t xml:space="preserve">30. Sauleau P, Raoul S, Lallement F, et al. Motor and non motor effects during intraoperative subthalamic stimulation for Parkinson’s disease. </w:t>
          </w:r>
          <w:r w:rsidRPr="007639B4">
            <w:rPr>
              <w:i/>
              <w:iCs/>
              <w:szCs w:val="22"/>
            </w:rPr>
            <w:t>Journal of Neurology</w:t>
          </w:r>
          <w:r w:rsidRPr="007639B4">
            <w:rPr>
              <w:szCs w:val="22"/>
            </w:rPr>
            <w:t>. 2005;252(4):457-464. doi:10.1007/s00415-005-0675-5</w:t>
          </w:r>
        </w:p>
        <w:p w14:paraId="36C4A7C5" w14:textId="77777777" w:rsidR="00395812" w:rsidRPr="007639B4" w:rsidRDefault="00395812" w:rsidP="00395812">
          <w:pPr>
            <w:pStyle w:val="Literaturverzeichnis8"/>
            <w:jc w:val="both"/>
            <w:rPr>
              <w:szCs w:val="22"/>
            </w:rPr>
          </w:pPr>
          <w:r w:rsidRPr="007639B4">
            <w:rPr>
              <w:szCs w:val="22"/>
            </w:rPr>
            <w:t xml:space="preserve">31. Temperli P, Ghika J, Villemure JG, Burkhard PR, Bogousslavsky J, Vingerhoets FJG. How do parkinsonian signs return after discontinuation of subthalamic DBS? </w:t>
          </w:r>
          <w:r w:rsidRPr="007639B4">
            <w:rPr>
              <w:i/>
              <w:iCs/>
              <w:szCs w:val="22"/>
            </w:rPr>
            <w:t>Neurology</w:t>
          </w:r>
          <w:r w:rsidRPr="007639B4">
            <w:rPr>
              <w:szCs w:val="22"/>
            </w:rPr>
            <w:t>. 2003;60(1):78-81.</w:t>
          </w:r>
        </w:p>
        <w:p w14:paraId="31650F34" w14:textId="77777777" w:rsidR="00395812" w:rsidRPr="007639B4" w:rsidRDefault="00395812" w:rsidP="00395812">
          <w:pPr>
            <w:pStyle w:val="Literaturverzeichnis8"/>
            <w:jc w:val="both"/>
            <w:rPr>
              <w:szCs w:val="22"/>
            </w:rPr>
          </w:pPr>
          <w:r w:rsidRPr="007639B4">
            <w:rPr>
              <w:szCs w:val="22"/>
            </w:rPr>
            <w:t xml:space="preserve">32. Levin J, Singh A, Feddersen B, Mehrkens JH, Bötzel K. Onset latency of segmental dystonia after deep brain stimulation cessation: A randomized, double-blind crossover trial. </w:t>
          </w:r>
          <w:r w:rsidRPr="007639B4">
            <w:rPr>
              <w:i/>
              <w:iCs/>
              <w:szCs w:val="22"/>
            </w:rPr>
            <w:t>Movement disorders : official journal of the Movement Disorder Society</w:t>
          </w:r>
          <w:r w:rsidRPr="007639B4">
            <w:rPr>
              <w:szCs w:val="22"/>
            </w:rPr>
            <w:t>. 2013;29(7):944-949. doi:10.1002/mds.25780</w:t>
          </w:r>
        </w:p>
        <w:p w14:paraId="0D05012E" w14:textId="77777777" w:rsidR="00395812" w:rsidRPr="007639B4" w:rsidRDefault="00395812" w:rsidP="00395812">
          <w:pPr>
            <w:pStyle w:val="Literaturverzeichnis8"/>
            <w:jc w:val="both"/>
            <w:rPr>
              <w:szCs w:val="22"/>
            </w:rPr>
          </w:pPr>
          <w:r w:rsidRPr="007639B4">
            <w:rPr>
              <w:szCs w:val="22"/>
            </w:rPr>
            <w:t xml:space="preserve">33. Blahak C, Bäzner H, Capelle HH, et al. Rapid response of parkinsonian tremor to STN-DBS changes: direct modulation of oscillatory basal ganglia activity? </w:t>
          </w:r>
          <w:r w:rsidRPr="007639B4">
            <w:rPr>
              <w:i/>
              <w:iCs/>
              <w:szCs w:val="22"/>
            </w:rPr>
            <w:t>Movement disorders : official journal of the Movement Disorder Society</w:t>
          </w:r>
          <w:r w:rsidRPr="007639B4">
            <w:rPr>
              <w:szCs w:val="22"/>
            </w:rPr>
            <w:t>. 2009;24(8):1221-1225. doi:10.1002/mds.22536</w:t>
          </w:r>
        </w:p>
        <w:p w14:paraId="140AF989" w14:textId="77777777" w:rsidR="00395812" w:rsidRPr="007639B4" w:rsidRDefault="00395812" w:rsidP="00395812">
          <w:pPr>
            <w:pStyle w:val="Literaturverzeichnis8"/>
            <w:jc w:val="both"/>
            <w:rPr>
              <w:szCs w:val="22"/>
            </w:rPr>
          </w:pPr>
          <w:r w:rsidRPr="007639B4">
            <w:rPr>
              <w:szCs w:val="22"/>
            </w:rPr>
            <w:t xml:space="preserve">34. Moro E, Poon YYW, Lozano AM, Saint-Cyr JA, Lang AE. Subthalamic nucleus stimulation: improvements in outcome with reprogramming. </w:t>
          </w:r>
          <w:r w:rsidRPr="007639B4">
            <w:rPr>
              <w:i/>
              <w:iCs/>
              <w:szCs w:val="22"/>
            </w:rPr>
            <w:t>Archives of neurology</w:t>
          </w:r>
          <w:r w:rsidRPr="007639B4">
            <w:rPr>
              <w:szCs w:val="22"/>
            </w:rPr>
            <w:t>. 2006;63(9):1266-1272. doi:10.1001/archneur.63.9.1266</w:t>
          </w:r>
        </w:p>
        <w:p w14:paraId="0413BC9D" w14:textId="77777777" w:rsidR="00395812" w:rsidRPr="007639B4" w:rsidRDefault="00395812" w:rsidP="00395812">
          <w:pPr>
            <w:pStyle w:val="Literaturverzeichnis8"/>
            <w:jc w:val="both"/>
            <w:rPr>
              <w:szCs w:val="22"/>
            </w:rPr>
          </w:pPr>
          <w:r w:rsidRPr="007639B4">
            <w:rPr>
              <w:szCs w:val="22"/>
            </w:rPr>
            <w:lastRenderedPageBreak/>
            <w:t xml:space="preserve">35. Schuepbach WMM, Rau J, Knudsen K, et al. Neurostimulation for Parkinson’s disease with early motor complications. </w:t>
          </w:r>
          <w:r w:rsidRPr="007639B4">
            <w:rPr>
              <w:i/>
              <w:iCs/>
              <w:szCs w:val="22"/>
            </w:rPr>
            <w:t>The New England journal of medicine</w:t>
          </w:r>
          <w:r w:rsidRPr="007639B4">
            <w:rPr>
              <w:szCs w:val="22"/>
            </w:rPr>
            <w:t>. 2013;368(7):610-622. doi:10.1056/nejmoa1205158</w:t>
          </w:r>
        </w:p>
        <w:p w14:paraId="04377D39" w14:textId="77777777" w:rsidR="00395812" w:rsidRPr="007639B4" w:rsidRDefault="00395812" w:rsidP="00395812">
          <w:pPr>
            <w:pStyle w:val="Literaturverzeichnis8"/>
            <w:jc w:val="both"/>
            <w:rPr>
              <w:szCs w:val="22"/>
            </w:rPr>
          </w:pPr>
          <w:r w:rsidRPr="007639B4">
            <w:rPr>
              <w:szCs w:val="22"/>
            </w:rPr>
            <w:t xml:space="preserve">36. Tomlinson CL, Stowe R, Patel S, Rick C, Gray R, Clarke CE. Systematic review of levodopa dose equivalency reporting in Parkinson’s disease. </w:t>
          </w:r>
          <w:r w:rsidRPr="007639B4">
            <w:rPr>
              <w:i/>
              <w:iCs/>
              <w:szCs w:val="22"/>
            </w:rPr>
            <w:t>Movement Disord</w:t>
          </w:r>
          <w:r w:rsidRPr="007639B4">
            <w:rPr>
              <w:szCs w:val="22"/>
            </w:rPr>
            <w:t>. 2010;25(15):2649-2653. doi:10.1002/mds.23429</w:t>
          </w:r>
        </w:p>
        <w:p w14:paraId="5FCBB14C" w14:textId="77777777" w:rsidR="00395812" w:rsidRPr="007639B4" w:rsidRDefault="00395812" w:rsidP="00395812">
          <w:pPr>
            <w:pStyle w:val="Literaturverzeichnis8"/>
            <w:jc w:val="both"/>
            <w:rPr>
              <w:szCs w:val="22"/>
            </w:rPr>
          </w:pPr>
          <w:r w:rsidRPr="007639B4">
            <w:rPr>
              <w:szCs w:val="22"/>
            </w:rPr>
            <w:t xml:space="preserve">37. Hauser RA, Friedlander J, Zesiewicz TA, et al. A Home Diary to Assess Functional Status in Patients with Parkinson’s Disease with Motor Fluctuations and Dyskinesia. </w:t>
          </w:r>
          <w:r w:rsidRPr="007639B4">
            <w:rPr>
              <w:i/>
              <w:iCs/>
              <w:szCs w:val="22"/>
            </w:rPr>
            <w:t>Clin Neuropharmacol</w:t>
          </w:r>
          <w:r w:rsidRPr="007639B4">
            <w:rPr>
              <w:szCs w:val="22"/>
            </w:rPr>
            <w:t>. 2000;23(2):75. doi:10.1097/00002826-200003000-00003</w:t>
          </w:r>
        </w:p>
        <w:p w14:paraId="10131FCF" w14:textId="245D964A" w:rsidR="006F682A" w:rsidRDefault="00395812" w:rsidP="00395812">
          <w:pPr>
            <w:jc w:val="both"/>
            <w:rPr>
              <w:b/>
              <w:sz w:val="26"/>
              <w:szCs w:val="26"/>
              <w:lang w:val="en-AU"/>
            </w:rPr>
          </w:pPr>
          <w:r w:rsidRPr="007639B4">
            <w:rPr>
              <w:szCs w:val="22"/>
            </w:rPr>
            <w:t> </w:t>
          </w:r>
        </w:p>
      </w:sdtContent>
    </w:sdt>
    <w:p w14:paraId="3149DAF7" w14:textId="6E06A5CA" w:rsidR="00BA23CD" w:rsidRPr="00286BE9" w:rsidRDefault="006F682A" w:rsidP="00BA23CD">
      <w:pPr>
        <w:rPr>
          <w:b/>
          <w:sz w:val="26"/>
          <w:szCs w:val="26"/>
          <w:lang w:val="en-AU"/>
        </w:rPr>
      </w:pPr>
      <w:r>
        <w:rPr>
          <w:b/>
          <w:sz w:val="26"/>
          <w:szCs w:val="26"/>
          <w:lang w:val="en-AU"/>
        </w:rPr>
        <w:t xml:space="preserve"> </w:t>
      </w:r>
    </w:p>
    <w:sectPr w:rsidR="00BA23CD" w:rsidRPr="00286BE9" w:rsidSect="004402EE">
      <w:footerReference w:type="even" r:id="rId13"/>
      <w:footerReference w:type="default" r:id="rId14"/>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BA090" w14:textId="77777777" w:rsidR="00DF680A" w:rsidRDefault="00DF680A" w:rsidP="00BA23CD">
      <w:r>
        <w:separator/>
      </w:r>
    </w:p>
  </w:endnote>
  <w:endnote w:type="continuationSeparator" w:id="0">
    <w:p w14:paraId="1B8AD616" w14:textId="77777777" w:rsidR="00DF680A" w:rsidRDefault="00DF680A" w:rsidP="00BA2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1"/>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715034392"/>
      <w:docPartObj>
        <w:docPartGallery w:val="Page Numbers (Bottom of Page)"/>
        <w:docPartUnique/>
      </w:docPartObj>
    </w:sdtPr>
    <w:sdtContent>
      <w:p w14:paraId="3D127165" w14:textId="7B33FCBB" w:rsidR="00BA23CD" w:rsidRDefault="00BA23CD" w:rsidP="00E91BD1">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rPr>
          <w:fldChar w:fldCharType="end"/>
        </w:r>
      </w:p>
    </w:sdtContent>
  </w:sdt>
  <w:p w14:paraId="27F3550C" w14:textId="77777777" w:rsidR="00BA23CD" w:rsidRDefault="00BA23CD" w:rsidP="00BA23CD">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267893582"/>
      <w:docPartObj>
        <w:docPartGallery w:val="Page Numbers (Bottom of Page)"/>
        <w:docPartUnique/>
      </w:docPartObj>
    </w:sdtPr>
    <w:sdtContent>
      <w:p w14:paraId="2CF16F2B" w14:textId="0BB6B8DD" w:rsidR="00BA23CD" w:rsidRDefault="00BA23CD" w:rsidP="00E91BD1">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5630E5EC" w14:textId="77777777" w:rsidR="00BA23CD" w:rsidRDefault="00BA23CD" w:rsidP="00BA23CD">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A2A8C" w14:textId="77777777" w:rsidR="00DF680A" w:rsidRDefault="00DF680A" w:rsidP="00BA23CD">
      <w:r>
        <w:separator/>
      </w:r>
    </w:p>
  </w:footnote>
  <w:footnote w:type="continuationSeparator" w:id="0">
    <w:p w14:paraId="65FB0E69" w14:textId="77777777" w:rsidR="00DF680A" w:rsidRDefault="00DF680A" w:rsidP="00BA23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258A7"/>
    <w:multiLevelType w:val="hybridMultilevel"/>
    <w:tmpl w:val="07663BB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0C345ACD"/>
    <w:multiLevelType w:val="multilevel"/>
    <w:tmpl w:val="75385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BD4911"/>
    <w:multiLevelType w:val="multilevel"/>
    <w:tmpl w:val="B96C0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5C1051"/>
    <w:multiLevelType w:val="hybridMultilevel"/>
    <w:tmpl w:val="381E47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DDC0729"/>
    <w:multiLevelType w:val="hybridMultilevel"/>
    <w:tmpl w:val="AABA35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23847A9"/>
    <w:multiLevelType w:val="multilevel"/>
    <w:tmpl w:val="E05CDD3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4C7A2FE0"/>
    <w:multiLevelType w:val="multilevel"/>
    <w:tmpl w:val="D46253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A838E0"/>
    <w:multiLevelType w:val="hybridMultilevel"/>
    <w:tmpl w:val="A704CBA2"/>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65D560BF"/>
    <w:multiLevelType w:val="hybridMultilevel"/>
    <w:tmpl w:val="84A2B8C0"/>
    <w:lvl w:ilvl="0" w:tplc="6DB40920">
      <w:start w:val="1"/>
      <w:numFmt w:val="upp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761D7B86"/>
    <w:multiLevelType w:val="multilevel"/>
    <w:tmpl w:val="2730E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8177B7"/>
    <w:multiLevelType w:val="multilevel"/>
    <w:tmpl w:val="E6945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1332237">
    <w:abstractNumId w:val="7"/>
  </w:num>
  <w:num w:numId="2" w16cid:durableId="779187174">
    <w:abstractNumId w:val="0"/>
  </w:num>
  <w:num w:numId="3" w16cid:durableId="573785456">
    <w:abstractNumId w:val="5"/>
  </w:num>
  <w:num w:numId="4" w16cid:durableId="1486361932">
    <w:abstractNumId w:val="4"/>
  </w:num>
  <w:num w:numId="5" w16cid:durableId="1392999196">
    <w:abstractNumId w:val="3"/>
  </w:num>
  <w:num w:numId="6" w16cid:durableId="221793941">
    <w:abstractNumId w:val="6"/>
  </w:num>
  <w:num w:numId="7" w16cid:durableId="429277497">
    <w:abstractNumId w:val="2"/>
  </w:num>
  <w:num w:numId="8" w16cid:durableId="1854413954">
    <w:abstractNumId w:val="9"/>
  </w:num>
  <w:num w:numId="9" w16cid:durableId="1821919389">
    <w:abstractNumId w:val="1"/>
  </w:num>
  <w:num w:numId="10" w16cid:durableId="909121310">
    <w:abstractNumId w:val="10"/>
  </w:num>
  <w:num w:numId="11" w16cid:durableId="192429195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06F"/>
    <w:rsid w:val="00001818"/>
    <w:rsid w:val="00014E0A"/>
    <w:rsid w:val="0005633E"/>
    <w:rsid w:val="00080099"/>
    <w:rsid w:val="000B4C53"/>
    <w:rsid w:val="000C1B93"/>
    <w:rsid w:val="00104AB0"/>
    <w:rsid w:val="00137CF5"/>
    <w:rsid w:val="00146E61"/>
    <w:rsid w:val="00180453"/>
    <w:rsid w:val="0019506A"/>
    <w:rsid w:val="00195C25"/>
    <w:rsid w:val="001C2BE6"/>
    <w:rsid w:val="001F3DE1"/>
    <w:rsid w:val="001F3E96"/>
    <w:rsid w:val="00270BE9"/>
    <w:rsid w:val="00271A67"/>
    <w:rsid w:val="00272486"/>
    <w:rsid w:val="00282CCC"/>
    <w:rsid w:val="00286BE9"/>
    <w:rsid w:val="00286FF2"/>
    <w:rsid w:val="002B0973"/>
    <w:rsid w:val="002C18E4"/>
    <w:rsid w:val="002E0CBF"/>
    <w:rsid w:val="0032156D"/>
    <w:rsid w:val="00395812"/>
    <w:rsid w:val="004169A4"/>
    <w:rsid w:val="004402EE"/>
    <w:rsid w:val="00491332"/>
    <w:rsid w:val="00495E22"/>
    <w:rsid w:val="004B1EAA"/>
    <w:rsid w:val="004C1D6B"/>
    <w:rsid w:val="0051090D"/>
    <w:rsid w:val="00576516"/>
    <w:rsid w:val="00594F02"/>
    <w:rsid w:val="005B1DF3"/>
    <w:rsid w:val="005B34D3"/>
    <w:rsid w:val="006046F5"/>
    <w:rsid w:val="006733CC"/>
    <w:rsid w:val="006A47BA"/>
    <w:rsid w:val="006C407F"/>
    <w:rsid w:val="006D0C06"/>
    <w:rsid w:val="006F682A"/>
    <w:rsid w:val="00707F50"/>
    <w:rsid w:val="00736C59"/>
    <w:rsid w:val="00755099"/>
    <w:rsid w:val="007639B4"/>
    <w:rsid w:val="00796A33"/>
    <w:rsid w:val="007E0820"/>
    <w:rsid w:val="00814D7F"/>
    <w:rsid w:val="00825030"/>
    <w:rsid w:val="00842664"/>
    <w:rsid w:val="00850867"/>
    <w:rsid w:val="00853D66"/>
    <w:rsid w:val="00871B6D"/>
    <w:rsid w:val="00873ABB"/>
    <w:rsid w:val="00883F16"/>
    <w:rsid w:val="008848A6"/>
    <w:rsid w:val="008A240F"/>
    <w:rsid w:val="008C4F9B"/>
    <w:rsid w:val="008D565A"/>
    <w:rsid w:val="008F7659"/>
    <w:rsid w:val="00903454"/>
    <w:rsid w:val="00906A91"/>
    <w:rsid w:val="009317F9"/>
    <w:rsid w:val="00942602"/>
    <w:rsid w:val="00963322"/>
    <w:rsid w:val="009713D1"/>
    <w:rsid w:val="00994B20"/>
    <w:rsid w:val="009D0123"/>
    <w:rsid w:val="009D47B0"/>
    <w:rsid w:val="009F56BA"/>
    <w:rsid w:val="00A0150E"/>
    <w:rsid w:val="00A96D35"/>
    <w:rsid w:val="00AA2597"/>
    <w:rsid w:val="00AA4251"/>
    <w:rsid w:val="00AA7632"/>
    <w:rsid w:val="00AB406F"/>
    <w:rsid w:val="00AC446B"/>
    <w:rsid w:val="00AD063B"/>
    <w:rsid w:val="00AD281E"/>
    <w:rsid w:val="00AD4F86"/>
    <w:rsid w:val="00B72A01"/>
    <w:rsid w:val="00B827D3"/>
    <w:rsid w:val="00BA23CD"/>
    <w:rsid w:val="00BA41C8"/>
    <w:rsid w:val="00BC1BDD"/>
    <w:rsid w:val="00BE177F"/>
    <w:rsid w:val="00BF09BF"/>
    <w:rsid w:val="00BF3404"/>
    <w:rsid w:val="00C16075"/>
    <w:rsid w:val="00C40EC6"/>
    <w:rsid w:val="00C42258"/>
    <w:rsid w:val="00C422B1"/>
    <w:rsid w:val="00C51FB5"/>
    <w:rsid w:val="00CC735C"/>
    <w:rsid w:val="00CD0265"/>
    <w:rsid w:val="00CF482A"/>
    <w:rsid w:val="00D13B2D"/>
    <w:rsid w:val="00D3108B"/>
    <w:rsid w:val="00D8184A"/>
    <w:rsid w:val="00DA7299"/>
    <w:rsid w:val="00DB6BD1"/>
    <w:rsid w:val="00DC3FE1"/>
    <w:rsid w:val="00DD3EA3"/>
    <w:rsid w:val="00DD79D1"/>
    <w:rsid w:val="00DF680A"/>
    <w:rsid w:val="00E42BB8"/>
    <w:rsid w:val="00E459BB"/>
    <w:rsid w:val="00E5210B"/>
    <w:rsid w:val="00E61CEA"/>
    <w:rsid w:val="00EE155F"/>
    <w:rsid w:val="00EF6FBF"/>
    <w:rsid w:val="00F13D6B"/>
    <w:rsid w:val="00F43A4B"/>
    <w:rsid w:val="00F47D45"/>
    <w:rsid w:val="00F67EF2"/>
    <w:rsid w:val="00F879B0"/>
    <w:rsid w:val="00F94396"/>
    <w:rsid w:val="00FD62E7"/>
    <w:rsid w:val="00FD6AC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8EAAF"/>
  <w15:chartTrackingRefBased/>
  <w15:docId w15:val="{7CF1B2F4-2AA9-D243-A427-3B454903B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utoRedefine/>
    <w:qFormat/>
    <w:rsid w:val="00CD0265"/>
    <w:rPr>
      <w:rFonts w:ascii="Times New Roman" w:eastAsia="Times New Roman" w:hAnsi="Times New Roman" w:cs="Times New Roman"/>
      <w:kern w:val="0"/>
      <w:lang w:eastAsia="de-DE"/>
      <w14:ligatures w14:val="none"/>
    </w:rPr>
  </w:style>
  <w:style w:type="paragraph" w:styleId="berschrift1">
    <w:name w:val="heading 1"/>
    <w:basedOn w:val="Standard"/>
    <w:next w:val="Standard"/>
    <w:link w:val="berschrift1Zchn"/>
    <w:uiPriority w:val="9"/>
    <w:qFormat/>
    <w:rsid w:val="00AB406F"/>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berschrift2">
    <w:name w:val="heading 2"/>
    <w:basedOn w:val="Standard"/>
    <w:next w:val="Standard"/>
    <w:link w:val="berschrift2Zchn"/>
    <w:uiPriority w:val="9"/>
    <w:semiHidden/>
    <w:unhideWhenUsed/>
    <w:qFormat/>
    <w:rsid w:val="00AB406F"/>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berschrift3">
    <w:name w:val="heading 3"/>
    <w:basedOn w:val="Standard"/>
    <w:next w:val="Standard"/>
    <w:link w:val="berschrift3Zchn"/>
    <w:uiPriority w:val="9"/>
    <w:unhideWhenUsed/>
    <w:qFormat/>
    <w:rsid w:val="00AB406F"/>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berschrift4">
    <w:name w:val="heading 4"/>
    <w:basedOn w:val="Standard"/>
    <w:next w:val="Standard"/>
    <w:link w:val="berschrift4Zchn"/>
    <w:uiPriority w:val="9"/>
    <w:unhideWhenUsed/>
    <w:qFormat/>
    <w:rsid w:val="00AB406F"/>
    <w:pPr>
      <w:keepNext/>
      <w:keepLines/>
      <w:spacing w:before="80" w:after="40"/>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berschrift5">
    <w:name w:val="heading 5"/>
    <w:basedOn w:val="Standard"/>
    <w:next w:val="Standard"/>
    <w:link w:val="berschrift5Zchn"/>
    <w:uiPriority w:val="9"/>
    <w:semiHidden/>
    <w:unhideWhenUsed/>
    <w:qFormat/>
    <w:rsid w:val="00AB406F"/>
    <w:pPr>
      <w:keepNext/>
      <w:keepLines/>
      <w:spacing w:before="80" w:after="40"/>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berschrift6">
    <w:name w:val="heading 6"/>
    <w:basedOn w:val="Standard"/>
    <w:next w:val="Standard"/>
    <w:link w:val="berschrift6Zchn"/>
    <w:uiPriority w:val="9"/>
    <w:semiHidden/>
    <w:unhideWhenUsed/>
    <w:qFormat/>
    <w:rsid w:val="00AB406F"/>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berschrift7">
    <w:name w:val="heading 7"/>
    <w:basedOn w:val="Standard"/>
    <w:next w:val="Standard"/>
    <w:link w:val="berschrift7Zchn"/>
    <w:uiPriority w:val="9"/>
    <w:semiHidden/>
    <w:unhideWhenUsed/>
    <w:qFormat/>
    <w:rsid w:val="00AB406F"/>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berschrift8">
    <w:name w:val="heading 8"/>
    <w:basedOn w:val="Standard"/>
    <w:next w:val="Standard"/>
    <w:link w:val="berschrift8Zchn"/>
    <w:uiPriority w:val="9"/>
    <w:semiHidden/>
    <w:unhideWhenUsed/>
    <w:qFormat/>
    <w:rsid w:val="00AB406F"/>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berschrift9">
    <w:name w:val="heading 9"/>
    <w:basedOn w:val="Standard"/>
    <w:next w:val="Standard"/>
    <w:link w:val="berschrift9Zchn"/>
    <w:uiPriority w:val="9"/>
    <w:semiHidden/>
    <w:unhideWhenUsed/>
    <w:qFormat/>
    <w:rsid w:val="00AB406F"/>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B406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AB406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AB406F"/>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rsid w:val="00AB406F"/>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B406F"/>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B406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B406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B406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B406F"/>
    <w:rPr>
      <w:rFonts w:eastAsiaTheme="majorEastAsia" w:cstheme="majorBidi"/>
      <w:color w:val="272727" w:themeColor="text1" w:themeTint="D8"/>
    </w:rPr>
  </w:style>
  <w:style w:type="paragraph" w:styleId="Titel">
    <w:name w:val="Title"/>
    <w:basedOn w:val="Standard"/>
    <w:next w:val="Standard"/>
    <w:link w:val="TitelZchn"/>
    <w:uiPriority w:val="10"/>
    <w:qFormat/>
    <w:rsid w:val="00AB406F"/>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Zchn">
    <w:name w:val="Titel Zchn"/>
    <w:basedOn w:val="Absatz-Standardschriftart"/>
    <w:link w:val="Titel"/>
    <w:uiPriority w:val="10"/>
    <w:rsid w:val="00AB406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B406F"/>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UntertitelZchn">
    <w:name w:val="Untertitel Zchn"/>
    <w:basedOn w:val="Absatz-Standardschriftart"/>
    <w:link w:val="Untertitel"/>
    <w:uiPriority w:val="11"/>
    <w:rsid w:val="00AB406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B406F"/>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ZitatZchn">
    <w:name w:val="Zitat Zchn"/>
    <w:basedOn w:val="Absatz-Standardschriftart"/>
    <w:link w:val="Zitat"/>
    <w:uiPriority w:val="29"/>
    <w:rsid w:val="00AB406F"/>
    <w:rPr>
      <w:i/>
      <w:iCs/>
      <w:color w:val="404040" w:themeColor="text1" w:themeTint="BF"/>
    </w:rPr>
  </w:style>
  <w:style w:type="paragraph" w:styleId="Listenabsatz">
    <w:name w:val="List Paragraph"/>
    <w:basedOn w:val="Standard"/>
    <w:uiPriority w:val="34"/>
    <w:qFormat/>
    <w:rsid w:val="00AB406F"/>
    <w:pPr>
      <w:ind w:left="720"/>
      <w:contextualSpacing/>
    </w:pPr>
    <w:rPr>
      <w:rFonts w:asciiTheme="minorHAnsi" w:eastAsiaTheme="minorHAnsi" w:hAnsiTheme="minorHAnsi" w:cstheme="minorBidi"/>
      <w:kern w:val="2"/>
      <w:lang w:eastAsia="en-US"/>
      <w14:ligatures w14:val="standardContextual"/>
    </w:rPr>
  </w:style>
  <w:style w:type="character" w:styleId="IntensiveHervorhebung">
    <w:name w:val="Intense Emphasis"/>
    <w:basedOn w:val="Absatz-Standardschriftart"/>
    <w:uiPriority w:val="21"/>
    <w:qFormat/>
    <w:rsid w:val="00AB406F"/>
    <w:rPr>
      <w:i/>
      <w:iCs/>
      <w:color w:val="0F4761" w:themeColor="accent1" w:themeShade="BF"/>
    </w:rPr>
  </w:style>
  <w:style w:type="paragraph" w:styleId="IntensivesZitat">
    <w:name w:val="Intense Quote"/>
    <w:basedOn w:val="Standard"/>
    <w:next w:val="Standard"/>
    <w:link w:val="IntensivesZitatZchn"/>
    <w:uiPriority w:val="30"/>
    <w:qFormat/>
    <w:rsid w:val="00AB406F"/>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ivesZitatZchn">
    <w:name w:val="Intensives Zitat Zchn"/>
    <w:basedOn w:val="Absatz-Standardschriftart"/>
    <w:link w:val="IntensivesZitat"/>
    <w:uiPriority w:val="30"/>
    <w:rsid w:val="00AB406F"/>
    <w:rPr>
      <w:i/>
      <w:iCs/>
      <w:color w:val="0F4761" w:themeColor="accent1" w:themeShade="BF"/>
    </w:rPr>
  </w:style>
  <w:style w:type="character" w:styleId="IntensiverVerweis">
    <w:name w:val="Intense Reference"/>
    <w:basedOn w:val="Absatz-Standardschriftart"/>
    <w:uiPriority w:val="32"/>
    <w:qFormat/>
    <w:rsid w:val="00AB406F"/>
    <w:rPr>
      <w:b/>
      <w:bCs/>
      <w:smallCaps/>
      <w:color w:val="0F4761" w:themeColor="accent1" w:themeShade="BF"/>
      <w:spacing w:val="5"/>
    </w:rPr>
  </w:style>
  <w:style w:type="character" w:styleId="Kommentarzeichen">
    <w:name w:val="annotation reference"/>
    <w:basedOn w:val="Absatz-Standardschriftart"/>
    <w:qFormat/>
    <w:rsid w:val="006046F5"/>
    <w:rPr>
      <w:sz w:val="16"/>
      <w:szCs w:val="16"/>
    </w:rPr>
  </w:style>
  <w:style w:type="character" w:customStyle="1" w:styleId="KommentartextZchn">
    <w:name w:val="Kommentartext Zchn"/>
    <w:basedOn w:val="Absatz-Standardschriftart"/>
    <w:link w:val="Kommentartext"/>
    <w:qFormat/>
    <w:rsid w:val="006046F5"/>
    <w:rPr>
      <w:rFonts w:eastAsiaTheme="minorEastAsia"/>
      <w:lang w:val="en-US" w:eastAsia="zh-CN"/>
    </w:rPr>
  </w:style>
  <w:style w:type="paragraph" w:styleId="Kommentartext">
    <w:name w:val="annotation text"/>
    <w:basedOn w:val="Standard"/>
    <w:link w:val="KommentartextZchn"/>
    <w:qFormat/>
    <w:rsid w:val="006046F5"/>
    <w:pPr>
      <w:spacing w:line="360" w:lineRule="auto"/>
      <w:jc w:val="center"/>
    </w:pPr>
    <w:rPr>
      <w:rFonts w:asciiTheme="minorHAnsi" w:eastAsiaTheme="minorEastAsia" w:hAnsiTheme="minorHAnsi" w:cstheme="minorBidi"/>
      <w:kern w:val="2"/>
      <w:lang w:val="en-US" w:eastAsia="zh-CN"/>
      <w14:ligatures w14:val="standardContextual"/>
    </w:rPr>
  </w:style>
  <w:style w:type="character" w:customStyle="1" w:styleId="KommentartextZchn1">
    <w:name w:val="Kommentartext Zchn1"/>
    <w:basedOn w:val="Absatz-Standardschriftart"/>
    <w:uiPriority w:val="99"/>
    <w:semiHidden/>
    <w:rsid w:val="006046F5"/>
    <w:rPr>
      <w:rFonts w:ascii="Times New Roman" w:eastAsiaTheme="minorEastAsia" w:hAnsi="Times New Roman" w:cs="Times New Roman"/>
      <w:sz w:val="20"/>
      <w:szCs w:val="20"/>
      <w:lang w:val="en-US" w:eastAsia="zh-CN"/>
      <w14:ligatures w14:val="none"/>
    </w:rPr>
  </w:style>
  <w:style w:type="table" w:styleId="Tabellenraster">
    <w:name w:val="Table Grid"/>
    <w:basedOn w:val="NormaleTabelle"/>
    <w:uiPriority w:val="39"/>
    <w:rsid w:val="00796A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basedOn w:val="Absatz-Standardschriftart"/>
    <w:uiPriority w:val="22"/>
    <w:qFormat/>
    <w:rsid w:val="00850867"/>
    <w:rPr>
      <w:b/>
      <w:bCs/>
    </w:rPr>
  </w:style>
  <w:style w:type="character" w:styleId="Hervorhebung">
    <w:name w:val="Emphasis"/>
    <w:basedOn w:val="Absatz-Standardschriftart"/>
    <w:uiPriority w:val="20"/>
    <w:qFormat/>
    <w:rsid w:val="00850867"/>
    <w:rPr>
      <w:i/>
      <w:iCs/>
    </w:rPr>
  </w:style>
  <w:style w:type="paragraph" w:styleId="StandardWeb">
    <w:name w:val="Normal (Web)"/>
    <w:basedOn w:val="Standard"/>
    <w:uiPriority w:val="99"/>
    <w:unhideWhenUsed/>
    <w:rsid w:val="00E61CEA"/>
    <w:pPr>
      <w:spacing w:before="100" w:beforeAutospacing="1" w:after="100" w:afterAutospacing="1"/>
    </w:pPr>
  </w:style>
  <w:style w:type="character" w:styleId="Hyperlink">
    <w:name w:val="Hyperlink"/>
    <w:basedOn w:val="Absatz-Standardschriftart"/>
    <w:uiPriority w:val="99"/>
    <w:unhideWhenUsed/>
    <w:rsid w:val="005B1DF3"/>
    <w:rPr>
      <w:color w:val="0000FF"/>
      <w:u w:val="single"/>
    </w:rPr>
  </w:style>
  <w:style w:type="character" w:styleId="Platzhaltertext">
    <w:name w:val="Placeholder Text"/>
    <w:basedOn w:val="Absatz-Standardschriftart"/>
    <w:uiPriority w:val="99"/>
    <w:rsid w:val="00C51FB5"/>
    <w:rPr>
      <w:color w:val="666666"/>
    </w:rPr>
  </w:style>
  <w:style w:type="paragraph" w:customStyle="1" w:styleId="Literaturverzeichnis1">
    <w:name w:val="Literaturverzeichnis1"/>
    <w:basedOn w:val="Standard"/>
    <w:rsid w:val="00C51FB5"/>
    <w:pPr>
      <w:spacing w:before="100" w:beforeAutospacing="1" w:after="100" w:afterAutospacing="1"/>
    </w:pPr>
    <w:rPr>
      <w:rFonts w:eastAsiaTheme="minorEastAsia"/>
    </w:rPr>
  </w:style>
  <w:style w:type="paragraph" w:styleId="Fuzeile">
    <w:name w:val="footer"/>
    <w:basedOn w:val="Standard"/>
    <w:link w:val="FuzeileZchn"/>
    <w:uiPriority w:val="99"/>
    <w:unhideWhenUsed/>
    <w:rsid w:val="00BA23CD"/>
    <w:pPr>
      <w:tabs>
        <w:tab w:val="center" w:pos="4536"/>
        <w:tab w:val="right" w:pos="9072"/>
      </w:tabs>
      <w:jc w:val="center"/>
    </w:pPr>
    <w:rPr>
      <w:rFonts w:eastAsiaTheme="minorEastAsia"/>
      <w:kern w:val="2"/>
      <w:sz w:val="22"/>
      <w:szCs w:val="22"/>
      <w:lang w:val="en-US" w:eastAsia="zh-CN"/>
    </w:rPr>
  </w:style>
  <w:style w:type="character" w:customStyle="1" w:styleId="FuzeileZchn">
    <w:name w:val="Fußzeile Zchn"/>
    <w:basedOn w:val="Absatz-Standardschriftart"/>
    <w:link w:val="Fuzeile"/>
    <w:uiPriority w:val="99"/>
    <w:rsid w:val="00BA23CD"/>
    <w:rPr>
      <w:rFonts w:ascii="Times New Roman" w:eastAsiaTheme="minorEastAsia" w:hAnsi="Times New Roman" w:cs="Times New Roman"/>
      <w:sz w:val="22"/>
      <w:szCs w:val="22"/>
      <w:lang w:val="en-US" w:eastAsia="zh-CN"/>
      <w14:ligatures w14:val="none"/>
    </w:rPr>
  </w:style>
  <w:style w:type="character" w:styleId="Seitenzahl">
    <w:name w:val="page number"/>
    <w:basedOn w:val="Absatz-Standardschriftart"/>
    <w:uiPriority w:val="99"/>
    <w:semiHidden/>
    <w:unhideWhenUsed/>
    <w:rsid w:val="00BA23CD"/>
  </w:style>
  <w:style w:type="table" w:styleId="EinfacheTabelle4">
    <w:name w:val="Plain Table 4"/>
    <w:basedOn w:val="NormaleTabelle"/>
    <w:uiPriority w:val="44"/>
    <w:rsid w:val="00BF340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rarbeitung">
    <w:name w:val="Revision"/>
    <w:hidden/>
    <w:uiPriority w:val="99"/>
    <w:semiHidden/>
    <w:rsid w:val="009D0123"/>
    <w:rPr>
      <w:rFonts w:ascii="Times New Roman" w:eastAsia="Times New Roman" w:hAnsi="Times New Roman" w:cs="Times New Roman"/>
      <w:kern w:val="0"/>
      <w:lang w:eastAsia="de-DE"/>
      <w14:ligatures w14:val="none"/>
    </w:rPr>
  </w:style>
  <w:style w:type="paragraph" w:customStyle="1" w:styleId="Literaturverzeichnis2">
    <w:name w:val="Literaturverzeichnis2"/>
    <w:basedOn w:val="Standard"/>
    <w:rsid w:val="001F3DE1"/>
    <w:pPr>
      <w:spacing w:before="100" w:beforeAutospacing="1" w:after="100" w:afterAutospacing="1"/>
    </w:pPr>
    <w:rPr>
      <w:rFonts w:eastAsiaTheme="minorEastAsia"/>
    </w:rPr>
  </w:style>
  <w:style w:type="character" w:styleId="NichtaufgelsteErwhnung">
    <w:name w:val="Unresolved Mention"/>
    <w:basedOn w:val="Absatz-Standardschriftart"/>
    <w:uiPriority w:val="99"/>
    <w:semiHidden/>
    <w:unhideWhenUsed/>
    <w:rsid w:val="00842664"/>
    <w:rPr>
      <w:color w:val="605E5C"/>
      <w:shd w:val="clear" w:color="auto" w:fill="E1DFDD"/>
    </w:rPr>
  </w:style>
  <w:style w:type="paragraph" w:customStyle="1" w:styleId="Literaturverzeichnis3">
    <w:name w:val="Literaturverzeichnis3"/>
    <w:basedOn w:val="Standard"/>
    <w:rsid w:val="009D47B0"/>
    <w:pPr>
      <w:spacing w:before="100" w:beforeAutospacing="1" w:after="100" w:afterAutospacing="1"/>
    </w:pPr>
    <w:rPr>
      <w:rFonts w:eastAsiaTheme="minorEastAsia"/>
    </w:rPr>
  </w:style>
  <w:style w:type="paragraph" w:customStyle="1" w:styleId="Literaturverzeichnis4">
    <w:name w:val="Literaturverzeichnis4"/>
    <w:basedOn w:val="Standard"/>
    <w:rsid w:val="00825030"/>
    <w:pPr>
      <w:spacing w:before="100" w:beforeAutospacing="1" w:after="100" w:afterAutospacing="1"/>
    </w:pPr>
    <w:rPr>
      <w:rFonts w:eastAsiaTheme="minorEastAsia"/>
    </w:rPr>
  </w:style>
  <w:style w:type="paragraph" w:customStyle="1" w:styleId="Literaturverzeichnis5">
    <w:name w:val="Literaturverzeichnis5"/>
    <w:basedOn w:val="Standard"/>
    <w:rsid w:val="00DC3FE1"/>
    <w:pPr>
      <w:spacing w:before="100" w:beforeAutospacing="1" w:after="100" w:afterAutospacing="1"/>
    </w:pPr>
    <w:rPr>
      <w:rFonts w:eastAsiaTheme="minorEastAsia"/>
    </w:rPr>
  </w:style>
  <w:style w:type="paragraph" w:customStyle="1" w:styleId="Literaturverzeichnis6">
    <w:name w:val="Literaturverzeichnis6"/>
    <w:basedOn w:val="Standard"/>
    <w:rsid w:val="006F682A"/>
    <w:pPr>
      <w:spacing w:before="100" w:beforeAutospacing="1" w:after="100" w:afterAutospacing="1"/>
    </w:pPr>
    <w:rPr>
      <w:rFonts w:eastAsiaTheme="minorEastAsia"/>
    </w:rPr>
  </w:style>
  <w:style w:type="paragraph" w:customStyle="1" w:styleId="Literaturverzeichnis7">
    <w:name w:val="Literaturverzeichnis7"/>
    <w:basedOn w:val="Standard"/>
    <w:rsid w:val="00906A91"/>
    <w:pPr>
      <w:spacing w:before="100" w:beforeAutospacing="1" w:after="100" w:afterAutospacing="1"/>
    </w:pPr>
    <w:rPr>
      <w:rFonts w:eastAsiaTheme="minorEastAsia"/>
    </w:rPr>
  </w:style>
  <w:style w:type="paragraph" w:customStyle="1" w:styleId="Literaturverzeichnis8">
    <w:name w:val="Literaturverzeichnis8"/>
    <w:basedOn w:val="Standard"/>
    <w:rsid w:val="00395812"/>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89626">
      <w:bodyDiv w:val="1"/>
      <w:marLeft w:val="0"/>
      <w:marRight w:val="0"/>
      <w:marTop w:val="0"/>
      <w:marBottom w:val="0"/>
      <w:divBdr>
        <w:top w:val="none" w:sz="0" w:space="0" w:color="auto"/>
        <w:left w:val="none" w:sz="0" w:space="0" w:color="auto"/>
        <w:bottom w:val="none" w:sz="0" w:space="0" w:color="auto"/>
        <w:right w:val="none" w:sz="0" w:space="0" w:color="auto"/>
      </w:divBdr>
    </w:div>
    <w:div w:id="104614780">
      <w:bodyDiv w:val="1"/>
      <w:marLeft w:val="0"/>
      <w:marRight w:val="0"/>
      <w:marTop w:val="0"/>
      <w:marBottom w:val="0"/>
      <w:divBdr>
        <w:top w:val="none" w:sz="0" w:space="0" w:color="auto"/>
        <w:left w:val="none" w:sz="0" w:space="0" w:color="auto"/>
        <w:bottom w:val="none" w:sz="0" w:space="0" w:color="auto"/>
        <w:right w:val="none" w:sz="0" w:space="0" w:color="auto"/>
      </w:divBdr>
    </w:div>
    <w:div w:id="318122455">
      <w:bodyDiv w:val="1"/>
      <w:marLeft w:val="0"/>
      <w:marRight w:val="0"/>
      <w:marTop w:val="0"/>
      <w:marBottom w:val="0"/>
      <w:divBdr>
        <w:top w:val="none" w:sz="0" w:space="0" w:color="auto"/>
        <w:left w:val="none" w:sz="0" w:space="0" w:color="auto"/>
        <w:bottom w:val="none" w:sz="0" w:space="0" w:color="auto"/>
        <w:right w:val="none" w:sz="0" w:space="0" w:color="auto"/>
      </w:divBdr>
    </w:div>
    <w:div w:id="334383418">
      <w:bodyDiv w:val="1"/>
      <w:marLeft w:val="0"/>
      <w:marRight w:val="0"/>
      <w:marTop w:val="0"/>
      <w:marBottom w:val="0"/>
      <w:divBdr>
        <w:top w:val="none" w:sz="0" w:space="0" w:color="auto"/>
        <w:left w:val="none" w:sz="0" w:space="0" w:color="auto"/>
        <w:bottom w:val="none" w:sz="0" w:space="0" w:color="auto"/>
        <w:right w:val="none" w:sz="0" w:space="0" w:color="auto"/>
      </w:divBdr>
    </w:div>
    <w:div w:id="398284885">
      <w:bodyDiv w:val="1"/>
      <w:marLeft w:val="0"/>
      <w:marRight w:val="0"/>
      <w:marTop w:val="0"/>
      <w:marBottom w:val="0"/>
      <w:divBdr>
        <w:top w:val="none" w:sz="0" w:space="0" w:color="auto"/>
        <w:left w:val="none" w:sz="0" w:space="0" w:color="auto"/>
        <w:bottom w:val="none" w:sz="0" w:space="0" w:color="auto"/>
        <w:right w:val="none" w:sz="0" w:space="0" w:color="auto"/>
      </w:divBdr>
    </w:div>
    <w:div w:id="435369577">
      <w:bodyDiv w:val="1"/>
      <w:marLeft w:val="0"/>
      <w:marRight w:val="0"/>
      <w:marTop w:val="0"/>
      <w:marBottom w:val="0"/>
      <w:divBdr>
        <w:top w:val="none" w:sz="0" w:space="0" w:color="auto"/>
        <w:left w:val="none" w:sz="0" w:space="0" w:color="auto"/>
        <w:bottom w:val="none" w:sz="0" w:space="0" w:color="auto"/>
        <w:right w:val="none" w:sz="0" w:space="0" w:color="auto"/>
      </w:divBdr>
    </w:div>
    <w:div w:id="507065274">
      <w:bodyDiv w:val="1"/>
      <w:marLeft w:val="0"/>
      <w:marRight w:val="0"/>
      <w:marTop w:val="0"/>
      <w:marBottom w:val="0"/>
      <w:divBdr>
        <w:top w:val="none" w:sz="0" w:space="0" w:color="auto"/>
        <w:left w:val="none" w:sz="0" w:space="0" w:color="auto"/>
        <w:bottom w:val="none" w:sz="0" w:space="0" w:color="auto"/>
        <w:right w:val="none" w:sz="0" w:space="0" w:color="auto"/>
      </w:divBdr>
    </w:div>
    <w:div w:id="523136039">
      <w:bodyDiv w:val="1"/>
      <w:marLeft w:val="0"/>
      <w:marRight w:val="0"/>
      <w:marTop w:val="0"/>
      <w:marBottom w:val="0"/>
      <w:divBdr>
        <w:top w:val="none" w:sz="0" w:space="0" w:color="auto"/>
        <w:left w:val="none" w:sz="0" w:space="0" w:color="auto"/>
        <w:bottom w:val="none" w:sz="0" w:space="0" w:color="auto"/>
        <w:right w:val="none" w:sz="0" w:space="0" w:color="auto"/>
      </w:divBdr>
    </w:div>
    <w:div w:id="561135488">
      <w:bodyDiv w:val="1"/>
      <w:marLeft w:val="0"/>
      <w:marRight w:val="0"/>
      <w:marTop w:val="0"/>
      <w:marBottom w:val="0"/>
      <w:divBdr>
        <w:top w:val="none" w:sz="0" w:space="0" w:color="auto"/>
        <w:left w:val="none" w:sz="0" w:space="0" w:color="auto"/>
        <w:bottom w:val="none" w:sz="0" w:space="0" w:color="auto"/>
        <w:right w:val="none" w:sz="0" w:space="0" w:color="auto"/>
      </w:divBdr>
    </w:div>
    <w:div w:id="601957374">
      <w:bodyDiv w:val="1"/>
      <w:marLeft w:val="0"/>
      <w:marRight w:val="0"/>
      <w:marTop w:val="0"/>
      <w:marBottom w:val="0"/>
      <w:divBdr>
        <w:top w:val="none" w:sz="0" w:space="0" w:color="auto"/>
        <w:left w:val="none" w:sz="0" w:space="0" w:color="auto"/>
        <w:bottom w:val="none" w:sz="0" w:space="0" w:color="auto"/>
        <w:right w:val="none" w:sz="0" w:space="0" w:color="auto"/>
      </w:divBdr>
    </w:div>
    <w:div w:id="655845654">
      <w:bodyDiv w:val="1"/>
      <w:marLeft w:val="0"/>
      <w:marRight w:val="0"/>
      <w:marTop w:val="0"/>
      <w:marBottom w:val="0"/>
      <w:divBdr>
        <w:top w:val="none" w:sz="0" w:space="0" w:color="auto"/>
        <w:left w:val="none" w:sz="0" w:space="0" w:color="auto"/>
        <w:bottom w:val="none" w:sz="0" w:space="0" w:color="auto"/>
        <w:right w:val="none" w:sz="0" w:space="0" w:color="auto"/>
      </w:divBdr>
    </w:div>
    <w:div w:id="699665319">
      <w:bodyDiv w:val="1"/>
      <w:marLeft w:val="0"/>
      <w:marRight w:val="0"/>
      <w:marTop w:val="0"/>
      <w:marBottom w:val="0"/>
      <w:divBdr>
        <w:top w:val="none" w:sz="0" w:space="0" w:color="auto"/>
        <w:left w:val="none" w:sz="0" w:space="0" w:color="auto"/>
        <w:bottom w:val="none" w:sz="0" w:space="0" w:color="auto"/>
        <w:right w:val="none" w:sz="0" w:space="0" w:color="auto"/>
      </w:divBdr>
    </w:div>
    <w:div w:id="703292794">
      <w:bodyDiv w:val="1"/>
      <w:marLeft w:val="0"/>
      <w:marRight w:val="0"/>
      <w:marTop w:val="0"/>
      <w:marBottom w:val="0"/>
      <w:divBdr>
        <w:top w:val="none" w:sz="0" w:space="0" w:color="auto"/>
        <w:left w:val="none" w:sz="0" w:space="0" w:color="auto"/>
        <w:bottom w:val="none" w:sz="0" w:space="0" w:color="auto"/>
        <w:right w:val="none" w:sz="0" w:space="0" w:color="auto"/>
      </w:divBdr>
    </w:div>
    <w:div w:id="762411551">
      <w:bodyDiv w:val="1"/>
      <w:marLeft w:val="0"/>
      <w:marRight w:val="0"/>
      <w:marTop w:val="0"/>
      <w:marBottom w:val="0"/>
      <w:divBdr>
        <w:top w:val="none" w:sz="0" w:space="0" w:color="auto"/>
        <w:left w:val="none" w:sz="0" w:space="0" w:color="auto"/>
        <w:bottom w:val="none" w:sz="0" w:space="0" w:color="auto"/>
        <w:right w:val="none" w:sz="0" w:space="0" w:color="auto"/>
      </w:divBdr>
    </w:div>
    <w:div w:id="779374494">
      <w:bodyDiv w:val="1"/>
      <w:marLeft w:val="0"/>
      <w:marRight w:val="0"/>
      <w:marTop w:val="0"/>
      <w:marBottom w:val="0"/>
      <w:divBdr>
        <w:top w:val="none" w:sz="0" w:space="0" w:color="auto"/>
        <w:left w:val="none" w:sz="0" w:space="0" w:color="auto"/>
        <w:bottom w:val="none" w:sz="0" w:space="0" w:color="auto"/>
        <w:right w:val="none" w:sz="0" w:space="0" w:color="auto"/>
      </w:divBdr>
    </w:div>
    <w:div w:id="795413924">
      <w:bodyDiv w:val="1"/>
      <w:marLeft w:val="0"/>
      <w:marRight w:val="0"/>
      <w:marTop w:val="0"/>
      <w:marBottom w:val="0"/>
      <w:divBdr>
        <w:top w:val="none" w:sz="0" w:space="0" w:color="auto"/>
        <w:left w:val="none" w:sz="0" w:space="0" w:color="auto"/>
        <w:bottom w:val="none" w:sz="0" w:space="0" w:color="auto"/>
        <w:right w:val="none" w:sz="0" w:space="0" w:color="auto"/>
      </w:divBdr>
    </w:div>
    <w:div w:id="817066650">
      <w:bodyDiv w:val="1"/>
      <w:marLeft w:val="0"/>
      <w:marRight w:val="0"/>
      <w:marTop w:val="0"/>
      <w:marBottom w:val="0"/>
      <w:divBdr>
        <w:top w:val="none" w:sz="0" w:space="0" w:color="auto"/>
        <w:left w:val="none" w:sz="0" w:space="0" w:color="auto"/>
        <w:bottom w:val="none" w:sz="0" w:space="0" w:color="auto"/>
        <w:right w:val="none" w:sz="0" w:space="0" w:color="auto"/>
      </w:divBdr>
    </w:div>
    <w:div w:id="835877028">
      <w:bodyDiv w:val="1"/>
      <w:marLeft w:val="0"/>
      <w:marRight w:val="0"/>
      <w:marTop w:val="0"/>
      <w:marBottom w:val="0"/>
      <w:divBdr>
        <w:top w:val="none" w:sz="0" w:space="0" w:color="auto"/>
        <w:left w:val="none" w:sz="0" w:space="0" w:color="auto"/>
        <w:bottom w:val="none" w:sz="0" w:space="0" w:color="auto"/>
        <w:right w:val="none" w:sz="0" w:space="0" w:color="auto"/>
      </w:divBdr>
    </w:div>
    <w:div w:id="836698848">
      <w:bodyDiv w:val="1"/>
      <w:marLeft w:val="0"/>
      <w:marRight w:val="0"/>
      <w:marTop w:val="0"/>
      <w:marBottom w:val="0"/>
      <w:divBdr>
        <w:top w:val="none" w:sz="0" w:space="0" w:color="auto"/>
        <w:left w:val="none" w:sz="0" w:space="0" w:color="auto"/>
        <w:bottom w:val="none" w:sz="0" w:space="0" w:color="auto"/>
        <w:right w:val="none" w:sz="0" w:space="0" w:color="auto"/>
      </w:divBdr>
    </w:div>
    <w:div w:id="842203430">
      <w:bodyDiv w:val="1"/>
      <w:marLeft w:val="0"/>
      <w:marRight w:val="0"/>
      <w:marTop w:val="0"/>
      <w:marBottom w:val="0"/>
      <w:divBdr>
        <w:top w:val="none" w:sz="0" w:space="0" w:color="auto"/>
        <w:left w:val="none" w:sz="0" w:space="0" w:color="auto"/>
        <w:bottom w:val="none" w:sz="0" w:space="0" w:color="auto"/>
        <w:right w:val="none" w:sz="0" w:space="0" w:color="auto"/>
      </w:divBdr>
    </w:div>
    <w:div w:id="859705543">
      <w:bodyDiv w:val="1"/>
      <w:marLeft w:val="0"/>
      <w:marRight w:val="0"/>
      <w:marTop w:val="0"/>
      <w:marBottom w:val="0"/>
      <w:divBdr>
        <w:top w:val="none" w:sz="0" w:space="0" w:color="auto"/>
        <w:left w:val="none" w:sz="0" w:space="0" w:color="auto"/>
        <w:bottom w:val="none" w:sz="0" w:space="0" w:color="auto"/>
        <w:right w:val="none" w:sz="0" w:space="0" w:color="auto"/>
      </w:divBdr>
    </w:div>
    <w:div w:id="871724474">
      <w:bodyDiv w:val="1"/>
      <w:marLeft w:val="0"/>
      <w:marRight w:val="0"/>
      <w:marTop w:val="0"/>
      <w:marBottom w:val="0"/>
      <w:divBdr>
        <w:top w:val="none" w:sz="0" w:space="0" w:color="auto"/>
        <w:left w:val="none" w:sz="0" w:space="0" w:color="auto"/>
        <w:bottom w:val="none" w:sz="0" w:space="0" w:color="auto"/>
        <w:right w:val="none" w:sz="0" w:space="0" w:color="auto"/>
      </w:divBdr>
    </w:div>
    <w:div w:id="1043024520">
      <w:bodyDiv w:val="1"/>
      <w:marLeft w:val="0"/>
      <w:marRight w:val="0"/>
      <w:marTop w:val="0"/>
      <w:marBottom w:val="0"/>
      <w:divBdr>
        <w:top w:val="none" w:sz="0" w:space="0" w:color="auto"/>
        <w:left w:val="none" w:sz="0" w:space="0" w:color="auto"/>
        <w:bottom w:val="none" w:sz="0" w:space="0" w:color="auto"/>
        <w:right w:val="none" w:sz="0" w:space="0" w:color="auto"/>
      </w:divBdr>
    </w:div>
    <w:div w:id="1103108540">
      <w:bodyDiv w:val="1"/>
      <w:marLeft w:val="0"/>
      <w:marRight w:val="0"/>
      <w:marTop w:val="0"/>
      <w:marBottom w:val="0"/>
      <w:divBdr>
        <w:top w:val="none" w:sz="0" w:space="0" w:color="auto"/>
        <w:left w:val="none" w:sz="0" w:space="0" w:color="auto"/>
        <w:bottom w:val="none" w:sz="0" w:space="0" w:color="auto"/>
        <w:right w:val="none" w:sz="0" w:space="0" w:color="auto"/>
      </w:divBdr>
    </w:div>
    <w:div w:id="1109618830">
      <w:bodyDiv w:val="1"/>
      <w:marLeft w:val="0"/>
      <w:marRight w:val="0"/>
      <w:marTop w:val="0"/>
      <w:marBottom w:val="0"/>
      <w:divBdr>
        <w:top w:val="none" w:sz="0" w:space="0" w:color="auto"/>
        <w:left w:val="none" w:sz="0" w:space="0" w:color="auto"/>
        <w:bottom w:val="none" w:sz="0" w:space="0" w:color="auto"/>
        <w:right w:val="none" w:sz="0" w:space="0" w:color="auto"/>
      </w:divBdr>
    </w:div>
    <w:div w:id="1231230075">
      <w:bodyDiv w:val="1"/>
      <w:marLeft w:val="0"/>
      <w:marRight w:val="0"/>
      <w:marTop w:val="0"/>
      <w:marBottom w:val="0"/>
      <w:divBdr>
        <w:top w:val="none" w:sz="0" w:space="0" w:color="auto"/>
        <w:left w:val="none" w:sz="0" w:space="0" w:color="auto"/>
        <w:bottom w:val="none" w:sz="0" w:space="0" w:color="auto"/>
        <w:right w:val="none" w:sz="0" w:space="0" w:color="auto"/>
      </w:divBdr>
    </w:div>
    <w:div w:id="1350908106">
      <w:bodyDiv w:val="1"/>
      <w:marLeft w:val="0"/>
      <w:marRight w:val="0"/>
      <w:marTop w:val="0"/>
      <w:marBottom w:val="0"/>
      <w:divBdr>
        <w:top w:val="none" w:sz="0" w:space="0" w:color="auto"/>
        <w:left w:val="none" w:sz="0" w:space="0" w:color="auto"/>
        <w:bottom w:val="none" w:sz="0" w:space="0" w:color="auto"/>
        <w:right w:val="none" w:sz="0" w:space="0" w:color="auto"/>
      </w:divBdr>
    </w:div>
    <w:div w:id="1373068602">
      <w:bodyDiv w:val="1"/>
      <w:marLeft w:val="0"/>
      <w:marRight w:val="0"/>
      <w:marTop w:val="0"/>
      <w:marBottom w:val="0"/>
      <w:divBdr>
        <w:top w:val="none" w:sz="0" w:space="0" w:color="auto"/>
        <w:left w:val="none" w:sz="0" w:space="0" w:color="auto"/>
        <w:bottom w:val="none" w:sz="0" w:space="0" w:color="auto"/>
        <w:right w:val="none" w:sz="0" w:space="0" w:color="auto"/>
      </w:divBdr>
    </w:div>
    <w:div w:id="1535574666">
      <w:bodyDiv w:val="1"/>
      <w:marLeft w:val="0"/>
      <w:marRight w:val="0"/>
      <w:marTop w:val="0"/>
      <w:marBottom w:val="0"/>
      <w:divBdr>
        <w:top w:val="none" w:sz="0" w:space="0" w:color="auto"/>
        <w:left w:val="none" w:sz="0" w:space="0" w:color="auto"/>
        <w:bottom w:val="none" w:sz="0" w:space="0" w:color="auto"/>
        <w:right w:val="none" w:sz="0" w:space="0" w:color="auto"/>
      </w:divBdr>
    </w:div>
    <w:div w:id="1665090523">
      <w:bodyDiv w:val="1"/>
      <w:marLeft w:val="0"/>
      <w:marRight w:val="0"/>
      <w:marTop w:val="0"/>
      <w:marBottom w:val="0"/>
      <w:divBdr>
        <w:top w:val="none" w:sz="0" w:space="0" w:color="auto"/>
        <w:left w:val="none" w:sz="0" w:space="0" w:color="auto"/>
        <w:bottom w:val="none" w:sz="0" w:space="0" w:color="auto"/>
        <w:right w:val="none" w:sz="0" w:space="0" w:color="auto"/>
      </w:divBdr>
    </w:div>
    <w:div w:id="1673223121">
      <w:bodyDiv w:val="1"/>
      <w:marLeft w:val="0"/>
      <w:marRight w:val="0"/>
      <w:marTop w:val="0"/>
      <w:marBottom w:val="0"/>
      <w:divBdr>
        <w:top w:val="none" w:sz="0" w:space="0" w:color="auto"/>
        <w:left w:val="none" w:sz="0" w:space="0" w:color="auto"/>
        <w:bottom w:val="none" w:sz="0" w:space="0" w:color="auto"/>
        <w:right w:val="none" w:sz="0" w:space="0" w:color="auto"/>
      </w:divBdr>
      <w:divsChild>
        <w:div w:id="42145960">
          <w:marLeft w:val="0"/>
          <w:marRight w:val="0"/>
          <w:marTop w:val="0"/>
          <w:marBottom w:val="0"/>
          <w:divBdr>
            <w:top w:val="none" w:sz="0" w:space="0" w:color="auto"/>
            <w:left w:val="none" w:sz="0" w:space="0" w:color="auto"/>
            <w:bottom w:val="none" w:sz="0" w:space="0" w:color="auto"/>
            <w:right w:val="none" w:sz="0" w:space="0" w:color="auto"/>
          </w:divBdr>
          <w:divsChild>
            <w:div w:id="1703481198">
              <w:marLeft w:val="0"/>
              <w:marRight w:val="0"/>
              <w:marTop w:val="0"/>
              <w:marBottom w:val="0"/>
              <w:divBdr>
                <w:top w:val="none" w:sz="0" w:space="0" w:color="auto"/>
                <w:left w:val="none" w:sz="0" w:space="0" w:color="auto"/>
                <w:bottom w:val="none" w:sz="0" w:space="0" w:color="auto"/>
                <w:right w:val="none" w:sz="0" w:space="0" w:color="auto"/>
              </w:divBdr>
            </w:div>
          </w:divsChild>
        </w:div>
        <w:div w:id="342249768">
          <w:marLeft w:val="0"/>
          <w:marRight w:val="0"/>
          <w:marTop w:val="0"/>
          <w:marBottom w:val="0"/>
          <w:divBdr>
            <w:top w:val="none" w:sz="0" w:space="0" w:color="auto"/>
            <w:left w:val="none" w:sz="0" w:space="0" w:color="auto"/>
            <w:bottom w:val="none" w:sz="0" w:space="0" w:color="auto"/>
            <w:right w:val="none" w:sz="0" w:space="0" w:color="auto"/>
          </w:divBdr>
          <w:divsChild>
            <w:div w:id="182362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801556">
      <w:bodyDiv w:val="1"/>
      <w:marLeft w:val="0"/>
      <w:marRight w:val="0"/>
      <w:marTop w:val="0"/>
      <w:marBottom w:val="0"/>
      <w:divBdr>
        <w:top w:val="none" w:sz="0" w:space="0" w:color="auto"/>
        <w:left w:val="none" w:sz="0" w:space="0" w:color="auto"/>
        <w:bottom w:val="none" w:sz="0" w:space="0" w:color="auto"/>
        <w:right w:val="none" w:sz="0" w:space="0" w:color="auto"/>
      </w:divBdr>
    </w:div>
    <w:div w:id="1854419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owerandsamplesize.com/Calculators/Compare-2-Mittel/2-Stichprobe-Nicht-Unterlegenheit-oder-%C3%9Cberlegenhei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177B5AE1-4C60-3949-B4E2-A6A6FA29AA27}"/>
      </w:docPartPr>
      <w:docPartBody>
        <w:p w:rsidR="00CE29AA" w:rsidRDefault="00B76983">
          <w:r w:rsidRPr="00766DE1">
            <w:rPr>
              <w:rStyle w:val="Platzhaltertext"/>
            </w:rPr>
            <w:t>Klicken oder tippen Sie hier, um Text einzugeben.</w:t>
          </w:r>
        </w:p>
      </w:docPartBody>
    </w:docPart>
    <w:docPart>
      <w:docPartPr>
        <w:name w:val="1E22E012CA665E4090B381537C6E04F7"/>
        <w:category>
          <w:name w:val="Allgemein"/>
          <w:gallery w:val="placeholder"/>
        </w:category>
        <w:types>
          <w:type w:val="bbPlcHdr"/>
        </w:types>
        <w:behaviors>
          <w:behavior w:val="content"/>
        </w:behaviors>
        <w:guid w:val="{C9502AB6-4605-EC42-9853-7623D9974E0B}"/>
      </w:docPartPr>
      <w:docPartBody>
        <w:p w:rsidR="009E5477" w:rsidRDefault="007707B8" w:rsidP="007707B8">
          <w:pPr>
            <w:pStyle w:val="1E22E012CA665E4090B381537C6E04F7"/>
          </w:pPr>
          <w:r w:rsidRPr="00205DF0">
            <w:rPr>
              <w:rStyle w:val="Platzhaltertext"/>
            </w:rPr>
            <w:t>Klicken oder tippen Sie hier, um Text einzugeben.</w:t>
          </w:r>
        </w:p>
      </w:docPartBody>
    </w:docPart>
    <w:docPart>
      <w:docPartPr>
        <w:name w:val="9A95DCB301B6DC4A80B2E1CB20F48D50"/>
        <w:category>
          <w:name w:val="Allgemein"/>
          <w:gallery w:val="placeholder"/>
        </w:category>
        <w:types>
          <w:type w:val="bbPlcHdr"/>
        </w:types>
        <w:behaviors>
          <w:behavior w:val="content"/>
        </w:behaviors>
        <w:guid w:val="{0455B39F-C396-624B-94EB-723E31E6F3CB}"/>
      </w:docPartPr>
      <w:docPartBody>
        <w:p w:rsidR="009E5477" w:rsidRDefault="007707B8" w:rsidP="007707B8">
          <w:pPr>
            <w:pStyle w:val="9A95DCB301B6DC4A80B2E1CB20F48D50"/>
          </w:pPr>
          <w:r w:rsidRPr="00766DE1">
            <w:rPr>
              <w:rStyle w:val="Platzhaltertext"/>
            </w:rPr>
            <w:t>Klicken oder tippen Sie hier, um Text einzugeben.</w:t>
          </w:r>
        </w:p>
      </w:docPartBody>
    </w:docPart>
    <w:docPart>
      <w:docPartPr>
        <w:name w:val="ECDA5A682EB79E449F6B4ADDC18B84AA"/>
        <w:category>
          <w:name w:val="Allgemein"/>
          <w:gallery w:val="placeholder"/>
        </w:category>
        <w:types>
          <w:type w:val="bbPlcHdr"/>
        </w:types>
        <w:behaviors>
          <w:behavior w:val="content"/>
        </w:behaviors>
        <w:guid w:val="{28ACCC62-157F-9641-9A76-834DB8D97449}"/>
      </w:docPartPr>
      <w:docPartBody>
        <w:p w:rsidR="009E5477" w:rsidRDefault="007707B8" w:rsidP="007707B8">
          <w:pPr>
            <w:pStyle w:val="ECDA5A682EB79E449F6B4ADDC18B84AA"/>
          </w:pPr>
          <w:r w:rsidRPr="00FB6BC5">
            <w:rPr>
              <w:rStyle w:val="Platzhaltertext"/>
            </w:rPr>
            <w:t>Klicken oder tippen Sie hier, um Text einzugeben.</w:t>
          </w:r>
        </w:p>
      </w:docPartBody>
    </w:docPart>
    <w:docPart>
      <w:docPartPr>
        <w:name w:val="CF082C6917F73D418E20B27A325BBE79"/>
        <w:category>
          <w:name w:val="Allgemein"/>
          <w:gallery w:val="placeholder"/>
        </w:category>
        <w:types>
          <w:type w:val="bbPlcHdr"/>
        </w:types>
        <w:behaviors>
          <w:behavior w:val="content"/>
        </w:behaviors>
        <w:guid w:val="{51485565-A953-EA4D-AF14-0D797A60E9F0}"/>
      </w:docPartPr>
      <w:docPartBody>
        <w:p w:rsidR="009E5477" w:rsidRDefault="007707B8" w:rsidP="007707B8">
          <w:pPr>
            <w:pStyle w:val="CF082C6917F73D418E20B27A325BBE79"/>
          </w:pPr>
          <w:r w:rsidRPr="00205DF0">
            <w:rPr>
              <w:rStyle w:val="Platzhaltertext"/>
            </w:rPr>
            <w:t>Klicken oder tippen Sie hier, um Text einzugeben.</w:t>
          </w:r>
        </w:p>
      </w:docPartBody>
    </w:docPart>
    <w:docPart>
      <w:docPartPr>
        <w:name w:val="A730CC2CEF417A4DAAB79940CABB269A"/>
        <w:category>
          <w:name w:val="Allgemein"/>
          <w:gallery w:val="placeholder"/>
        </w:category>
        <w:types>
          <w:type w:val="bbPlcHdr"/>
        </w:types>
        <w:behaviors>
          <w:behavior w:val="content"/>
        </w:behaviors>
        <w:guid w:val="{57F6B29E-962F-974A-B31E-B91D431D4778}"/>
      </w:docPartPr>
      <w:docPartBody>
        <w:p w:rsidR="009E5477" w:rsidRDefault="007707B8" w:rsidP="007707B8">
          <w:pPr>
            <w:pStyle w:val="A730CC2CEF417A4DAAB79940CABB269A"/>
          </w:pPr>
          <w:r w:rsidRPr="00205DF0">
            <w:rPr>
              <w:rStyle w:val="Platzhaltertext"/>
            </w:rPr>
            <w:t>Klicken oder tippen Sie hier, um Text einzugeben.</w:t>
          </w:r>
        </w:p>
      </w:docPartBody>
    </w:docPart>
    <w:docPart>
      <w:docPartPr>
        <w:name w:val="181236D211E7B945B34AF3699107F7A7"/>
        <w:category>
          <w:name w:val="Allgemein"/>
          <w:gallery w:val="placeholder"/>
        </w:category>
        <w:types>
          <w:type w:val="bbPlcHdr"/>
        </w:types>
        <w:behaviors>
          <w:behavior w:val="content"/>
        </w:behaviors>
        <w:guid w:val="{6BF1FF3A-D540-A043-82F0-BA5F76D36BFB}"/>
      </w:docPartPr>
      <w:docPartBody>
        <w:p w:rsidR="009E5477" w:rsidRDefault="007707B8" w:rsidP="007707B8">
          <w:pPr>
            <w:pStyle w:val="181236D211E7B945B34AF3699107F7A7"/>
          </w:pPr>
          <w:r w:rsidRPr="00205DF0">
            <w:rPr>
              <w:rStyle w:val="Platzhaltertext"/>
            </w:rPr>
            <w:t>Klicken oder tippen Sie hier, um Text einzugeben.</w:t>
          </w:r>
        </w:p>
      </w:docPartBody>
    </w:docPart>
    <w:docPart>
      <w:docPartPr>
        <w:name w:val="E60ED0F6188C7B4B865B6324EAF4B008"/>
        <w:category>
          <w:name w:val="Allgemein"/>
          <w:gallery w:val="placeholder"/>
        </w:category>
        <w:types>
          <w:type w:val="bbPlcHdr"/>
        </w:types>
        <w:behaviors>
          <w:behavior w:val="content"/>
        </w:behaviors>
        <w:guid w:val="{8F8EFAFB-1022-3941-BAB9-FC3EC0ABA2A6}"/>
      </w:docPartPr>
      <w:docPartBody>
        <w:p w:rsidR="009E5477" w:rsidRDefault="007707B8" w:rsidP="007707B8">
          <w:pPr>
            <w:pStyle w:val="E60ED0F6188C7B4B865B6324EAF4B008"/>
          </w:pPr>
          <w:r w:rsidRPr="00205DF0">
            <w:rPr>
              <w:rStyle w:val="Platzhaltertext"/>
            </w:rPr>
            <w:t>Klicken oder tippen Sie hier, um Text einzugeben.</w:t>
          </w:r>
        </w:p>
      </w:docPartBody>
    </w:docPart>
    <w:docPart>
      <w:docPartPr>
        <w:name w:val="73ED9E6E8A38984D90D7B38F627BA324"/>
        <w:category>
          <w:name w:val="Allgemein"/>
          <w:gallery w:val="placeholder"/>
        </w:category>
        <w:types>
          <w:type w:val="bbPlcHdr"/>
        </w:types>
        <w:behaviors>
          <w:behavior w:val="content"/>
        </w:behaviors>
        <w:guid w:val="{3675C2A8-AA2F-DF4B-AA53-BB24C77055EF}"/>
      </w:docPartPr>
      <w:docPartBody>
        <w:p w:rsidR="009E5477" w:rsidRDefault="007707B8" w:rsidP="007707B8">
          <w:pPr>
            <w:pStyle w:val="73ED9E6E8A38984D90D7B38F627BA324"/>
          </w:pPr>
          <w:r>
            <w:rPr>
              <w:rStyle w:val="Platzhaltertext"/>
            </w:rPr>
            <w:t>Klicken oder tippen Sie hier, um Text einzugeben.</w:t>
          </w:r>
        </w:p>
      </w:docPartBody>
    </w:docPart>
    <w:docPart>
      <w:docPartPr>
        <w:name w:val="90BCAD37F78FCA4B9091CF359A9D24D4"/>
        <w:category>
          <w:name w:val="Allgemein"/>
          <w:gallery w:val="placeholder"/>
        </w:category>
        <w:types>
          <w:type w:val="bbPlcHdr"/>
        </w:types>
        <w:behaviors>
          <w:behavior w:val="content"/>
        </w:behaviors>
        <w:guid w:val="{F2B746F7-299D-D945-991D-A748693D7285}"/>
      </w:docPartPr>
      <w:docPartBody>
        <w:p w:rsidR="009E5477" w:rsidRDefault="007707B8" w:rsidP="007707B8">
          <w:pPr>
            <w:pStyle w:val="90BCAD37F78FCA4B9091CF359A9D24D4"/>
          </w:pPr>
          <w:r>
            <w:rPr>
              <w:rStyle w:val="Platzhaltertext"/>
            </w:rPr>
            <w:t>Klicken oder tippen Sie hier, um Text einzugeben.</w:t>
          </w:r>
        </w:p>
      </w:docPartBody>
    </w:docPart>
    <w:docPart>
      <w:docPartPr>
        <w:name w:val="18D5101123B36E4BACEFF945A12CE3FE"/>
        <w:category>
          <w:name w:val="Allgemein"/>
          <w:gallery w:val="placeholder"/>
        </w:category>
        <w:types>
          <w:type w:val="bbPlcHdr"/>
        </w:types>
        <w:behaviors>
          <w:behavior w:val="content"/>
        </w:behaviors>
        <w:guid w:val="{37DD497F-0047-5243-911B-43513CEA4439}"/>
      </w:docPartPr>
      <w:docPartBody>
        <w:p w:rsidR="009E5477" w:rsidRDefault="007707B8" w:rsidP="007707B8">
          <w:pPr>
            <w:pStyle w:val="18D5101123B36E4BACEFF945A12CE3FE"/>
          </w:pPr>
          <w:r>
            <w:rPr>
              <w:rStyle w:val="Platzhaltertext"/>
            </w:rPr>
            <w:t>Klicken oder tippen Sie hier, um Text einzugeben.</w:t>
          </w:r>
        </w:p>
      </w:docPartBody>
    </w:docPart>
    <w:docPart>
      <w:docPartPr>
        <w:name w:val="99B7AC7DF0555844BE1363D24B930780"/>
        <w:category>
          <w:name w:val="Allgemein"/>
          <w:gallery w:val="placeholder"/>
        </w:category>
        <w:types>
          <w:type w:val="bbPlcHdr"/>
        </w:types>
        <w:behaviors>
          <w:behavior w:val="content"/>
        </w:behaviors>
        <w:guid w:val="{AA1DEF47-FC30-5647-BFE0-4B6D82EA0FBA}"/>
      </w:docPartPr>
      <w:docPartBody>
        <w:p w:rsidR="009E5477" w:rsidRDefault="007707B8" w:rsidP="007707B8">
          <w:pPr>
            <w:pStyle w:val="99B7AC7DF0555844BE1363D24B930780"/>
          </w:pPr>
          <w:r>
            <w:rPr>
              <w:rStyle w:val="Platzhaltertext"/>
            </w:rPr>
            <w:t>Klicken oder tippen Sie hier, um Text einzugeben.</w:t>
          </w:r>
        </w:p>
      </w:docPartBody>
    </w:docPart>
    <w:docPart>
      <w:docPartPr>
        <w:name w:val="3FF53F1446AAFC409055E723235CECD3"/>
        <w:category>
          <w:name w:val="Allgemein"/>
          <w:gallery w:val="placeholder"/>
        </w:category>
        <w:types>
          <w:type w:val="bbPlcHdr"/>
        </w:types>
        <w:behaviors>
          <w:behavior w:val="content"/>
        </w:behaviors>
        <w:guid w:val="{B50BA773-6E07-E143-B58E-5DF508CDE96B}"/>
      </w:docPartPr>
      <w:docPartBody>
        <w:p w:rsidR="009E5477" w:rsidRDefault="007707B8" w:rsidP="007707B8">
          <w:pPr>
            <w:pStyle w:val="3FF53F1446AAFC409055E723235CECD3"/>
          </w:pPr>
          <w:r>
            <w:rPr>
              <w:rStyle w:val="Platzhaltertext"/>
            </w:rPr>
            <w:t>Klicken oder tippen Sie hier, um Text einzugeben.</w:t>
          </w:r>
        </w:p>
      </w:docPartBody>
    </w:docPart>
    <w:docPart>
      <w:docPartPr>
        <w:name w:val="0B27F484D78B8942B41DB4646D7707BB"/>
        <w:category>
          <w:name w:val="Allgemein"/>
          <w:gallery w:val="placeholder"/>
        </w:category>
        <w:types>
          <w:type w:val="bbPlcHdr"/>
        </w:types>
        <w:behaviors>
          <w:behavior w:val="content"/>
        </w:behaviors>
        <w:guid w:val="{88FA4CBF-3CAC-8245-B3A0-B36007531751}"/>
      </w:docPartPr>
      <w:docPartBody>
        <w:p w:rsidR="009E5477" w:rsidRDefault="007707B8" w:rsidP="007707B8">
          <w:pPr>
            <w:pStyle w:val="0B27F484D78B8942B41DB4646D7707BB"/>
          </w:pPr>
          <w:r>
            <w:rPr>
              <w:rStyle w:val="Platzhaltertext"/>
            </w:rPr>
            <w:t>Klicken oder tippen Sie hier, um Text einzugeben.</w:t>
          </w:r>
        </w:p>
      </w:docPartBody>
    </w:docPart>
    <w:docPart>
      <w:docPartPr>
        <w:name w:val="5C4C2F2ED0061D4D922711DF2662AF12"/>
        <w:category>
          <w:name w:val="Allgemein"/>
          <w:gallery w:val="placeholder"/>
        </w:category>
        <w:types>
          <w:type w:val="bbPlcHdr"/>
        </w:types>
        <w:behaviors>
          <w:behavior w:val="content"/>
        </w:behaviors>
        <w:guid w:val="{5D55F76E-69EC-7042-96A5-ED71A9D4E502}"/>
      </w:docPartPr>
      <w:docPartBody>
        <w:p w:rsidR="006F25A7" w:rsidRDefault="000801D7" w:rsidP="000801D7">
          <w:pPr>
            <w:pStyle w:val="5C4C2F2ED0061D4D922711DF2662AF12"/>
          </w:pPr>
          <w:r w:rsidRPr="002B3BCF">
            <w:rPr>
              <w:rStyle w:val="Platzhaltertext"/>
            </w:rPr>
            <w:t>Klicken oder tippen Sie hier, um Text einzugeben.</w:t>
          </w:r>
        </w:p>
      </w:docPartBody>
    </w:docPart>
    <w:docPart>
      <w:docPartPr>
        <w:name w:val="0ECBAB2443CBD64192D0F1348F18A118"/>
        <w:category>
          <w:name w:val="Allgemein"/>
          <w:gallery w:val="placeholder"/>
        </w:category>
        <w:types>
          <w:type w:val="bbPlcHdr"/>
        </w:types>
        <w:behaviors>
          <w:behavior w:val="content"/>
        </w:behaviors>
        <w:guid w:val="{A3484186-82F8-874B-8B58-376DFAB3181F}"/>
      </w:docPartPr>
      <w:docPartBody>
        <w:p w:rsidR="006F25A7" w:rsidRDefault="000801D7" w:rsidP="000801D7">
          <w:pPr>
            <w:pStyle w:val="0ECBAB2443CBD64192D0F1348F18A118"/>
          </w:pPr>
          <w:r w:rsidRPr="002B3BCF">
            <w:rPr>
              <w:rStyle w:val="Platzhaltertext"/>
            </w:rPr>
            <w:t>Klicken oder tippen Sie hier, um Text einzugeben.</w:t>
          </w:r>
        </w:p>
      </w:docPartBody>
    </w:docPart>
    <w:docPart>
      <w:docPartPr>
        <w:name w:val="1B0DC70693E3054ABE4E43D8E7B5E40F"/>
        <w:category>
          <w:name w:val="Allgemein"/>
          <w:gallery w:val="placeholder"/>
        </w:category>
        <w:types>
          <w:type w:val="bbPlcHdr"/>
        </w:types>
        <w:behaviors>
          <w:behavior w:val="content"/>
        </w:behaviors>
        <w:guid w:val="{18F51F10-DAFA-B249-A58B-5BA110717B9A}"/>
      </w:docPartPr>
      <w:docPartBody>
        <w:p w:rsidR="006F25A7" w:rsidRDefault="000801D7" w:rsidP="000801D7">
          <w:pPr>
            <w:pStyle w:val="1B0DC70693E3054ABE4E43D8E7B5E40F"/>
          </w:pPr>
          <w:r w:rsidRPr="002B3BCF">
            <w:rPr>
              <w:rStyle w:val="Platzhaltertext"/>
            </w:rPr>
            <w:t>Klicken oder tippen Sie hier, um Text einzugeben.</w:t>
          </w:r>
        </w:p>
      </w:docPartBody>
    </w:docPart>
    <w:docPart>
      <w:docPartPr>
        <w:name w:val="8360D683948B074A9BAA5D7ECB7DE4FE"/>
        <w:category>
          <w:name w:val="Allgemein"/>
          <w:gallery w:val="placeholder"/>
        </w:category>
        <w:types>
          <w:type w:val="bbPlcHdr"/>
        </w:types>
        <w:behaviors>
          <w:behavior w:val="content"/>
        </w:behaviors>
        <w:guid w:val="{54E22C40-0ABB-454A-9B39-5667D64EA1B2}"/>
      </w:docPartPr>
      <w:docPartBody>
        <w:p w:rsidR="006F25A7" w:rsidRDefault="000801D7" w:rsidP="000801D7">
          <w:pPr>
            <w:pStyle w:val="8360D683948B074A9BAA5D7ECB7DE4FE"/>
          </w:pPr>
          <w:r w:rsidRPr="002B3BCF">
            <w:rPr>
              <w:rStyle w:val="Platzhaltertext"/>
            </w:rPr>
            <w:t>Klicken oder tippen Sie hier, um Text einzugeben.</w:t>
          </w:r>
        </w:p>
      </w:docPartBody>
    </w:docPart>
    <w:docPart>
      <w:docPartPr>
        <w:name w:val="2335FB0EE086E44AAE1AF77EB01624C2"/>
        <w:category>
          <w:name w:val="Allgemein"/>
          <w:gallery w:val="placeholder"/>
        </w:category>
        <w:types>
          <w:type w:val="bbPlcHdr"/>
        </w:types>
        <w:behaviors>
          <w:behavior w:val="content"/>
        </w:behaviors>
        <w:guid w:val="{99D0FD45-B610-2B4F-88CA-F10383FCBC2E}"/>
      </w:docPartPr>
      <w:docPartBody>
        <w:p w:rsidR="006F25A7" w:rsidRDefault="000801D7" w:rsidP="000801D7">
          <w:pPr>
            <w:pStyle w:val="2335FB0EE086E44AAE1AF77EB01624C2"/>
          </w:pPr>
          <w:r w:rsidRPr="002B3BCF">
            <w:rPr>
              <w:rStyle w:val="Platzhaltertext"/>
            </w:rPr>
            <w:t>Klicken oder tippen Sie hier, um Text einzugeben.</w:t>
          </w:r>
        </w:p>
      </w:docPartBody>
    </w:docPart>
    <w:docPart>
      <w:docPartPr>
        <w:name w:val="5CEA8FA805254C43BD1C14EF30FFC95C"/>
        <w:category>
          <w:name w:val="Allgemein"/>
          <w:gallery w:val="placeholder"/>
        </w:category>
        <w:types>
          <w:type w:val="bbPlcHdr"/>
        </w:types>
        <w:behaviors>
          <w:behavior w:val="content"/>
        </w:behaviors>
        <w:guid w:val="{4E09A457-18E5-DC4E-9791-1F7BCD787D6D}"/>
      </w:docPartPr>
      <w:docPartBody>
        <w:p w:rsidR="006F25A7" w:rsidRDefault="000801D7" w:rsidP="000801D7">
          <w:pPr>
            <w:pStyle w:val="5CEA8FA805254C43BD1C14EF30FFC95C"/>
          </w:pPr>
          <w:r w:rsidRPr="002B3BCF">
            <w:rPr>
              <w:rStyle w:val="Platzhaltertext"/>
            </w:rPr>
            <w:t>Klicken oder tippen Sie hier, um Text einzugeben.</w:t>
          </w:r>
        </w:p>
      </w:docPartBody>
    </w:docPart>
    <w:docPart>
      <w:docPartPr>
        <w:name w:val="737235E5E1AB6F4492B8BD088B93E4DE"/>
        <w:category>
          <w:name w:val="Allgemein"/>
          <w:gallery w:val="placeholder"/>
        </w:category>
        <w:types>
          <w:type w:val="bbPlcHdr"/>
        </w:types>
        <w:behaviors>
          <w:behavior w:val="content"/>
        </w:behaviors>
        <w:guid w:val="{2A4F03FA-0CDD-E442-B780-F3D70CE9C6E3}"/>
      </w:docPartPr>
      <w:docPartBody>
        <w:p w:rsidR="006F25A7" w:rsidRDefault="000801D7" w:rsidP="000801D7">
          <w:pPr>
            <w:pStyle w:val="737235E5E1AB6F4492B8BD088B93E4DE"/>
          </w:pPr>
          <w:r w:rsidRPr="002B3BCF">
            <w:rPr>
              <w:rStyle w:val="Platzhaltertext"/>
            </w:rPr>
            <w:t>Klicken oder tippen Sie hier, um Text einzugeben.</w:t>
          </w:r>
        </w:p>
      </w:docPartBody>
    </w:docPart>
    <w:docPart>
      <w:docPartPr>
        <w:name w:val="990F8D8E9EABC74FBF9339F843B0967A"/>
        <w:category>
          <w:name w:val="Allgemein"/>
          <w:gallery w:val="placeholder"/>
        </w:category>
        <w:types>
          <w:type w:val="bbPlcHdr"/>
        </w:types>
        <w:behaviors>
          <w:behavior w:val="content"/>
        </w:behaviors>
        <w:guid w:val="{F066895F-E76D-CB43-840A-CAE018F71EB9}"/>
      </w:docPartPr>
      <w:docPartBody>
        <w:p w:rsidR="006F25A7" w:rsidRDefault="000801D7" w:rsidP="000801D7">
          <w:pPr>
            <w:pStyle w:val="990F8D8E9EABC74FBF9339F843B0967A"/>
          </w:pPr>
          <w:r w:rsidRPr="002B3BCF">
            <w:rPr>
              <w:rStyle w:val="Platzhaltertext"/>
            </w:rPr>
            <w:t>Klicken oder tippen Sie hier, um Text einzugeben.</w:t>
          </w:r>
        </w:p>
      </w:docPartBody>
    </w:docPart>
    <w:docPart>
      <w:docPartPr>
        <w:name w:val="E6966E193009FC4590F9D6FA51DA73D9"/>
        <w:category>
          <w:name w:val="Allgemein"/>
          <w:gallery w:val="placeholder"/>
        </w:category>
        <w:types>
          <w:type w:val="bbPlcHdr"/>
        </w:types>
        <w:behaviors>
          <w:behavior w:val="content"/>
        </w:behaviors>
        <w:guid w:val="{571EC66C-7431-0347-AF4E-CEFB1285A14F}"/>
      </w:docPartPr>
      <w:docPartBody>
        <w:p w:rsidR="006F25A7" w:rsidRDefault="000801D7" w:rsidP="000801D7">
          <w:pPr>
            <w:pStyle w:val="E6966E193009FC4590F9D6FA51DA73D9"/>
          </w:pPr>
          <w:r w:rsidRPr="002B3BCF">
            <w:rPr>
              <w:rStyle w:val="Platzhaltertext"/>
            </w:rPr>
            <w:t>Klicken oder tippen Sie hier, um Text einzugeben.</w:t>
          </w:r>
        </w:p>
      </w:docPartBody>
    </w:docPart>
    <w:docPart>
      <w:docPartPr>
        <w:name w:val="6512388E4A1884498299BF22EE64691D"/>
        <w:category>
          <w:name w:val="Allgemein"/>
          <w:gallery w:val="placeholder"/>
        </w:category>
        <w:types>
          <w:type w:val="bbPlcHdr"/>
        </w:types>
        <w:behaviors>
          <w:behavior w:val="content"/>
        </w:behaviors>
        <w:guid w:val="{A0DBC807-8CFD-2A43-AA1F-5A278CE063AB}"/>
      </w:docPartPr>
      <w:docPartBody>
        <w:p w:rsidR="006F25A7" w:rsidRDefault="000801D7" w:rsidP="000801D7">
          <w:pPr>
            <w:pStyle w:val="6512388E4A1884498299BF22EE64691D"/>
          </w:pPr>
          <w:r w:rsidRPr="002B3BCF">
            <w:rPr>
              <w:rStyle w:val="Platzhaltertext"/>
            </w:rPr>
            <w:t>Klicken oder tippen Sie hier, um Text einzugeben.</w:t>
          </w:r>
        </w:p>
      </w:docPartBody>
    </w:docPart>
    <w:docPart>
      <w:docPartPr>
        <w:name w:val="39A39130C431BE41BE50CEBF25EC7ABB"/>
        <w:category>
          <w:name w:val="Allgemein"/>
          <w:gallery w:val="placeholder"/>
        </w:category>
        <w:types>
          <w:type w:val="bbPlcHdr"/>
        </w:types>
        <w:behaviors>
          <w:behavior w:val="content"/>
        </w:behaviors>
        <w:guid w:val="{CBE8441C-0A9D-5144-B6E5-C2138ED025DD}"/>
      </w:docPartPr>
      <w:docPartBody>
        <w:p w:rsidR="006F25A7" w:rsidRDefault="000801D7" w:rsidP="000801D7">
          <w:pPr>
            <w:pStyle w:val="39A39130C431BE41BE50CEBF25EC7ABB"/>
          </w:pPr>
          <w:r w:rsidRPr="002B3BCF">
            <w:rPr>
              <w:rStyle w:val="Platzhaltertext"/>
            </w:rPr>
            <w:t>Klicken oder tippen Sie hier, um Text einzugeben.</w:t>
          </w:r>
        </w:p>
      </w:docPartBody>
    </w:docPart>
    <w:docPart>
      <w:docPartPr>
        <w:name w:val="1EA0D10DD70C5B4987AA22386A2EFA18"/>
        <w:category>
          <w:name w:val="Allgemein"/>
          <w:gallery w:val="placeholder"/>
        </w:category>
        <w:types>
          <w:type w:val="bbPlcHdr"/>
        </w:types>
        <w:behaviors>
          <w:behavior w:val="content"/>
        </w:behaviors>
        <w:guid w:val="{41EB8E78-6172-8444-8A6D-2D26604F0703}"/>
      </w:docPartPr>
      <w:docPartBody>
        <w:p w:rsidR="006F25A7" w:rsidRDefault="000801D7" w:rsidP="000801D7">
          <w:pPr>
            <w:pStyle w:val="1EA0D10DD70C5B4987AA22386A2EFA18"/>
          </w:pPr>
          <w:r w:rsidRPr="00766DE1">
            <w:rPr>
              <w:rStyle w:val="Platzhaltertext"/>
            </w:rPr>
            <w:t>Klicken oder tippen Sie hier, um Text einzugeben.</w:t>
          </w:r>
        </w:p>
      </w:docPartBody>
    </w:docPart>
    <w:docPart>
      <w:docPartPr>
        <w:name w:val="C196406EBD49144289374188AFD41D66"/>
        <w:category>
          <w:name w:val="Allgemein"/>
          <w:gallery w:val="placeholder"/>
        </w:category>
        <w:types>
          <w:type w:val="bbPlcHdr"/>
        </w:types>
        <w:behaviors>
          <w:behavior w:val="content"/>
        </w:behaviors>
        <w:guid w:val="{7636D18C-90E9-7C42-B208-41CF575D635E}"/>
      </w:docPartPr>
      <w:docPartBody>
        <w:p w:rsidR="006F25A7" w:rsidRDefault="000801D7" w:rsidP="000801D7">
          <w:pPr>
            <w:pStyle w:val="C196406EBD49144289374188AFD41D66"/>
          </w:pPr>
          <w:r w:rsidRPr="002B3BCF">
            <w:rPr>
              <w:rStyle w:val="Platzhaltertext"/>
            </w:rPr>
            <w:t>Klicken oder tippen Sie hier, um Text einzugeben.</w:t>
          </w:r>
        </w:p>
      </w:docPartBody>
    </w:docPart>
    <w:docPart>
      <w:docPartPr>
        <w:name w:val="67E47D278B24A545B594D8BBAA320FE9"/>
        <w:category>
          <w:name w:val="Allgemein"/>
          <w:gallery w:val="placeholder"/>
        </w:category>
        <w:types>
          <w:type w:val="bbPlcHdr"/>
        </w:types>
        <w:behaviors>
          <w:behavior w:val="content"/>
        </w:behaviors>
        <w:guid w:val="{3E1E3C78-B768-D64B-B6A1-20E6B30F7A75}"/>
      </w:docPartPr>
      <w:docPartBody>
        <w:p w:rsidR="006F25A7" w:rsidRDefault="000801D7" w:rsidP="000801D7">
          <w:pPr>
            <w:pStyle w:val="67E47D278B24A545B594D8BBAA320FE9"/>
          </w:pPr>
          <w:r w:rsidRPr="00FB6BC5">
            <w:rPr>
              <w:rStyle w:val="Platzhaltertext"/>
            </w:rPr>
            <w:t>Klicken oder tippen Sie hier, um Text einzugeben.</w:t>
          </w:r>
        </w:p>
      </w:docPartBody>
    </w:docPart>
    <w:docPart>
      <w:docPartPr>
        <w:name w:val="8107E934CF98324A926317C8468EA21D"/>
        <w:category>
          <w:name w:val="Allgemein"/>
          <w:gallery w:val="placeholder"/>
        </w:category>
        <w:types>
          <w:type w:val="bbPlcHdr"/>
        </w:types>
        <w:behaviors>
          <w:behavior w:val="content"/>
        </w:behaviors>
        <w:guid w:val="{3683026D-2C81-ED47-B6C9-386B64740758}"/>
      </w:docPartPr>
      <w:docPartBody>
        <w:p w:rsidR="006F25A7" w:rsidRDefault="000801D7" w:rsidP="000801D7">
          <w:pPr>
            <w:pStyle w:val="8107E934CF98324A926317C8468EA21D"/>
          </w:pPr>
          <w:r w:rsidRPr="00FB6BC5">
            <w:rPr>
              <w:rStyle w:val="Platzhaltertext"/>
            </w:rPr>
            <w:t>Klicken oder tippen Sie hier, um Text einzugeben.</w:t>
          </w:r>
        </w:p>
      </w:docPartBody>
    </w:docPart>
    <w:docPart>
      <w:docPartPr>
        <w:name w:val="CE0C89583CC0574982A3AE8A218BF249"/>
        <w:category>
          <w:name w:val="Allgemein"/>
          <w:gallery w:val="placeholder"/>
        </w:category>
        <w:types>
          <w:type w:val="bbPlcHdr"/>
        </w:types>
        <w:behaviors>
          <w:behavior w:val="content"/>
        </w:behaviors>
        <w:guid w:val="{766278E6-F36D-9C4F-81A1-7FE19821E553}"/>
      </w:docPartPr>
      <w:docPartBody>
        <w:p w:rsidR="006F25A7" w:rsidRDefault="000801D7" w:rsidP="000801D7">
          <w:pPr>
            <w:pStyle w:val="CE0C89583CC0574982A3AE8A218BF249"/>
          </w:pPr>
          <w:r w:rsidRPr="00205DF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1"/>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F4D"/>
    <w:rsid w:val="00004F4D"/>
    <w:rsid w:val="00024843"/>
    <w:rsid w:val="00041B89"/>
    <w:rsid w:val="00041E3C"/>
    <w:rsid w:val="00041EC9"/>
    <w:rsid w:val="00071108"/>
    <w:rsid w:val="00080099"/>
    <w:rsid w:val="000801D7"/>
    <w:rsid w:val="000C1B81"/>
    <w:rsid w:val="000C1F14"/>
    <w:rsid w:val="001046B4"/>
    <w:rsid w:val="0011497A"/>
    <w:rsid w:val="00195C25"/>
    <w:rsid w:val="001C5F82"/>
    <w:rsid w:val="002152DC"/>
    <w:rsid w:val="00244E76"/>
    <w:rsid w:val="00286FF2"/>
    <w:rsid w:val="002963F8"/>
    <w:rsid w:val="00296A7B"/>
    <w:rsid w:val="002E0CBF"/>
    <w:rsid w:val="002E6C76"/>
    <w:rsid w:val="00316BDD"/>
    <w:rsid w:val="003273AA"/>
    <w:rsid w:val="00491332"/>
    <w:rsid w:val="004B1EAA"/>
    <w:rsid w:val="004B6802"/>
    <w:rsid w:val="004C1D6B"/>
    <w:rsid w:val="00577494"/>
    <w:rsid w:val="00620AC3"/>
    <w:rsid w:val="006D0C06"/>
    <w:rsid w:val="006E4D42"/>
    <w:rsid w:val="006F25A7"/>
    <w:rsid w:val="00716224"/>
    <w:rsid w:val="00736853"/>
    <w:rsid w:val="007707B8"/>
    <w:rsid w:val="0077121E"/>
    <w:rsid w:val="00786200"/>
    <w:rsid w:val="007A0664"/>
    <w:rsid w:val="007A36BA"/>
    <w:rsid w:val="007B2B94"/>
    <w:rsid w:val="00877E0C"/>
    <w:rsid w:val="008E7578"/>
    <w:rsid w:val="008F7659"/>
    <w:rsid w:val="00903454"/>
    <w:rsid w:val="00914702"/>
    <w:rsid w:val="009713D1"/>
    <w:rsid w:val="009E5477"/>
    <w:rsid w:val="00A91081"/>
    <w:rsid w:val="00AA2597"/>
    <w:rsid w:val="00AB7BAF"/>
    <w:rsid w:val="00B76983"/>
    <w:rsid w:val="00BF09BF"/>
    <w:rsid w:val="00CC735C"/>
    <w:rsid w:val="00CE29AA"/>
    <w:rsid w:val="00CF341F"/>
    <w:rsid w:val="00D05BDB"/>
    <w:rsid w:val="00DA7299"/>
    <w:rsid w:val="00DB5A2F"/>
    <w:rsid w:val="00DC1095"/>
    <w:rsid w:val="00DD3EA3"/>
    <w:rsid w:val="00E061A1"/>
    <w:rsid w:val="00E33958"/>
    <w:rsid w:val="00EB76B4"/>
    <w:rsid w:val="00EE155F"/>
    <w:rsid w:val="00FD6AC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rsid w:val="000801D7"/>
    <w:rPr>
      <w:color w:val="666666"/>
    </w:rPr>
  </w:style>
  <w:style w:type="paragraph" w:customStyle="1" w:styleId="5C4C2F2ED0061D4D922711DF2662AF12">
    <w:name w:val="5C4C2F2ED0061D4D922711DF2662AF12"/>
    <w:rsid w:val="000801D7"/>
  </w:style>
  <w:style w:type="paragraph" w:customStyle="1" w:styleId="0ECBAB2443CBD64192D0F1348F18A118">
    <w:name w:val="0ECBAB2443CBD64192D0F1348F18A118"/>
    <w:rsid w:val="000801D7"/>
  </w:style>
  <w:style w:type="paragraph" w:customStyle="1" w:styleId="1B0DC70693E3054ABE4E43D8E7B5E40F">
    <w:name w:val="1B0DC70693E3054ABE4E43D8E7B5E40F"/>
    <w:rsid w:val="000801D7"/>
  </w:style>
  <w:style w:type="paragraph" w:customStyle="1" w:styleId="8360D683948B074A9BAA5D7ECB7DE4FE">
    <w:name w:val="8360D683948B074A9BAA5D7ECB7DE4FE"/>
    <w:rsid w:val="000801D7"/>
  </w:style>
  <w:style w:type="paragraph" w:customStyle="1" w:styleId="2335FB0EE086E44AAE1AF77EB01624C2">
    <w:name w:val="2335FB0EE086E44AAE1AF77EB01624C2"/>
    <w:rsid w:val="000801D7"/>
  </w:style>
  <w:style w:type="paragraph" w:customStyle="1" w:styleId="5CEA8FA805254C43BD1C14EF30FFC95C">
    <w:name w:val="5CEA8FA805254C43BD1C14EF30FFC95C"/>
    <w:rsid w:val="000801D7"/>
  </w:style>
  <w:style w:type="paragraph" w:customStyle="1" w:styleId="737235E5E1AB6F4492B8BD088B93E4DE">
    <w:name w:val="737235E5E1AB6F4492B8BD088B93E4DE"/>
    <w:rsid w:val="000801D7"/>
  </w:style>
  <w:style w:type="paragraph" w:customStyle="1" w:styleId="990F8D8E9EABC74FBF9339F843B0967A">
    <w:name w:val="990F8D8E9EABC74FBF9339F843B0967A"/>
    <w:rsid w:val="000801D7"/>
  </w:style>
  <w:style w:type="paragraph" w:customStyle="1" w:styleId="E6966E193009FC4590F9D6FA51DA73D9">
    <w:name w:val="E6966E193009FC4590F9D6FA51DA73D9"/>
    <w:rsid w:val="000801D7"/>
  </w:style>
  <w:style w:type="paragraph" w:customStyle="1" w:styleId="6512388E4A1884498299BF22EE64691D">
    <w:name w:val="6512388E4A1884498299BF22EE64691D"/>
    <w:rsid w:val="000801D7"/>
  </w:style>
  <w:style w:type="paragraph" w:customStyle="1" w:styleId="39A39130C431BE41BE50CEBF25EC7ABB">
    <w:name w:val="39A39130C431BE41BE50CEBF25EC7ABB"/>
    <w:rsid w:val="000801D7"/>
  </w:style>
  <w:style w:type="paragraph" w:customStyle="1" w:styleId="1EA0D10DD70C5B4987AA22386A2EFA18">
    <w:name w:val="1EA0D10DD70C5B4987AA22386A2EFA18"/>
    <w:rsid w:val="000801D7"/>
  </w:style>
  <w:style w:type="paragraph" w:customStyle="1" w:styleId="C196406EBD49144289374188AFD41D66">
    <w:name w:val="C196406EBD49144289374188AFD41D66"/>
    <w:rsid w:val="000801D7"/>
  </w:style>
  <w:style w:type="paragraph" w:customStyle="1" w:styleId="67E47D278B24A545B594D8BBAA320FE9">
    <w:name w:val="67E47D278B24A545B594D8BBAA320FE9"/>
    <w:rsid w:val="000801D7"/>
  </w:style>
  <w:style w:type="paragraph" w:customStyle="1" w:styleId="8107E934CF98324A926317C8468EA21D">
    <w:name w:val="8107E934CF98324A926317C8468EA21D"/>
    <w:rsid w:val="000801D7"/>
  </w:style>
  <w:style w:type="paragraph" w:customStyle="1" w:styleId="1E22E012CA665E4090B381537C6E04F7">
    <w:name w:val="1E22E012CA665E4090B381537C6E04F7"/>
    <w:rsid w:val="007707B8"/>
  </w:style>
  <w:style w:type="paragraph" w:customStyle="1" w:styleId="9A95DCB301B6DC4A80B2E1CB20F48D50">
    <w:name w:val="9A95DCB301B6DC4A80B2E1CB20F48D50"/>
    <w:rsid w:val="007707B8"/>
  </w:style>
  <w:style w:type="paragraph" w:customStyle="1" w:styleId="ECDA5A682EB79E449F6B4ADDC18B84AA">
    <w:name w:val="ECDA5A682EB79E449F6B4ADDC18B84AA"/>
    <w:rsid w:val="007707B8"/>
  </w:style>
  <w:style w:type="paragraph" w:customStyle="1" w:styleId="CF082C6917F73D418E20B27A325BBE79">
    <w:name w:val="CF082C6917F73D418E20B27A325BBE79"/>
    <w:rsid w:val="007707B8"/>
  </w:style>
  <w:style w:type="paragraph" w:customStyle="1" w:styleId="A730CC2CEF417A4DAAB79940CABB269A">
    <w:name w:val="A730CC2CEF417A4DAAB79940CABB269A"/>
    <w:rsid w:val="007707B8"/>
  </w:style>
  <w:style w:type="paragraph" w:customStyle="1" w:styleId="181236D211E7B945B34AF3699107F7A7">
    <w:name w:val="181236D211E7B945B34AF3699107F7A7"/>
    <w:rsid w:val="007707B8"/>
  </w:style>
  <w:style w:type="paragraph" w:customStyle="1" w:styleId="E60ED0F6188C7B4B865B6324EAF4B008">
    <w:name w:val="E60ED0F6188C7B4B865B6324EAF4B008"/>
    <w:rsid w:val="007707B8"/>
  </w:style>
  <w:style w:type="paragraph" w:customStyle="1" w:styleId="73ED9E6E8A38984D90D7B38F627BA324">
    <w:name w:val="73ED9E6E8A38984D90D7B38F627BA324"/>
    <w:rsid w:val="007707B8"/>
  </w:style>
  <w:style w:type="paragraph" w:customStyle="1" w:styleId="90BCAD37F78FCA4B9091CF359A9D24D4">
    <w:name w:val="90BCAD37F78FCA4B9091CF359A9D24D4"/>
    <w:rsid w:val="007707B8"/>
  </w:style>
  <w:style w:type="paragraph" w:customStyle="1" w:styleId="18D5101123B36E4BACEFF945A12CE3FE">
    <w:name w:val="18D5101123B36E4BACEFF945A12CE3FE"/>
    <w:rsid w:val="007707B8"/>
  </w:style>
  <w:style w:type="paragraph" w:customStyle="1" w:styleId="99B7AC7DF0555844BE1363D24B930780">
    <w:name w:val="99B7AC7DF0555844BE1363D24B930780"/>
    <w:rsid w:val="007707B8"/>
  </w:style>
  <w:style w:type="paragraph" w:customStyle="1" w:styleId="3FF53F1446AAFC409055E723235CECD3">
    <w:name w:val="3FF53F1446AAFC409055E723235CECD3"/>
    <w:rsid w:val="007707B8"/>
  </w:style>
  <w:style w:type="paragraph" w:customStyle="1" w:styleId="0B27F484D78B8942B41DB4646D7707BB">
    <w:name w:val="0B27F484D78B8942B41DB4646D7707BB"/>
    <w:rsid w:val="007707B8"/>
  </w:style>
  <w:style w:type="paragraph" w:customStyle="1" w:styleId="CE0C89583CC0574982A3AE8A218BF249">
    <w:name w:val="CE0C89583CC0574982A3AE8A218BF249"/>
    <w:rsid w:val="000801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57A93B7-D499-7145-8CC1-BDDBE37D3871}">
  <we:reference id="wa104380917" version="1.0.1.0" store="de-DE" storeType="OMEX"/>
  <we:alternateReferences>
    <we:reference id="wa104380917" version="1.0.1.0" store="WA104380917"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1177FA-85FD-4643-88F4-733B4B0D3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7875</Words>
  <Characters>49617</Characters>
  <Application>Microsoft Office Word</Application>
  <DocSecurity>0</DocSecurity>
  <Lines>413</Lines>
  <Paragraphs>114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Köglsperger</dc:creator>
  <cp:keywords/>
  <dc:description/>
  <cp:lastModifiedBy>Thomas Köglsperger</cp:lastModifiedBy>
  <cp:revision>53</cp:revision>
  <dcterms:created xsi:type="dcterms:W3CDTF">2025-04-30T05:44:00Z</dcterms:created>
  <dcterms:modified xsi:type="dcterms:W3CDTF">2026-05-26T18:08:00Z</dcterms:modified>
</cp:coreProperties>
</file>