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76B3A" w14:textId="77777777" w:rsidR="00B8160C" w:rsidRDefault="00000000">
      <w:pPr>
        <w:pStyle w:val="Title"/>
      </w:pPr>
      <w:r>
        <w:t>Supplementary Materials</w:t>
      </w:r>
    </w:p>
    <w:p w14:paraId="54A75D7D" w14:textId="77777777" w:rsidR="00BB377E" w:rsidRPr="00BB377E" w:rsidRDefault="00BB377E" w:rsidP="00BB377E">
      <w:pPr>
        <w:pStyle w:val="NormalWeb"/>
        <w:jc w:val="center"/>
        <w:rPr>
          <w:i/>
          <w:iCs/>
        </w:rPr>
      </w:pPr>
      <w:r w:rsidRPr="00BB377E">
        <w:rPr>
          <w:i/>
          <w:iCs/>
        </w:rPr>
        <w:t>Radiological Severity, Not Immunological Status, Drives Conservative Management Failure in Acute Diverticulitis: A Multicenter Latin American Cohort Study</w:t>
      </w:r>
    </w:p>
    <w:p w14:paraId="63F2EDC9" w14:textId="77777777" w:rsidR="00B8160C" w:rsidRDefault="00000000">
      <w:pPr>
        <w:pStyle w:val="Heading1"/>
      </w:pPr>
      <w:r>
        <w:t>Supplementary Figure S1. Study Flow Diagram (STROBE)</w:t>
      </w:r>
    </w:p>
    <w:p w14:paraId="79992F4D" w14:textId="77777777" w:rsidR="00B8160C" w:rsidRDefault="00000000">
      <w:pPr>
        <w:spacing w:after="240"/>
      </w:pPr>
      <w:r>
        <w:t>The study flow diagram illustrates patient selection and allocation according to STROBE guidelines for observational studies.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200" w:type="dxa"/>
          <w:bottom w:w="100" w:type="dxa"/>
          <w:right w:w="200" w:type="dxa"/>
        </w:tblCellMar>
        <w:tblLook w:val="04A0" w:firstRow="1" w:lastRow="0" w:firstColumn="1" w:lastColumn="0" w:noHBand="0" w:noVBand="1"/>
      </w:tblPr>
      <w:tblGrid>
        <w:gridCol w:w="4000"/>
        <w:gridCol w:w="4000"/>
      </w:tblGrid>
      <w:tr w:rsidR="00B8160C" w14:paraId="3A6F8DB7" w14:textId="77777777">
        <w:tc>
          <w:tcPr>
            <w:tcW w:w="8000" w:type="dxa"/>
            <w:gridSpan w:val="2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7FAFC"/>
          </w:tcPr>
          <w:p w14:paraId="04B8A3C6" w14:textId="77777777" w:rsidR="00B8160C" w:rsidRDefault="00000000">
            <w:pPr>
              <w:spacing w:before="200" w:after="200"/>
              <w:jc w:val="center"/>
            </w:pPr>
            <w:r>
              <w:rPr>
                <w:sz w:val="22"/>
                <w:szCs w:val="22"/>
              </w:rPr>
              <w:t>Patients assessed for eligibility (n = 215)</w:t>
            </w:r>
          </w:p>
        </w:tc>
      </w:tr>
      <w:tr w:rsidR="00B8160C" w14:paraId="612C7136" w14:textId="77777777">
        <w:tc>
          <w:tcPr>
            <w:tcW w:w="8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C7474" w14:textId="77777777" w:rsidR="00B8160C" w:rsidRDefault="00000000">
            <w:pPr>
              <w:jc w:val="center"/>
            </w:pPr>
            <w:r>
              <w:rPr>
                <w:sz w:val="28"/>
                <w:szCs w:val="28"/>
              </w:rPr>
              <w:t>↓</w:t>
            </w:r>
          </w:p>
        </w:tc>
      </w:tr>
      <w:tr w:rsidR="00B8160C" w14:paraId="6F21ECF0" w14:textId="77777777">
        <w:tc>
          <w:tcPr>
            <w:tcW w:w="8000" w:type="dxa"/>
            <w:gridSpan w:val="2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FF5F5"/>
          </w:tcPr>
          <w:p w14:paraId="0100141D" w14:textId="77777777" w:rsidR="00B8160C" w:rsidRDefault="00000000">
            <w:pPr>
              <w:spacing w:before="150" w:after="100"/>
              <w:jc w:val="center"/>
            </w:pPr>
            <w:r>
              <w:rPr>
                <w:b/>
                <w:bCs/>
                <w:sz w:val="22"/>
                <w:szCs w:val="22"/>
              </w:rPr>
              <w:t>Excluded (n = 45)</w:t>
            </w:r>
          </w:p>
          <w:p w14:paraId="7B105ACC" w14:textId="77777777" w:rsidR="00B8160C" w:rsidRDefault="00000000">
            <w:pPr>
              <w:spacing w:before="100" w:after="50"/>
              <w:ind w:left="400"/>
            </w:pPr>
            <w:r>
              <w:rPr>
                <w:sz w:val="20"/>
                <w:szCs w:val="20"/>
              </w:rPr>
              <w:t xml:space="preserve">• </w:t>
            </w:r>
            <w:proofErr w:type="spellStart"/>
            <w:r>
              <w:rPr>
                <w:sz w:val="20"/>
                <w:szCs w:val="20"/>
              </w:rPr>
              <w:t>Colovesical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colovaginal</w:t>
            </w:r>
            <w:proofErr w:type="spellEnd"/>
            <w:r>
              <w:rPr>
                <w:sz w:val="20"/>
                <w:szCs w:val="20"/>
              </w:rPr>
              <w:t xml:space="preserve"> fistula: n = 40</w:t>
            </w:r>
          </w:p>
          <w:p w14:paraId="3D784224" w14:textId="77777777" w:rsidR="00B8160C" w:rsidRDefault="00000000">
            <w:pPr>
              <w:spacing w:after="50"/>
              <w:ind w:left="400"/>
            </w:pPr>
            <w:r>
              <w:rPr>
                <w:sz w:val="20"/>
                <w:szCs w:val="20"/>
              </w:rPr>
              <w:t>• Mechanical obstruction: n = 3</w:t>
            </w:r>
          </w:p>
          <w:p w14:paraId="498E3206" w14:textId="77777777" w:rsidR="00B8160C" w:rsidRDefault="00000000">
            <w:pPr>
              <w:spacing w:after="150"/>
              <w:ind w:left="400"/>
            </w:pPr>
            <w:r>
              <w:rPr>
                <w:sz w:val="20"/>
                <w:szCs w:val="20"/>
              </w:rPr>
              <w:t xml:space="preserve">• Diverticular </w:t>
            </w:r>
            <w:proofErr w:type="spellStart"/>
            <w:r>
              <w:rPr>
                <w:sz w:val="20"/>
                <w:szCs w:val="20"/>
              </w:rPr>
              <w:t>hemorrhage</w:t>
            </w:r>
            <w:proofErr w:type="spellEnd"/>
            <w:r>
              <w:rPr>
                <w:sz w:val="20"/>
                <w:szCs w:val="20"/>
              </w:rPr>
              <w:t>: n = 2</w:t>
            </w:r>
          </w:p>
        </w:tc>
      </w:tr>
      <w:tr w:rsidR="00B8160C" w14:paraId="20B01D9D" w14:textId="77777777">
        <w:tc>
          <w:tcPr>
            <w:tcW w:w="8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BAE73" w14:textId="77777777" w:rsidR="00B8160C" w:rsidRDefault="00000000">
            <w:pPr>
              <w:jc w:val="center"/>
            </w:pPr>
            <w:r>
              <w:rPr>
                <w:sz w:val="28"/>
                <w:szCs w:val="28"/>
              </w:rPr>
              <w:t>↓</w:t>
            </w:r>
          </w:p>
        </w:tc>
      </w:tr>
      <w:tr w:rsidR="00B8160C" w14:paraId="2C139910" w14:textId="77777777">
        <w:tc>
          <w:tcPr>
            <w:tcW w:w="8000" w:type="dxa"/>
            <w:gridSpan w:val="2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0FFF4"/>
          </w:tcPr>
          <w:p w14:paraId="1F6CCD7B" w14:textId="77777777" w:rsidR="00B8160C" w:rsidRDefault="00000000">
            <w:pPr>
              <w:spacing w:before="200" w:after="200"/>
              <w:jc w:val="center"/>
            </w:pPr>
            <w:r>
              <w:rPr>
                <w:b/>
                <w:bCs/>
                <w:sz w:val="22"/>
                <w:szCs w:val="22"/>
              </w:rPr>
              <w:t>Final cohort included in analysis (n = 170)</w:t>
            </w:r>
          </w:p>
        </w:tc>
      </w:tr>
      <w:tr w:rsidR="00B8160C" w14:paraId="6BAA1020" w14:textId="77777777">
        <w:tc>
          <w:tcPr>
            <w:tcW w:w="8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3C931" w14:textId="77777777" w:rsidR="00B8160C" w:rsidRDefault="00000000">
            <w:pPr>
              <w:jc w:val="center"/>
            </w:pPr>
            <w:r>
              <w:rPr>
                <w:sz w:val="28"/>
                <w:szCs w:val="28"/>
              </w:rPr>
              <w:t>↓</w:t>
            </w:r>
          </w:p>
        </w:tc>
      </w:tr>
      <w:tr w:rsidR="00B8160C" w14:paraId="7B166076" w14:textId="77777777">
        <w:tc>
          <w:tcPr>
            <w:tcW w:w="40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BF8FF"/>
          </w:tcPr>
          <w:p w14:paraId="763985B8" w14:textId="77777777" w:rsidR="00B8160C" w:rsidRDefault="00000000">
            <w:pPr>
              <w:spacing w:before="150" w:after="100"/>
              <w:jc w:val="center"/>
            </w:pPr>
            <w:r>
              <w:rPr>
                <w:b/>
                <w:bCs/>
                <w:sz w:val="22"/>
                <w:szCs w:val="22"/>
              </w:rPr>
              <w:t>Initial Conservative Management</w:t>
            </w:r>
          </w:p>
          <w:p w14:paraId="17CBEBD7" w14:textId="77777777" w:rsidR="00B8160C" w:rsidRDefault="00000000">
            <w:pPr>
              <w:spacing w:after="100"/>
              <w:jc w:val="center"/>
            </w:pPr>
            <w:r>
              <w:rPr>
                <w:sz w:val="22"/>
                <w:szCs w:val="22"/>
              </w:rPr>
              <w:t>n = 134 (78.8%)</w:t>
            </w:r>
          </w:p>
          <w:p w14:paraId="052364A9" w14:textId="77777777" w:rsidR="00B8160C" w:rsidRDefault="00000000">
            <w:pPr>
              <w:spacing w:before="100" w:after="50"/>
              <w:jc w:val="center"/>
            </w:pPr>
            <w:r>
              <w:rPr>
                <w:color w:val="22543D"/>
                <w:sz w:val="20"/>
                <w:szCs w:val="20"/>
              </w:rPr>
              <w:t>Treatment Success: n = 98 (73.1%)</w:t>
            </w:r>
          </w:p>
          <w:p w14:paraId="39D95ACC" w14:textId="77777777" w:rsidR="00B8160C" w:rsidRDefault="00000000">
            <w:pPr>
              <w:spacing w:after="150"/>
              <w:jc w:val="center"/>
            </w:pPr>
            <w:r>
              <w:rPr>
                <w:color w:val="9B2C2C"/>
                <w:sz w:val="20"/>
                <w:szCs w:val="20"/>
              </w:rPr>
              <w:t>Treatment Failure: n = 36 (26.9%)</w:t>
            </w:r>
          </w:p>
        </w:tc>
        <w:tc>
          <w:tcPr>
            <w:tcW w:w="40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AF5FF"/>
          </w:tcPr>
          <w:p w14:paraId="627D0ED0" w14:textId="77777777" w:rsidR="00B8160C" w:rsidRDefault="00000000">
            <w:pPr>
              <w:spacing w:before="150" w:after="100"/>
              <w:jc w:val="center"/>
            </w:pPr>
            <w:r>
              <w:rPr>
                <w:b/>
                <w:bCs/>
                <w:sz w:val="22"/>
                <w:szCs w:val="22"/>
              </w:rPr>
              <w:t>Initial Surgical Management</w:t>
            </w:r>
          </w:p>
          <w:p w14:paraId="72AE1F12" w14:textId="77777777" w:rsidR="00B8160C" w:rsidRDefault="00000000">
            <w:pPr>
              <w:spacing w:after="150"/>
              <w:jc w:val="center"/>
            </w:pPr>
            <w:r>
              <w:rPr>
                <w:sz w:val="22"/>
                <w:szCs w:val="22"/>
              </w:rPr>
              <w:t>n = 36 (21.2%)</w:t>
            </w:r>
          </w:p>
          <w:p w14:paraId="1CEAE9C1" w14:textId="77777777" w:rsidR="00B8160C" w:rsidRDefault="00000000">
            <w:pPr>
              <w:spacing w:before="50"/>
              <w:jc w:val="center"/>
            </w:pPr>
            <w:r>
              <w:rPr>
                <w:i/>
                <w:iCs/>
                <w:sz w:val="20"/>
                <w:szCs w:val="20"/>
              </w:rPr>
              <w:t>(Excluded from primary analysis)</w:t>
            </w:r>
          </w:p>
        </w:tc>
      </w:tr>
    </w:tbl>
    <w:p w14:paraId="247F766C" w14:textId="77777777" w:rsidR="00B8160C" w:rsidRDefault="00000000">
      <w:pPr>
        <w:spacing w:before="240" w:after="480"/>
      </w:pPr>
      <w:r>
        <w:rPr>
          <w:i/>
          <w:iCs/>
          <w:sz w:val="20"/>
          <w:szCs w:val="20"/>
        </w:rPr>
        <w:t>Flow diagram based on STROBE guidelines. Primary analysis focused on the 134 patients with initial conservative management.</w:t>
      </w:r>
    </w:p>
    <w:p w14:paraId="48EEC1C2" w14:textId="77777777" w:rsidR="00B8160C" w:rsidRDefault="00000000">
      <w:pPr>
        <w:pStyle w:val="Heading1"/>
      </w:pPr>
      <w:r>
        <w:t>Supplementary Table S1. Assessment of Potential Bias by Indication</w:t>
      </w:r>
    </w:p>
    <w:p w14:paraId="0A8C15FB" w14:textId="77777777" w:rsidR="00B8160C" w:rsidRDefault="00000000">
      <w:pPr>
        <w:spacing w:after="240"/>
      </w:pPr>
      <w:r>
        <w:t>Comparison of baseline characteristics between patients selected for initial conservative management versus initial surgical management.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457"/>
        <w:gridCol w:w="2183"/>
        <w:gridCol w:w="2174"/>
        <w:gridCol w:w="1192"/>
      </w:tblGrid>
      <w:tr w:rsidR="00B8160C" w14:paraId="29683C2F" w14:textId="77777777">
        <w:trPr>
          <w:tblHeader/>
        </w:trPr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3B34043E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559391FE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Conservative (n=134)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1954A474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Surgery (n=36)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5F35AE2F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B8160C" w14:paraId="6CE8C218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ED99B43" w14:textId="77777777" w:rsidR="00B8160C" w:rsidRDefault="00000000">
            <w:r>
              <w:rPr>
                <w:sz w:val="20"/>
                <w:szCs w:val="20"/>
              </w:rPr>
              <w:t>Age, years, mean ± SD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D26180F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60.2 ± 12.7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5975AC33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60.8 ± 13.4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25BF593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0.812</w:t>
            </w:r>
          </w:p>
        </w:tc>
      </w:tr>
      <w:tr w:rsidR="00B8160C" w14:paraId="6B2D21BE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386B0DAD" w14:textId="77777777" w:rsidR="00B8160C" w:rsidRDefault="00000000">
            <w:r>
              <w:rPr>
                <w:sz w:val="20"/>
                <w:szCs w:val="20"/>
              </w:rPr>
              <w:t>Male sex, n (%)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DF88288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77 (57.5%)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1B48FB2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21 (58.3%)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6F975E8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1.000</w:t>
            </w:r>
          </w:p>
        </w:tc>
      </w:tr>
      <w:tr w:rsidR="00B8160C" w14:paraId="2855FEA2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3D745568" w14:textId="77777777" w:rsidR="00B8160C" w:rsidRDefault="00000000">
            <w:r>
              <w:rPr>
                <w:b/>
                <w:bCs/>
                <w:sz w:val="20"/>
                <w:szCs w:val="20"/>
              </w:rPr>
              <w:t>Hinchey classification, n (%)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32FD5977" w14:textId="77777777" w:rsidR="00B8160C" w:rsidRDefault="00B8160C"/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3C5DE62C" w14:textId="77777777" w:rsidR="00B8160C" w:rsidRDefault="00B8160C"/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9540BCF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B8160C" w14:paraId="3E798C91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06165F0D" w14:textId="77777777" w:rsidR="00B8160C" w:rsidRDefault="00000000">
            <w:r>
              <w:rPr>
                <w:sz w:val="20"/>
                <w:szCs w:val="20"/>
              </w:rPr>
              <w:lastRenderedPageBreak/>
              <w:t xml:space="preserve">    IA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2349332A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68 (50.7%)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A3CAA00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1 (2.8%)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4529061" w14:textId="77777777" w:rsidR="00B8160C" w:rsidRDefault="00B8160C"/>
        </w:tc>
      </w:tr>
      <w:tr w:rsidR="00B8160C" w14:paraId="01CF189D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58125A69" w14:textId="77777777" w:rsidR="00B8160C" w:rsidRDefault="00000000">
            <w:r>
              <w:rPr>
                <w:sz w:val="20"/>
                <w:szCs w:val="20"/>
              </w:rPr>
              <w:t xml:space="preserve">    IB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53234FC6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35 (26.1%)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0CB852C6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7 (19.4%)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64C225D" w14:textId="77777777" w:rsidR="00B8160C" w:rsidRDefault="00B8160C"/>
        </w:tc>
      </w:tr>
      <w:tr w:rsidR="00B8160C" w14:paraId="22248C90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00EFF5D0" w14:textId="77777777" w:rsidR="00B8160C" w:rsidRDefault="00000000">
            <w:r>
              <w:rPr>
                <w:sz w:val="20"/>
                <w:szCs w:val="20"/>
              </w:rPr>
              <w:t xml:space="preserve">    II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0B5D794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22 (16.4%)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2B1BF6EB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0 (0.0%)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6ADC57E3" w14:textId="77777777" w:rsidR="00B8160C" w:rsidRDefault="00B8160C"/>
        </w:tc>
      </w:tr>
      <w:tr w:rsidR="00B8160C" w14:paraId="31E2B52C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6F3135C5" w14:textId="77777777" w:rsidR="00B8160C" w:rsidRDefault="00000000">
            <w:r>
              <w:rPr>
                <w:sz w:val="20"/>
                <w:szCs w:val="20"/>
              </w:rPr>
              <w:t xml:space="preserve">    III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DE8AF04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6 (4.5%)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28F0E3B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28 (77.8%)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521EF35" w14:textId="77777777" w:rsidR="00B8160C" w:rsidRDefault="00B8160C"/>
        </w:tc>
      </w:tr>
      <w:tr w:rsidR="00B8160C" w14:paraId="263B47C7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614D28A2" w14:textId="77777777" w:rsidR="00B8160C" w:rsidRDefault="00000000">
            <w:r>
              <w:rPr>
                <w:sz w:val="20"/>
                <w:szCs w:val="20"/>
              </w:rPr>
              <w:t xml:space="preserve">    IV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681CABE9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 (2.2%)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2EFBFA6A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0 (0.0%)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3C27626" w14:textId="77777777" w:rsidR="00B8160C" w:rsidRDefault="00B8160C"/>
        </w:tc>
      </w:tr>
      <w:tr w:rsidR="00B8160C" w14:paraId="4289CD1F" w14:textId="77777777">
        <w:tc>
          <w:tcPr>
            <w:tcW w:w="3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B3D6B11" w14:textId="3142204C" w:rsidR="00B8160C" w:rsidRDefault="00000000">
            <w:r>
              <w:rPr>
                <w:sz w:val="20"/>
                <w:szCs w:val="20"/>
              </w:rPr>
              <w:t>High-risk immunological status (W</w:t>
            </w:r>
            <w:r w:rsidR="00F21DE0">
              <w:rPr>
                <w:sz w:val="20"/>
                <w:szCs w:val="20"/>
              </w:rPr>
              <w:t xml:space="preserve">SES </w:t>
            </w:r>
            <w:proofErr w:type="gramStart"/>
            <w:r w:rsidR="00F21DE0">
              <w:rPr>
                <w:sz w:val="20"/>
                <w:szCs w:val="20"/>
              </w:rPr>
              <w:t xml:space="preserve">Grade </w:t>
            </w:r>
            <w:r>
              <w:rPr>
                <w:sz w:val="20"/>
                <w:szCs w:val="20"/>
              </w:rPr>
              <w:t xml:space="preserve"> ≥</w:t>
            </w:r>
            <w:proofErr w:type="gramEnd"/>
            <w:r>
              <w:rPr>
                <w:sz w:val="20"/>
                <w:szCs w:val="20"/>
              </w:rPr>
              <w:t>1), n (%)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0E4159D9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71 (53.0%)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C20982B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22 (61.1%)</w:t>
            </w:r>
          </w:p>
        </w:tc>
        <w:tc>
          <w:tcPr>
            <w:tcW w:w="1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097AAE9F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0.472</w:t>
            </w:r>
          </w:p>
        </w:tc>
      </w:tr>
    </w:tbl>
    <w:p w14:paraId="3B8F036A" w14:textId="13DC2742" w:rsidR="00B8160C" w:rsidRDefault="00000000">
      <w:pPr>
        <w:spacing w:before="120" w:after="480"/>
      </w:pPr>
      <w:r>
        <w:rPr>
          <w:i/>
          <w:iCs/>
          <w:sz w:val="18"/>
          <w:szCs w:val="18"/>
        </w:rPr>
        <w:t xml:space="preserve">P-values calculated using independent t-test for continuous variables and chi-square/Fisher's exact test for categorical variables. The significant difference in Hinchey distribution reflects appropriate clinical decision-making (patients with Hinchey III-IV were appropriately selected for initial surgery). </w:t>
      </w:r>
      <w:r w:rsidR="00484B7A" w:rsidRPr="00484B7A">
        <w:rPr>
          <w:i/>
          <w:iCs/>
          <w:sz w:val="18"/>
          <w:szCs w:val="18"/>
        </w:rPr>
        <w:t>WSES: World Society of Emergency Surgery</w:t>
      </w:r>
      <w:r>
        <w:rPr>
          <w:i/>
          <w:iCs/>
          <w:sz w:val="18"/>
          <w:szCs w:val="18"/>
        </w:rPr>
        <w:t>.</w:t>
      </w:r>
    </w:p>
    <w:p w14:paraId="7882DB96" w14:textId="4DEB1234" w:rsidR="00B8160C" w:rsidRDefault="00000000">
      <w:pPr>
        <w:pStyle w:val="Heading1"/>
      </w:pPr>
      <w:r>
        <w:t xml:space="preserve">Supplementary Table S2. Cross-tabulation of </w:t>
      </w:r>
      <w:r w:rsidR="00E1159C">
        <w:t>WSES</w:t>
      </w:r>
      <w:r>
        <w:t xml:space="preserve"> Grades by Hinchey Classification</w:t>
      </w:r>
    </w:p>
    <w:p w14:paraId="4F2F00C7" w14:textId="77777777" w:rsidR="00B8160C" w:rsidRDefault="00000000">
      <w:pPr>
        <w:spacing w:after="240"/>
      </w:pPr>
      <w:r>
        <w:t>Distribution of immunological risk grades across radiological severity categories in patients with initial conservative management (n=134).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2487"/>
        <w:gridCol w:w="2173"/>
        <w:gridCol w:w="2173"/>
        <w:gridCol w:w="2173"/>
      </w:tblGrid>
      <w:tr w:rsidR="00B8160C" w14:paraId="58798CED" w14:textId="77777777">
        <w:trPr>
          <w:tblHeader/>
        </w:trPr>
        <w:tc>
          <w:tcPr>
            <w:tcW w:w="2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593DB2B9" w14:textId="713986F7" w:rsidR="00B8160C" w:rsidRDefault="00F21DE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WSES</w:t>
            </w:r>
            <w:r w:rsidR="00000000">
              <w:rPr>
                <w:b/>
                <w:bCs/>
                <w:sz w:val="20"/>
                <w:szCs w:val="20"/>
              </w:rPr>
              <w:t xml:space="preserve"> Grade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2EFE5AA5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Hinchey IA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6EE833F2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Hinchey IB-II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E2E8F0"/>
            <w:vAlign w:val="center"/>
          </w:tcPr>
          <w:p w14:paraId="5D1DBA1B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Hinchey III-IV</w:t>
            </w:r>
          </w:p>
        </w:tc>
      </w:tr>
      <w:tr w:rsidR="00B8160C" w14:paraId="43F3DB1D" w14:textId="77777777">
        <w:tc>
          <w:tcPr>
            <w:tcW w:w="2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A20483F" w14:textId="77777777" w:rsidR="00B8160C" w:rsidRDefault="00000000">
            <w:r>
              <w:rPr>
                <w:sz w:val="20"/>
                <w:szCs w:val="20"/>
              </w:rPr>
              <w:t>Grade 0 (no immunosuppression)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53808528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38 (55.9%)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04813B6F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22 (38.6%)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6CD1B403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 (33.3%)</w:t>
            </w:r>
          </w:p>
        </w:tc>
      </w:tr>
      <w:tr w:rsidR="00B8160C" w14:paraId="248EADAB" w14:textId="77777777">
        <w:tc>
          <w:tcPr>
            <w:tcW w:w="2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D29C352" w14:textId="77777777" w:rsidR="00B8160C" w:rsidRDefault="00000000">
            <w:r>
              <w:rPr>
                <w:sz w:val="20"/>
                <w:szCs w:val="20"/>
              </w:rPr>
              <w:t>Grade 1 (moderate)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6370E2F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20 (29.4%)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9280268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19 (33.3%)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EF127C0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 (33.3%)</w:t>
            </w:r>
          </w:p>
        </w:tc>
      </w:tr>
      <w:tr w:rsidR="00B8160C" w14:paraId="71C584E9" w14:textId="77777777">
        <w:tc>
          <w:tcPr>
            <w:tcW w:w="2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10A94673" w14:textId="77777777" w:rsidR="00B8160C" w:rsidRDefault="00000000">
            <w:r>
              <w:rPr>
                <w:sz w:val="20"/>
                <w:szCs w:val="20"/>
              </w:rPr>
              <w:t>Grade 2 (severe)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9006EA3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10 (14.7%)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30A13A48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16 (28.1%)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3445B88B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 (33.3%)</w:t>
            </w:r>
          </w:p>
        </w:tc>
      </w:tr>
      <w:tr w:rsidR="00B8160C" w14:paraId="0809D39B" w14:textId="77777777">
        <w:tc>
          <w:tcPr>
            <w:tcW w:w="2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7FAFC"/>
          </w:tcPr>
          <w:p w14:paraId="4188C55F" w14:textId="77777777" w:rsidR="00B8160C" w:rsidRDefault="00000000"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7FAFC"/>
          </w:tcPr>
          <w:p w14:paraId="3708A88D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68 (100%)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7FAFC"/>
          </w:tcPr>
          <w:p w14:paraId="6236F74C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57 (100%)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  <w:shd w:val="clear" w:color="auto" w:fill="F7FAFC"/>
          </w:tcPr>
          <w:p w14:paraId="71BA02C9" w14:textId="77777777" w:rsidR="00B8160C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 (100%)</w:t>
            </w:r>
          </w:p>
        </w:tc>
      </w:tr>
      <w:tr w:rsidR="00B8160C" w14:paraId="71C850CA" w14:textId="77777777">
        <w:tc>
          <w:tcPr>
            <w:tcW w:w="25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7C079B13" w14:textId="77777777" w:rsidR="00B8160C" w:rsidRDefault="00000000">
            <w:r>
              <w:rPr>
                <w:b/>
                <w:bCs/>
                <w:sz w:val="20"/>
                <w:szCs w:val="20"/>
              </w:rPr>
              <w:t>High-risk (Grade ≥1), n (%)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4AD529D4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30 (44.1%)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6EB28281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35 (61.4%)</w:t>
            </w:r>
          </w:p>
        </w:tc>
        <w:tc>
          <w:tcPr>
            <w:tcW w:w="2200" w:type="dxa"/>
            <w:tcBorders>
              <w:top w:val="single" w:sz="8" w:space="0" w:color="CBD5E0"/>
              <w:left w:val="single" w:sz="8" w:space="0" w:color="CBD5E0"/>
              <w:bottom w:val="single" w:sz="8" w:space="0" w:color="CBD5E0"/>
              <w:right w:val="single" w:sz="8" w:space="0" w:color="CBD5E0"/>
            </w:tcBorders>
          </w:tcPr>
          <w:p w14:paraId="51457C8F" w14:textId="77777777" w:rsidR="00B8160C" w:rsidRDefault="00000000">
            <w:pPr>
              <w:jc w:val="center"/>
            </w:pPr>
            <w:r>
              <w:rPr>
                <w:sz w:val="20"/>
                <w:szCs w:val="20"/>
              </w:rPr>
              <w:t>6 (66.7%)</w:t>
            </w:r>
          </w:p>
        </w:tc>
      </w:tr>
    </w:tbl>
    <w:p w14:paraId="2CD0433B" w14:textId="52CAAC13" w:rsidR="00B8160C" w:rsidRDefault="00000000">
      <w:pPr>
        <w:spacing w:before="120" w:after="240"/>
      </w:pPr>
      <w:r>
        <w:rPr>
          <w:i/>
          <w:iCs/>
          <w:sz w:val="18"/>
          <w:szCs w:val="18"/>
        </w:rPr>
        <w:t xml:space="preserve">Chi-square test for trend: p = 0.062. The distribution shows a gradient of increasing immunological risk with higher Hinchey stage, supporting the hypothesis that immunological status is associated with more severe radiological presentation. </w:t>
      </w:r>
      <w:r w:rsidR="00484B7A" w:rsidRPr="00484B7A">
        <w:rPr>
          <w:i/>
          <w:iCs/>
          <w:sz w:val="18"/>
          <w:szCs w:val="18"/>
        </w:rPr>
        <w:t>WSES: World Society of Emergency Surgery</w:t>
      </w:r>
      <w:r>
        <w:rPr>
          <w:i/>
          <w:iCs/>
          <w:sz w:val="18"/>
          <w:szCs w:val="18"/>
        </w:rPr>
        <w:t>.</w:t>
      </w:r>
    </w:p>
    <w:p w14:paraId="4CAFECD9" w14:textId="77777777" w:rsidR="00B8160C" w:rsidRDefault="00000000">
      <w:pPr>
        <w:pStyle w:val="Heading2"/>
      </w:pPr>
      <w:r>
        <w:t>Interpretation</w:t>
      </w:r>
    </w:p>
    <w:p w14:paraId="141E2670" w14:textId="3705A504" w:rsidR="00B8160C" w:rsidRDefault="00000000">
      <w:pPr>
        <w:spacing w:after="240"/>
      </w:pPr>
      <w:r>
        <w:t xml:space="preserve">The cross-tabulation demonstrates a clinically meaningful gradient: patients with higher Hinchey stages were progressively more likely to have high-risk immunological status. Specifically, 44.1% of Hinchey IA patients had </w:t>
      </w:r>
      <w:r w:rsidR="00484B7A">
        <w:t>a WSES</w:t>
      </w:r>
      <w:r>
        <w:t xml:space="preserve"> </w:t>
      </w:r>
      <w:r w:rsidR="00484B7A">
        <w:t xml:space="preserve">grade </w:t>
      </w:r>
      <w:r>
        <w:t xml:space="preserve">≥1, compared to 61.4% of Hinchey IB-II patients and 66.7% of Hinchey III-IV patients. This pattern supports the conceptual model that immunological status influences the severity of radiological presentation at admission, which in turn drives treatment failure risk. The borderline statistical significance (p=0.062) reflects the limited sample </w:t>
      </w:r>
      <w:proofErr w:type="gramStart"/>
      <w:r>
        <w:t>size</w:t>
      </w:r>
      <w:proofErr w:type="gramEnd"/>
      <w:r>
        <w:t xml:space="preserve"> but the clinical gradient is apparent.</w:t>
      </w:r>
    </w:p>
    <w:sectPr w:rsidR="00B8160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495B"/>
    <w:multiLevelType w:val="hybridMultilevel"/>
    <w:tmpl w:val="C79408A0"/>
    <w:lvl w:ilvl="0" w:tplc="54F846DE">
      <w:start w:val="1"/>
      <w:numFmt w:val="bullet"/>
      <w:lvlText w:val="●"/>
      <w:lvlJc w:val="left"/>
      <w:pPr>
        <w:ind w:left="720" w:hanging="360"/>
      </w:pPr>
    </w:lvl>
    <w:lvl w:ilvl="1" w:tplc="07CA20DA">
      <w:start w:val="1"/>
      <w:numFmt w:val="bullet"/>
      <w:lvlText w:val="○"/>
      <w:lvlJc w:val="left"/>
      <w:pPr>
        <w:ind w:left="1440" w:hanging="360"/>
      </w:pPr>
    </w:lvl>
    <w:lvl w:ilvl="2" w:tplc="CF2EA43C">
      <w:start w:val="1"/>
      <w:numFmt w:val="bullet"/>
      <w:lvlText w:val="■"/>
      <w:lvlJc w:val="left"/>
      <w:pPr>
        <w:ind w:left="2160" w:hanging="360"/>
      </w:pPr>
    </w:lvl>
    <w:lvl w:ilvl="3" w:tplc="2F30A6F6">
      <w:start w:val="1"/>
      <w:numFmt w:val="bullet"/>
      <w:lvlText w:val="●"/>
      <w:lvlJc w:val="left"/>
      <w:pPr>
        <w:ind w:left="2880" w:hanging="360"/>
      </w:pPr>
    </w:lvl>
    <w:lvl w:ilvl="4" w:tplc="B63007C6">
      <w:start w:val="1"/>
      <w:numFmt w:val="bullet"/>
      <w:lvlText w:val="○"/>
      <w:lvlJc w:val="left"/>
      <w:pPr>
        <w:ind w:left="3600" w:hanging="360"/>
      </w:pPr>
    </w:lvl>
    <w:lvl w:ilvl="5" w:tplc="9C34F69C">
      <w:start w:val="1"/>
      <w:numFmt w:val="bullet"/>
      <w:lvlText w:val="■"/>
      <w:lvlJc w:val="left"/>
      <w:pPr>
        <w:ind w:left="4320" w:hanging="360"/>
      </w:pPr>
    </w:lvl>
    <w:lvl w:ilvl="6" w:tplc="7CB6D500">
      <w:start w:val="1"/>
      <w:numFmt w:val="bullet"/>
      <w:lvlText w:val="●"/>
      <w:lvlJc w:val="left"/>
      <w:pPr>
        <w:ind w:left="5040" w:hanging="360"/>
      </w:pPr>
    </w:lvl>
    <w:lvl w:ilvl="7" w:tplc="18E8F46A">
      <w:start w:val="1"/>
      <w:numFmt w:val="bullet"/>
      <w:lvlText w:val="●"/>
      <w:lvlJc w:val="left"/>
      <w:pPr>
        <w:ind w:left="5760" w:hanging="360"/>
      </w:pPr>
    </w:lvl>
    <w:lvl w:ilvl="8" w:tplc="369A220E">
      <w:start w:val="1"/>
      <w:numFmt w:val="bullet"/>
      <w:lvlText w:val="●"/>
      <w:lvlJc w:val="left"/>
      <w:pPr>
        <w:ind w:left="6480" w:hanging="360"/>
      </w:pPr>
    </w:lvl>
  </w:abstractNum>
  <w:num w:numId="1" w16cid:durableId="15964738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0C"/>
    <w:rsid w:val="00484B7A"/>
    <w:rsid w:val="004F35D3"/>
    <w:rsid w:val="006B32DC"/>
    <w:rsid w:val="00B1453F"/>
    <w:rsid w:val="00B8160C"/>
    <w:rsid w:val="00BB377E"/>
    <w:rsid w:val="00E1159C"/>
    <w:rsid w:val="00F21DE0"/>
    <w:rsid w:val="00FC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75E0E"/>
  <w15:docId w15:val="{A036828A-A9BC-0F45-A650-A58386D4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40"/>
      <w:outlineLvl w:val="0"/>
    </w:pPr>
    <w:rPr>
      <w:b/>
      <w:bCs/>
      <w:color w:val="1A365D"/>
      <w:sz w:val="28"/>
      <w:szCs w:val="28"/>
    </w:rPr>
  </w:style>
  <w:style w:type="paragraph" w:styleId="Heading2">
    <w:name w:val="heading 2"/>
    <w:uiPriority w:val="9"/>
    <w:unhideWhenUsed/>
    <w:qFormat/>
    <w:pPr>
      <w:spacing w:before="280" w:after="200"/>
      <w:outlineLvl w:val="1"/>
    </w:pPr>
    <w:rPr>
      <w:b/>
      <w:bCs/>
      <w:color w:val="4A5568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240"/>
      <w:jc w:val="center"/>
    </w:pPr>
    <w:rPr>
      <w:b/>
      <w:bCs/>
      <w:color w:val="1A365D"/>
      <w:sz w:val="32"/>
      <w:szCs w:val="3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B37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470</Words>
  <Characters>2872</Characters>
  <Application>Microsoft Office Word</Application>
  <DocSecurity>0</DocSecurity>
  <Lines>114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JORGE EDUARDO CANTO LOSA</cp:lastModifiedBy>
  <cp:revision>6</cp:revision>
  <dcterms:created xsi:type="dcterms:W3CDTF">2026-03-22T02:00:00Z</dcterms:created>
  <dcterms:modified xsi:type="dcterms:W3CDTF">2026-03-30T23:03:00Z</dcterms:modified>
</cp:coreProperties>
</file>