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F2FF5" w14:textId="77777777" w:rsidR="001D7965" w:rsidRDefault="00000000">
      <w:pPr>
        <w:spacing w:after="40" w:line="360" w:lineRule="auto"/>
        <w:jc w:val="center"/>
      </w:pPr>
      <w:r>
        <w:rPr>
          <w:b/>
          <w:bCs/>
          <w:color w:val="7C1533"/>
          <w:sz w:val="24"/>
          <w:szCs w:val="24"/>
        </w:rPr>
        <w:t>REVISED MANUSCRIPT WITH CHANGES HIGHLIGHTED</w:t>
      </w:r>
    </w:p>
    <w:p w14:paraId="56FFBDFE" w14:textId="77777777" w:rsidR="001D7965" w:rsidRPr="001435CA" w:rsidRDefault="00000000">
      <w:pPr>
        <w:spacing w:after="200" w:line="360" w:lineRule="auto"/>
        <w:jc w:val="center"/>
        <w:rPr>
          <w:sz w:val="22"/>
          <w:szCs w:val="22"/>
        </w:rPr>
      </w:pPr>
      <w:r w:rsidRPr="001435CA">
        <w:rPr>
          <w:i/>
          <w:iCs/>
          <w:color w:val="595959"/>
          <w:sz w:val="22"/>
          <w:szCs w:val="22"/>
        </w:rPr>
        <w:t>All text highlighted in yellow is new or amended in response to the editorial quality check. Unhighlighted text is unchanged from the original submission. A clean copy without highlighting is supplied separately.</w:t>
      </w:r>
    </w:p>
    <w:p w14:paraId="2C289A02" w14:textId="77777777" w:rsidR="001D7965" w:rsidRDefault="00000000">
      <w:pPr>
        <w:spacing w:after="60" w:line="360" w:lineRule="auto"/>
        <w:jc w:val="center"/>
      </w:pPr>
      <w:r>
        <w:rPr>
          <w:b/>
          <w:bCs/>
          <w:color w:val="595959"/>
          <w:sz w:val="22"/>
          <w:szCs w:val="22"/>
          <w:highlight w:val="yellow"/>
        </w:rPr>
        <w:t>Review Article</w:t>
      </w:r>
    </w:p>
    <w:p w14:paraId="2CA9054F" w14:textId="77777777" w:rsidR="001D7965" w:rsidRDefault="00000000">
      <w:pPr>
        <w:spacing w:after="160" w:line="360" w:lineRule="auto"/>
        <w:jc w:val="center"/>
      </w:pPr>
      <w:r>
        <w:rPr>
          <w:b/>
          <w:bCs/>
          <w:color w:val="000000"/>
          <w:sz w:val="28"/>
          <w:szCs w:val="28"/>
          <w:highlight w:val="yellow"/>
        </w:rPr>
        <w:t>Emerging technologies reshape mathematics education only when pedagogy equity and cultural context guide their integration</w:t>
      </w:r>
    </w:p>
    <w:p w14:paraId="6B3D8595" w14:textId="55D1C505" w:rsidR="001D7965" w:rsidRDefault="00000000">
      <w:pPr>
        <w:spacing w:after="40" w:line="360" w:lineRule="auto"/>
        <w:jc w:val="center"/>
      </w:pPr>
      <w:r>
        <w:rPr>
          <w:b/>
          <w:bCs/>
          <w:color w:val="000000"/>
          <w:sz w:val="22"/>
          <w:szCs w:val="22"/>
        </w:rPr>
        <w:t>Prince Kusi</w:t>
      </w:r>
      <w:r>
        <w:rPr>
          <w:color w:val="000000"/>
          <w:sz w:val="16"/>
          <w:szCs w:val="16"/>
        </w:rPr>
        <w:t>1</w:t>
      </w:r>
      <w:r>
        <w:rPr>
          <w:color w:val="000000"/>
          <w:sz w:val="22"/>
          <w:szCs w:val="22"/>
        </w:rPr>
        <w:t xml:space="preserve">  </w:t>
      </w:r>
      <w:hyperlink r:id="rId7" w:history="1">
        <w:r w:rsidR="001435CA" w:rsidRPr="00F741CC">
          <w:rPr>
            <w:rStyle w:val="Hyperlink"/>
            <w:sz w:val="22"/>
            <w:szCs w:val="22"/>
          </w:rPr>
          <w:t>https://orcid.org/0009-0007-3342-3615</w:t>
        </w:r>
      </w:hyperlink>
      <w:r>
        <w:rPr>
          <w:color w:val="000000"/>
          <w:sz w:val="22"/>
          <w:szCs w:val="22"/>
        </w:rPr>
        <w:t>,</w:t>
      </w:r>
      <w:r w:rsidR="001435CA">
        <w:rPr>
          <w:color w:val="000000"/>
          <w:sz w:val="22"/>
          <w:szCs w:val="22"/>
        </w:rPr>
        <w:t xml:space="preserve"> </w:t>
      </w:r>
      <w:hyperlink r:id="rId8" w:history="1">
        <w:r w:rsidR="001435CA" w:rsidRPr="00F741CC">
          <w:rPr>
            <w:rStyle w:val="Hyperlink"/>
            <w:sz w:val="22"/>
            <w:szCs w:val="22"/>
          </w:rPr>
          <w:t>kusip.n@becoled.edu.gh</w:t>
        </w:r>
      </w:hyperlink>
      <w:r w:rsidR="001435CA">
        <w:rPr>
          <w:color w:val="000000"/>
          <w:sz w:val="22"/>
          <w:szCs w:val="22"/>
        </w:rPr>
        <w:t xml:space="preserve"> </w:t>
      </w:r>
    </w:p>
    <w:p w14:paraId="323A95D2" w14:textId="2F5B9BEB" w:rsidR="001D7965" w:rsidRDefault="001435CA" w:rsidP="001435CA">
      <w:pPr>
        <w:tabs>
          <w:tab w:val="center" w:pos="4513"/>
          <w:tab w:val="right" w:pos="9026"/>
        </w:tabs>
        <w:spacing w:after="80" w:line="360" w:lineRule="auto"/>
      </w:pPr>
      <w:r>
        <w:rPr>
          <w:color w:val="000000"/>
          <w:sz w:val="21"/>
          <w:szCs w:val="21"/>
        </w:rPr>
        <w:tab/>
      </w:r>
      <w:r w:rsidR="00000000">
        <w:rPr>
          <w:color w:val="000000"/>
          <w:sz w:val="21"/>
          <w:szCs w:val="21"/>
        </w:rPr>
        <w:t xml:space="preserve">1 Department of Mathematics and ICT, </w:t>
      </w:r>
      <w:proofErr w:type="spellStart"/>
      <w:r w:rsidR="00000000">
        <w:rPr>
          <w:color w:val="000000"/>
          <w:sz w:val="21"/>
          <w:szCs w:val="21"/>
        </w:rPr>
        <w:t>Berekum</w:t>
      </w:r>
      <w:proofErr w:type="spellEnd"/>
      <w:r w:rsidR="00000000">
        <w:rPr>
          <w:color w:val="000000"/>
          <w:sz w:val="21"/>
          <w:szCs w:val="21"/>
        </w:rPr>
        <w:t xml:space="preserve"> College of Education, PO Box 74, </w:t>
      </w:r>
      <w:proofErr w:type="spellStart"/>
      <w:r w:rsidR="00000000">
        <w:rPr>
          <w:color w:val="000000"/>
          <w:sz w:val="21"/>
          <w:szCs w:val="21"/>
        </w:rPr>
        <w:t>Berekum</w:t>
      </w:r>
      <w:proofErr w:type="spellEnd"/>
      <w:r w:rsidR="00000000">
        <w:rPr>
          <w:color w:val="000000"/>
          <w:sz w:val="21"/>
          <w:szCs w:val="21"/>
        </w:rPr>
        <w:t>, Ghana.</w:t>
      </w:r>
      <w:r>
        <w:rPr>
          <w:color w:val="000000"/>
          <w:sz w:val="21"/>
          <w:szCs w:val="21"/>
        </w:rPr>
        <w:tab/>
      </w:r>
    </w:p>
    <w:p w14:paraId="0C927A53" w14:textId="5952986D" w:rsidR="001D7965" w:rsidRDefault="00000000">
      <w:pPr>
        <w:spacing w:after="40" w:line="360" w:lineRule="auto"/>
        <w:jc w:val="center"/>
      </w:pPr>
      <w:r>
        <w:rPr>
          <w:b/>
          <w:bCs/>
          <w:color w:val="000000"/>
          <w:sz w:val="22"/>
          <w:szCs w:val="22"/>
        </w:rPr>
        <w:t>Emmanuel Teku</w:t>
      </w:r>
      <w:r>
        <w:rPr>
          <w:color w:val="000000"/>
          <w:sz w:val="16"/>
          <w:szCs w:val="16"/>
        </w:rPr>
        <w:t>1</w:t>
      </w:r>
      <w:r>
        <w:rPr>
          <w:color w:val="000000"/>
          <w:sz w:val="22"/>
          <w:szCs w:val="22"/>
        </w:rPr>
        <w:t xml:space="preserve">  </w:t>
      </w:r>
      <w:hyperlink r:id="rId9" w:history="1">
        <w:r w:rsidR="001435CA" w:rsidRPr="00F741CC">
          <w:rPr>
            <w:rStyle w:val="Hyperlink"/>
            <w:sz w:val="22"/>
            <w:szCs w:val="22"/>
          </w:rPr>
          <w:t>https://orcid.org/0009-0008-8630-3577</w:t>
        </w:r>
      </w:hyperlink>
      <w:r>
        <w:rPr>
          <w:color w:val="000000"/>
          <w:sz w:val="22"/>
          <w:szCs w:val="22"/>
        </w:rPr>
        <w:t>,</w:t>
      </w:r>
      <w:r w:rsidR="001435CA">
        <w:rPr>
          <w:color w:val="000000"/>
          <w:sz w:val="22"/>
          <w:szCs w:val="22"/>
        </w:rPr>
        <w:t xml:space="preserve"> </w:t>
      </w:r>
      <w:r>
        <w:rPr>
          <w:color w:val="000000"/>
          <w:sz w:val="22"/>
          <w:szCs w:val="22"/>
        </w:rPr>
        <w:t xml:space="preserve"> eteku@becoled.edu.gh</w:t>
      </w:r>
    </w:p>
    <w:p w14:paraId="6A6B7E3E" w14:textId="77777777" w:rsidR="001D7965" w:rsidRDefault="00000000">
      <w:pPr>
        <w:spacing w:after="80" w:line="360" w:lineRule="auto"/>
        <w:jc w:val="center"/>
      </w:pPr>
      <w:r>
        <w:rPr>
          <w:color w:val="000000"/>
          <w:sz w:val="21"/>
          <w:szCs w:val="21"/>
        </w:rPr>
        <w:t xml:space="preserve">1 Department of Mathematics and ICT, </w:t>
      </w:r>
      <w:proofErr w:type="spellStart"/>
      <w:r>
        <w:rPr>
          <w:color w:val="000000"/>
          <w:sz w:val="21"/>
          <w:szCs w:val="21"/>
        </w:rPr>
        <w:t>Berekum</w:t>
      </w:r>
      <w:proofErr w:type="spellEnd"/>
      <w:r>
        <w:rPr>
          <w:color w:val="000000"/>
          <w:sz w:val="21"/>
          <w:szCs w:val="21"/>
        </w:rPr>
        <w:t xml:space="preserve"> College of Education, PO Box 74, </w:t>
      </w:r>
      <w:proofErr w:type="spellStart"/>
      <w:r>
        <w:rPr>
          <w:color w:val="000000"/>
          <w:sz w:val="21"/>
          <w:szCs w:val="21"/>
        </w:rPr>
        <w:t>Berekum</w:t>
      </w:r>
      <w:proofErr w:type="spellEnd"/>
      <w:r>
        <w:rPr>
          <w:color w:val="000000"/>
          <w:sz w:val="21"/>
          <w:szCs w:val="21"/>
        </w:rPr>
        <w:t>, Ghana.</w:t>
      </w:r>
    </w:p>
    <w:p w14:paraId="1A9BA8CF" w14:textId="08CB83A3" w:rsidR="00403B36" w:rsidRDefault="00000000" w:rsidP="00403B36">
      <w:pPr>
        <w:spacing w:after="200" w:line="360" w:lineRule="auto"/>
        <w:jc w:val="center"/>
        <w:rPr>
          <w:color w:val="000000"/>
          <w:sz w:val="22"/>
          <w:szCs w:val="22"/>
        </w:rPr>
      </w:pPr>
      <w:r>
        <w:rPr>
          <w:color w:val="000000"/>
          <w:sz w:val="22"/>
          <w:szCs w:val="22"/>
        </w:rPr>
        <w:t xml:space="preserve">Corresponding author email: </w:t>
      </w:r>
      <w:hyperlink r:id="rId10" w:history="1">
        <w:r w:rsidR="001435CA" w:rsidRPr="00F741CC">
          <w:rPr>
            <w:rStyle w:val="Hyperlink"/>
            <w:sz w:val="22"/>
            <w:szCs w:val="22"/>
          </w:rPr>
          <w:t>kusip.n@becoled.edu.gh</w:t>
        </w:r>
      </w:hyperlink>
      <w:r w:rsidR="001435CA">
        <w:rPr>
          <w:color w:val="000000"/>
          <w:sz w:val="22"/>
          <w:szCs w:val="22"/>
        </w:rPr>
        <w:t xml:space="preserve"> </w:t>
      </w:r>
    </w:p>
    <w:p w14:paraId="60A7C236" w14:textId="77777777" w:rsidR="00403B36" w:rsidRDefault="00403B36" w:rsidP="00403B36">
      <w:pPr>
        <w:spacing w:after="200" w:line="360" w:lineRule="auto"/>
        <w:ind w:left="720"/>
        <w:rPr>
          <w:color w:val="000000"/>
          <w:sz w:val="22"/>
          <w:szCs w:val="22"/>
        </w:rPr>
      </w:pPr>
      <w:r w:rsidRPr="009944CE">
        <w:rPr>
          <w:b/>
          <w:bCs/>
          <w:color w:val="000000"/>
          <w:sz w:val="22"/>
          <w:szCs w:val="22"/>
        </w:rPr>
        <w:t>Emmanuel Larbi Ayetey</w:t>
      </w:r>
      <w:r w:rsidRPr="009944CE">
        <w:rPr>
          <w:b/>
          <w:bCs/>
          <w:color w:val="000000"/>
          <w:sz w:val="22"/>
          <w:szCs w:val="22"/>
          <w:vertAlign w:val="superscript"/>
        </w:rPr>
        <w:t>2</w:t>
      </w:r>
      <w:r>
        <w:rPr>
          <w:color w:val="000000"/>
          <w:sz w:val="22"/>
          <w:szCs w:val="22"/>
        </w:rPr>
        <w:t xml:space="preserve">  </w:t>
      </w:r>
      <w:hyperlink r:id="rId11" w:history="1">
        <w:r w:rsidRPr="00F741CC">
          <w:rPr>
            <w:rStyle w:val="Hyperlink"/>
            <w:sz w:val="22"/>
            <w:szCs w:val="22"/>
          </w:rPr>
          <w:t>https://orcid.org/0009-0002-8807-695x</w:t>
        </w:r>
      </w:hyperlink>
      <w:r>
        <w:rPr>
          <w:color w:val="000000"/>
          <w:sz w:val="22"/>
          <w:szCs w:val="22"/>
        </w:rPr>
        <w:t xml:space="preserve"> ,     </w:t>
      </w:r>
      <w:hyperlink r:id="rId12" w:history="1">
        <w:r w:rsidRPr="00F741CC">
          <w:rPr>
            <w:rStyle w:val="Hyperlink"/>
            <w:sz w:val="22"/>
            <w:szCs w:val="22"/>
          </w:rPr>
          <w:t>emmamuelayetelarbi@kpce.edu.gh</w:t>
        </w:r>
      </w:hyperlink>
      <w:r>
        <w:rPr>
          <w:color w:val="000000"/>
          <w:sz w:val="22"/>
          <w:szCs w:val="22"/>
        </w:rPr>
        <w:t xml:space="preserve"> </w:t>
      </w:r>
    </w:p>
    <w:p w14:paraId="1ED26BDF" w14:textId="77777777" w:rsidR="00403B36" w:rsidRDefault="00403B36" w:rsidP="00403B36">
      <w:pPr>
        <w:spacing w:after="200" w:line="360" w:lineRule="auto"/>
      </w:pPr>
      <w:r w:rsidRPr="00802E81">
        <w:rPr>
          <w:color w:val="000000"/>
          <w:sz w:val="22"/>
          <w:szCs w:val="22"/>
          <w:vertAlign w:val="superscript"/>
        </w:rPr>
        <w:t>2</w:t>
      </w:r>
      <w:r>
        <w:rPr>
          <w:color w:val="000000"/>
          <w:sz w:val="22"/>
          <w:szCs w:val="22"/>
        </w:rPr>
        <w:t>Department of Mathematics and ICT, Kibi Presbyterian College of Education, Kibi, Ghana.</w:t>
      </w:r>
    </w:p>
    <w:p w14:paraId="3E89267B" w14:textId="77777777" w:rsidR="00403B36" w:rsidRDefault="00403B36" w:rsidP="00403B36">
      <w:pPr>
        <w:spacing w:after="200" w:line="360" w:lineRule="auto"/>
      </w:pPr>
    </w:p>
    <w:p w14:paraId="2BCC56B6" w14:textId="77777777" w:rsidR="001D7965" w:rsidRDefault="00000000">
      <w:pPr>
        <w:spacing w:before="240" w:after="100" w:line="360" w:lineRule="auto"/>
        <w:outlineLvl w:val="0"/>
      </w:pPr>
      <w:r>
        <w:rPr>
          <w:b/>
          <w:bCs/>
          <w:sz w:val="26"/>
          <w:szCs w:val="26"/>
        </w:rPr>
        <w:t>Abstract</w:t>
      </w:r>
    </w:p>
    <w:p w14:paraId="59275710" w14:textId="77777777" w:rsidR="001D7965" w:rsidRDefault="00000000">
      <w:pPr>
        <w:spacing w:after="120" w:line="360" w:lineRule="auto"/>
        <w:jc w:val="both"/>
      </w:pPr>
      <w:r>
        <w:rPr>
          <w:color w:val="000000"/>
          <w:sz w:val="24"/>
          <w:szCs w:val="24"/>
        </w:rPr>
        <w:t xml:space="preserve">Emerging technologies are reshaping how mathematics is taught and learned, offering tools that make abstract ideas visible, responsive, and connected to the wider world. This </w:t>
      </w:r>
      <w:r>
        <w:rPr>
          <w:color w:val="000000"/>
          <w:sz w:val="24"/>
          <w:szCs w:val="24"/>
          <w:highlight w:val="yellow"/>
        </w:rPr>
        <w:t>review</w:t>
      </w:r>
      <w:r>
        <w:rPr>
          <w:color w:val="000000"/>
          <w:sz w:val="24"/>
          <w:szCs w:val="24"/>
        </w:rPr>
        <w:t xml:space="preserve"> examines the innovations that are changing mathematics classrooms, the challenges that stand in the way of their meaningful use, and the directions the field is likely to take. </w:t>
      </w:r>
      <w:r>
        <w:rPr>
          <w:color w:val="000000"/>
          <w:sz w:val="24"/>
          <w:szCs w:val="24"/>
          <w:highlight w:val="yellow"/>
        </w:rPr>
        <w:t>Drawing on a structured search of the peer-reviewed literature published between 2000 and 2024, it</w:t>
      </w:r>
      <w:r>
        <w:rPr>
          <w:color w:val="000000"/>
          <w:sz w:val="24"/>
          <w:szCs w:val="24"/>
        </w:rPr>
        <w:t xml:space="preserve"> examines dynamic mathematics software and virtual manipulatives, artificial intelligence and adaptive tutoring, immersive virtual and augmented reality, online and mobile learning, game-based approaches, computational thinking, and learning analytics. It uses established frameworks for technology integration</w:t>
      </w:r>
      <w:r>
        <w:rPr>
          <w:color w:val="000000"/>
          <w:sz w:val="24"/>
          <w:szCs w:val="24"/>
          <w:highlight w:val="yellow"/>
        </w:rPr>
        <w:t>, namely technological pedagogical content knowledge, the substitution to redefinition hierarchy, and instrumental genesis,</w:t>
      </w:r>
      <w:r>
        <w:rPr>
          <w:color w:val="000000"/>
          <w:sz w:val="24"/>
          <w:szCs w:val="24"/>
        </w:rPr>
        <w:t xml:space="preserve"> to distinguish genuine pedagogical change from surface-level adoption. It then considers the obstacles that limit impact, among them unequal access, gaps in teacher preparation, the tendency to use powerful tools for routine purposes, questions of equity, and the ethical concerns raised by data-driven and artificial </w:t>
      </w:r>
      <w:r>
        <w:rPr>
          <w:color w:val="000000"/>
          <w:sz w:val="24"/>
          <w:szCs w:val="24"/>
        </w:rPr>
        <w:lastRenderedPageBreak/>
        <w:t xml:space="preserve">intelligence systems. The discussion gives particular attention to resource-constrained settings, where the promise and the difficulty of technology integration are both most acute. The </w:t>
      </w:r>
      <w:r>
        <w:rPr>
          <w:color w:val="000000"/>
          <w:sz w:val="24"/>
          <w:szCs w:val="24"/>
          <w:highlight w:val="yellow"/>
        </w:rPr>
        <w:t>review</w:t>
      </w:r>
      <w:r>
        <w:rPr>
          <w:color w:val="000000"/>
          <w:sz w:val="24"/>
          <w:szCs w:val="24"/>
        </w:rPr>
        <w:t xml:space="preserve"> argues that the value of any technology in mathematics education rests not on the tool itself but on the pedagogical and cultural judgement with which it is used, and it </w:t>
      </w:r>
      <w:r>
        <w:rPr>
          <w:color w:val="000000"/>
          <w:sz w:val="24"/>
          <w:szCs w:val="24"/>
          <w:highlight w:val="yellow"/>
        </w:rPr>
        <w:t>identifies</w:t>
      </w:r>
      <w:r>
        <w:rPr>
          <w:color w:val="000000"/>
          <w:sz w:val="24"/>
          <w:szCs w:val="24"/>
        </w:rPr>
        <w:t xml:space="preserve"> culturally responsive, teacher-led, and ethically grounded integration as the most promising path forward.</w:t>
      </w:r>
    </w:p>
    <w:p w14:paraId="5543DD93" w14:textId="77777777" w:rsidR="001D7965" w:rsidRDefault="00000000">
      <w:pPr>
        <w:spacing w:after="200" w:line="360" w:lineRule="auto"/>
        <w:jc w:val="both"/>
      </w:pPr>
      <w:r>
        <w:rPr>
          <w:b/>
          <w:bCs/>
          <w:color w:val="000000"/>
          <w:sz w:val="24"/>
          <w:szCs w:val="24"/>
        </w:rPr>
        <w:t xml:space="preserve">Keywords: </w:t>
      </w:r>
      <w:r>
        <w:rPr>
          <w:color w:val="000000"/>
          <w:sz w:val="24"/>
          <w:szCs w:val="24"/>
        </w:rPr>
        <w:t>mathematics education; emerging technologies; educational technology; technological pedagogical content knowledge; artificial intelligence; digital equity</w:t>
      </w:r>
    </w:p>
    <w:p w14:paraId="2798254C" w14:textId="77777777" w:rsidR="001D7965" w:rsidRDefault="00000000">
      <w:pPr>
        <w:spacing w:before="240" w:after="100" w:line="360" w:lineRule="auto"/>
        <w:outlineLvl w:val="0"/>
      </w:pPr>
      <w:r>
        <w:rPr>
          <w:b/>
          <w:bCs/>
          <w:sz w:val="26"/>
          <w:szCs w:val="26"/>
        </w:rPr>
        <w:t>1. Introduction</w:t>
      </w:r>
    </w:p>
    <w:p w14:paraId="12DBA6BC" w14:textId="77777777" w:rsidR="001D7965" w:rsidRDefault="00000000">
      <w:pPr>
        <w:spacing w:after="120" w:line="360" w:lineRule="auto"/>
        <w:jc w:val="both"/>
      </w:pPr>
      <w:r>
        <w:rPr>
          <w:color w:val="000000"/>
          <w:sz w:val="24"/>
          <w:szCs w:val="24"/>
        </w:rPr>
        <w:t>Mathematics has always depended on tools, from the abacus and the ruler to the printed table and the electronic calculator, and each new tool has changed both what learners can do and what teachers can ask of them. The current wave of digital technology, however, differs from earlier tools in its reach and its pace. Software that once ran on a single laboratory computer now runs on a telephone in a learner's pocket, systems that once followed fixed scripts now adapt to the individual, and the network that connects them makes it possible to learn mathematics at a distance, in groups, and at any hour. These developments have raised expectations that technology will make mathematics more accessible, more visual, and more engaging, and they have prompted governments and institutions to invest heavily in devices, platforms, and connectivity.</w:t>
      </w:r>
    </w:p>
    <w:p w14:paraId="0F9830C6" w14:textId="77777777" w:rsidR="001D7965" w:rsidRDefault="00000000">
      <w:pPr>
        <w:spacing w:after="120" w:line="360" w:lineRule="auto"/>
        <w:jc w:val="both"/>
      </w:pPr>
      <w:r>
        <w:rPr>
          <w:color w:val="000000"/>
          <w:sz w:val="24"/>
          <w:szCs w:val="24"/>
        </w:rPr>
        <w:t xml:space="preserve">Enthusiasm alone, however, has never been enough to change how mathematics is learned. A long line of research shows that placing technology in classrooms does not by itself improve learning, and that the outcome depends on how the technology is used, by whom, and for what purpose (Bray &amp; Tangney, 2017; </w:t>
      </w:r>
      <w:proofErr w:type="spellStart"/>
      <w:r>
        <w:rPr>
          <w:color w:val="000000"/>
          <w:sz w:val="24"/>
          <w:szCs w:val="24"/>
        </w:rPr>
        <w:t>Drijvers</w:t>
      </w:r>
      <w:proofErr w:type="spellEnd"/>
      <w:r>
        <w:rPr>
          <w:color w:val="000000"/>
          <w:sz w:val="24"/>
          <w:szCs w:val="24"/>
        </w:rPr>
        <w:t>, 2015). The same tool can support rich mathematical reasoning in one classroom and reduce to a mechanical exercise in another. As new technologies such as artificial intelligence, immersive reality, and learning analytics enter the field, the old question returns in a sharper form, namely how these tools can be integrated in ways that deepen mathematical understanding rather than merely dressing familiar practice in new clothing.</w:t>
      </w:r>
    </w:p>
    <w:p w14:paraId="5C93D16D" w14:textId="77777777" w:rsidR="001D7965" w:rsidRDefault="00000000">
      <w:pPr>
        <w:spacing w:after="120" w:line="360" w:lineRule="auto"/>
        <w:jc w:val="both"/>
      </w:pPr>
      <w:r>
        <w:rPr>
          <w:color w:val="000000"/>
          <w:sz w:val="24"/>
          <w:szCs w:val="24"/>
          <w:highlight w:val="yellow"/>
        </w:rPr>
        <w:t>This article is a narrative review with a structured search strategy. It</w:t>
      </w:r>
      <w:r>
        <w:rPr>
          <w:color w:val="000000"/>
          <w:sz w:val="24"/>
          <w:szCs w:val="24"/>
        </w:rPr>
        <w:t xml:space="preserve"> reviews the innovations now reshaping mathematics education, the challenges that limit their impact, and the directions in which the field appears to be moving. It attends throughout to the situation of resource-constrained settings, where technology is often presented as a route to leapfrog long-standing difficulties but where the conditions for meaningful integration are hardest to secure. </w:t>
      </w:r>
      <w:r>
        <w:rPr>
          <w:color w:val="000000"/>
          <w:sz w:val="24"/>
          <w:szCs w:val="24"/>
          <w:highlight w:val="yellow"/>
        </w:rPr>
        <w:t xml:space="preserve">Three </w:t>
      </w:r>
      <w:r>
        <w:rPr>
          <w:color w:val="000000"/>
          <w:sz w:val="24"/>
          <w:szCs w:val="24"/>
          <w:highlight w:val="yellow"/>
        </w:rPr>
        <w:lastRenderedPageBreak/>
        <w:t>questions guide the review. First, which emerging technologies are reshaping mathematics teaching and learning, and what does the evidence say about their contribution? Second, what challenges limit their meaningful integration, particularly in settings with constrained resources? Third, what directions should research, policy, and practice take if these technologies are to serve mathematical understanding rather than displace it?</w:t>
      </w:r>
    </w:p>
    <w:p w14:paraId="2DD636F6" w14:textId="77777777" w:rsidR="001D7965" w:rsidRDefault="00000000">
      <w:pPr>
        <w:spacing w:before="240" w:after="100" w:line="360" w:lineRule="auto"/>
        <w:outlineLvl w:val="0"/>
      </w:pPr>
      <w:r>
        <w:rPr>
          <w:b/>
          <w:bCs/>
          <w:sz w:val="26"/>
          <w:szCs w:val="26"/>
          <w:highlight w:val="yellow"/>
        </w:rPr>
        <w:t>2. Review Approach</w:t>
      </w:r>
    </w:p>
    <w:p w14:paraId="0E075895" w14:textId="77777777" w:rsidR="001D7965" w:rsidRDefault="00000000">
      <w:pPr>
        <w:spacing w:after="120" w:line="360" w:lineRule="auto"/>
        <w:jc w:val="both"/>
      </w:pPr>
      <w:r>
        <w:rPr>
          <w:color w:val="000000"/>
          <w:sz w:val="24"/>
          <w:szCs w:val="24"/>
          <w:highlight w:val="yellow"/>
        </w:rPr>
        <w:t xml:space="preserve">This review is narrative rather than systematic, since its purpose is to </w:t>
      </w:r>
      <w:proofErr w:type="spellStart"/>
      <w:r>
        <w:rPr>
          <w:color w:val="000000"/>
          <w:sz w:val="24"/>
          <w:szCs w:val="24"/>
          <w:highlight w:val="yellow"/>
        </w:rPr>
        <w:t>synthesise</w:t>
      </w:r>
      <w:proofErr w:type="spellEnd"/>
      <w:r>
        <w:rPr>
          <w:color w:val="000000"/>
          <w:sz w:val="24"/>
          <w:szCs w:val="24"/>
          <w:highlight w:val="yellow"/>
        </w:rPr>
        <w:t xml:space="preserve"> a broad and heterogeneous body of work across several technologies rather than to answer a single narrowly specified question. The search was nonetheless structured, so that the basis of selection is transparent. Literature was identified through Scopus, Web of Science, ERIC, and Google Scholar for the period 2000 to 2024, combining terms for mathematics education with terms for each technology reviewed, among them dynamic geometry, virtual manipulatives, intelligent tutoring, adaptive learning, artificial intelligence, augmented and virtual reality, mobile and blended learning, game-based learning, computational thinking, and learning analytics, together with terms for integration, teacher knowledge, equity, and the digital divide. The reference lists of retrieved reviews and meta-analyses were also searched by hand.</w:t>
      </w:r>
    </w:p>
    <w:p w14:paraId="4ADDFE1B" w14:textId="77777777" w:rsidR="001D7965" w:rsidRDefault="00000000">
      <w:pPr>
        <w:spacing w:after="120" w:line="360" w:lineRule="auto"/>
        <w:jc w:val="both"/>
      </w:pPr>
      <w:r>
        <w:rPr>
          <w:color w:val="000000"/>
          <w:sz w:val="24"/>
          <w:szCs w:val="24"/>
          <w:highlight w:val="yellow"/>
        </w:rPr>
        <w:t xml:space="preserve">Peer-reviewed empirical studies, systematic reviews, meta-analyses, and theoretical contributions addressing technology in mathematics teaching or learning were included where published in English, with foundational works predating 2000 retained where they remain the standard reference for a concept, as with </w:t>
      </w:r>
      <w:proofErr w:type="spellStart"/>
      <w:r>
        <w:rPr>
          <w:color w:val="000000"/>
          <w:sz w:val="24"/>
          <w:szCs w:val="24"/>
          <w:highlight w:val="yellow"/>
        </w:rPr>
        <w:t>Papert</w:t>
      </w:r>
      <w:proofErr w:type="spellEnd"/>
      <w:r>
        <w:rPr>
          <w:color w:val="000000"/>
          <w:sz w:val="24"/>
          <w:szCs w:val="24"/>
          <w:highlight w:val="yellow"/>
        </w:rPr>
        <w:t xml:space="preserve"> (1980). Work was excluded where technology was incidental, where the focus lay outside mathematics, or where the source was promotional rather than analytical, and priority was given to reviews and meta-analyses and to studies reporting on settings beyond high-income contexts. The synthesis is </w:t>
      </w:r>
      <w:proofErr w:type="spellStart"/>
      <w:r>
        <w:rPr>
          <w:color w:val="000000"/>
          <w:sz w:val="24"/>
          <w:szCs w:val="24"/>
          <w:highlight w:val="yellow"/>
        </w:rPr>
        <w:t>organised</w:t>
      </w:r>
      <w:proofErr w:type="spellEnd"/>
      <w:r>
        <w:rPr>
          <w:color w:val="000000"/>
          <w:sz w:val="24"/>
          <w:szCs w:val="24"/>
          <w:highlight w:val="yellow"/>
        </w:rPr>
        <w:t xml:space="preserve"> thematically, grouping technologies by the mathematical activity they support and challenges by the level at which they operate, with the frameworks in the following section used throughout as the lens against which claims about impact are weighed. The review does not claim exhaustive coverage, and its limitations are set out in the conclusion.</w:t>
      </w:r>
    </w:p>
    <w:p w14:paraId="416A3191" w14:textId="77777777" w:rsidR="001D7965" w:rsidRDefault="00000000">
      <w:pPr>
        <w:spacing w:before="240" w:after="100" w:line="360" w:lineRule="auto"/>
        <w:outlineLvl w:val="0"/>
      </w:pPr>
      <w:r>
        <w:rPr>
          <w:b/>
          <w:bCs/>
          <w:sz w:val="26"/>
          <w:szCs w:val="26"/>
          <w:highlight w:val="yellow"/>
        </w:rPr>
        <w:t>3</w:t>
      </w:r>
      <w:r>
        <w:rPr>
          <w:b/>
          <w:bCs/>
          <w:sz w:val="26"/>
          <w:szCs w:val="26"/>
        </w:rPr>
        <w:t>. Frameworks for Understanding Technology Integration</w:t>
      </w:r>
    </w:p>
    <w:p w14:paraId="21FC66C3" w14:textId="77777777" w:rsidR="001D7965" w:rsidRDefault="00000000">
      <w:pPr>
        <w:spacing w:after="120" w:line="360" w:lineRule="auto"/>
        <w:jc w:val="both"/>
      </w:pPr>
      <w:r>
        <w:rPr>
          <w:color w:val="000000"/>
          <w:sz w:val="24"/>
          <w:szCs w:val="24"/>
        </w:rPr>
        <w:t xml:space="preserve">To evaluate emerging technologies rather than simply to catalogue them, it helps to have a framework for what meaningful integration involves. Three related ideas have shaped the field. The first is the notion of technological pedagogical content knowledge, developed by Mishra </w:t>
      </w:r>
      <w:r>
        <w:rPr>
          <w:color w:val="000000"/>
          <w:sz w:val="24"/>
          <w:szCs w:val="24"/>
        </w:rPr>
        <w:lastRenderedPageBreak/>
        <w:t xml:space="preserve">and Koehler (2006), which holds that effective teaching with technology depends on the interaction of three forms of knowledge, namely knowledge of the subject, knowledge of teaching, and knowledge of technology, together with an understanding of how each shapes the others. On this view a teacher who knows a piece of software well but does not understand how it can be used to teach a particular mathematical idea will not integrate it effectively, and neither will a strong mathematician who treats the technology as a black box. The framework has become the dominant lens for teacher preparation in this area because it locates the difficulty not in the tool but in the </w:t>
      </w:r>
      <w:proofErr w:type="spellStart"/>
      <w:r>
        <w:rPr>
          <w:color w:val="000000"/>
          <w:sz w:val="24"/>
          <w:szCs w:val="24"/>
        </w:rPr>
        <w:t>specialised</w:t>
      </w:r>
      <w:proofErr w:type="spellEnd"/>
      <w:r>
        <w:rPr>
          <w:color w:val="000000"/>
          <w:sz w:val="24"/>
          <w:szCs w:val="24"/>
        </w:rPr>
        <w:t xml:space="preserve"> knowledge needed to use it well (Koehler &amp; Mishra, 2009).</w:t>
      </w:r>
    </w:p>
    <w:p w14:paraId="6AFF0D92" w14:textId="77777777" w:rsidR="001D7965" w:rsidRDefault="00000000">
      <w:pPr>
        <w:spacing w:after="120" w:line="360" w:lineRule="auto"/>
        <w:jc w:val="both"/>
      </w:pPr>
      <w:r>
        <w:rPr>
          <w:color w:val="000000"/>
          <w:sz w:val="24"/>
          <w:szCs w:val="24"/>
        </w:rPr>
        <w:t>The second idea is the distinction between using technology to substitute for existing practice and using it to transform practice, expressed in models such as the substitution, augmentation, modification, and redefinition hierarchy (</w:t>
      </w:r>
      <w:proofErr w:type="spellStart"/>
      <w:r>
        <w:rPr>
          <w:color w:val="000000"/>
          <w:sz w:val="24"/>
          <w:szCs w:val="24"/>
        </w:rPr>
        <w:t>Puentedura</w:t>
      </w:r>
      <w:proofErr w:type="spellEnd"/>
      <w:r>
        <w:rPr>
          <w:color w:val="000000"/>
          <w:sz w:val="24"/>
          <w:szCs w:val="24"/>
        </w:rPr>
        <w:t>, 2013). A graphing tool used only to produce the same plots that were once drawn by hand substitutes for the older method without changing the mathematics, whereas the same tool used to let learners investigate how a curve changes as its parameters vary opens an activity that would be impractical without it. The value of a technology lies less in its novelty than in whether it enables mathematical activity that was previously difficult or impossible. The third idea, drawn from the French tradition of instrumental genesis, is that a tool does not become a mathematical instrument automatically but through a process in which the learner develops schemes for using it, and in which the teacher orchestrates that development (</w:t>
      </w:r>
      <w:proofErr w:type="spellStart"/>
      <w:r>
        <w:rPr>
          <w:color w:val="000000"/>
          <w:sz w:val="24"/>
          <w:szCs w:val="24"/>
        </w:rPr>
        <w:t>Trouche</w:t>
      </w:r>
      <w:proofErr w:type="spellEnd"/>
      <w:r>
        <w:rPr>
          <w:color w:val="000000"/>
          <w:sz w:val="24"/>
          <w:szCs w:val="24"/>
        </w:rPr>
        <w:t>, 2004). These frameworks share a common message. Technology is not neutral and its effect is not automatic, and the pedagogical and mathematical judgement of the teacher remains central even, and perhaps especially, as the tools become more powerful.</w:t>
      </w:r>
    </w:p>
    <w:p w14:paraId="55B885DC" w14:textId="77777777" w:rsidR="001D7965" w:rsidRDefault="00000000">
      <w:pPr>
        <w:spacing w:before="240" w:after="100" w:line="360" w:lineRule="auto"/>
        <w:outlineLvl w:val="0"/>
      </w:pPr>
      <w:r>
        <w:rPr>
          <w:b/>
          <w:bCs/>
          <w:sz w:val="26"/>
          <w:szCs w:val="26"/>
        </w:rPr>
        <w:t>4. Innovations</w:t>
      </w:r>
      <w:r>
        <w:rPr>
          <w:b/>
          <w:bCs/>
          <w:sz w:val="26"/>
          <w:szCs w:val="26"/>
          <w:highlight w:val="yellow"/>
        </w:rPr>
        <w:t xml:space="preserve"> in</w:t>
      </w:r>
      <w:r>
        <w:rPr>
          <w:b/>
          <w:bCs/>
          <w:sz w:val="26"/>
          <w:szCs w:val="26"/>
        </w:rPr>
        <w:t xml:space="preserve"> Emerging Technologies </w:t>
      </w:r>
      <w:r>
        <w:rPr>
          <w:b/>
          <w:bCs/>
          <w:sz w:val="26"/>
          <w:szCs w:val="26"/>
          <w:highlight w:val="yellow"/>
        </w:rPr>
        <w:t>for</w:t>
      </w:r>
      <w:r>
        <w:rPr>
          <w:b/>
          <w:bCs/>
          <w:sz w:val="26"/>
          <w:szCs w:val="26"/>
        </w:rPr>
        <w:t xml:space="preserve"> Mathematics Education</w:t>
      </w:r>
    </w:p>
    <w:p w14:paraId="22F43173" w14:textId="77777777" w:rsidR="001D7965" w:rsidRDefault="00000000">
      <w:pPr>
        <w:spacing w:before="180" w:after="80" w:line="360" w:lineRule="auto"/>
        <w:outlineLvl w:val="1"/>
      </w:pPr>
      <w:r>
        <w:rPr>
          <w:b/>
          <w:bCs/>
          <w:i/>
          <w:iCs/>
          <w:sz w:val="24"/>
          <w:szCs w:val="24"/>
          <w:highlight w:val="yellow"/>
        </w:rPr>
        <w:t>4</w:t>
      </w:r>
      <w:r>
        <w:rPr>
          <w:b/>
          <w:bCs/>
          <w:i/>
          <w:iCs/>
          <w:sz w:val="24"/>
          <w:szCs w:val="24"/>
        </w:rPr>
        <w:t>.1 Dynamic Mathematics Software and Virtual Manipulatives</w:t>
      </w:r>
    </w:p>
    <w:p w14:paraId="0D19CB2B" w14:textId="77777777" w:rsidR="001D7965" w:rsidRDefault="00000000">
      <w:pPr>
        <w:spacing w:after="120" w:line="360" w:lineRule="auto"/>
        <w:jc w:val="both"/>
      </w:pPr>
      <w:r>
        <w:rPr>
          <w:color w:val="000000"/>
          <w:sz w:val="24"/>
          <w:szCs w:val="24"/>
        </w:rPr>
        <w:t xml:space="preserve">Among the most established of the digital innovations are dynamic geometry and dynamic mathematics environments, which allow learners to construct mathematical objects and then vary them continuously while relationships are preserved. Dragging a vertex of a triangle and watching the angle sum remain constant, or moving a point along a curve and watching a tangent respond, gives learners access to the general behind the particular in a way that static diagrams cannot. Software such as GeoGebra, which combines dynamic geometry with algebra, calculus, and statistics in a single free environment, has been widely adopted for this </w:t>
      </w:r>
      <w:r>
        <w:rPr>
          <w:color w:val="000000"/>
          <w:sz w:val="24"/>
          <w:szCs w:val="24"/>
        </w:rPr>
        <w:lastRenderedPageBreak/>
        <w:t>reason and has made these capabilities available even where commercial software is unaffordable (</w:t>
      </w:r>
      <w:proofErr w:type="spellStart"/>
      <w:r>
        <w:rPr>
          <w:color w:val="000000"/>
          <w:sz w:val="24"/>
          <w:szCs w:val="24"/>
        </w:rPr>
        <w:t>Hohenwarter</w:t>
      </w:r>
      <w:proofErr w:type="spellEnd"/>
      <w:r>
        <w:rPr>
          <w:color w:val="000000"/>
          <w:sz w:val="24"/>
          <w:szCs w:val="24"/>
        </w:rPr>
        <w:t xml:space="preserve"> &amp; Fuchs, 2004). Closely related are virtual manipulatives, digital versions of the physical objects long used to make number and operation concrete, which research has associated with gains in understanding when they are well designed and purposefully used (Moyer-Packenham &amp; </w:t>
      </w:r>
      <w:proofErr w:type="spellStart"/>
      <w:r>
        <w:rPr>
          <w:color w:val="000000"/>
          <w:sz w:val="24"/>
          <w:szCs w:val="24"/>
        </w:rPr>
        <w:t>Westenskow</w:t>
      </w:r>
      <w:proofErr w:type="spellEnd"/>
      <w:r>
        <w:rPr>
          <w:color w:val="000000"/>
          <w:sz w:val="24"/>
          <w:szCs w:val="24"/>
        </w:rPr>
        <w:t>, 2013). The strength of these tools lies in making abstract structure visible and manipulable, which supports the movement between the visual and the formal that is central to mathematical thinking.</w:t>
      </w:r>
    </w:p>
    <w:p w14:paraId="3193E18D" w14:textId="77777777" w:rsidR="001D7965" w:rsidRDefault="00000000">
      <w:pPr>
        <w:spacing w:before="180" w:after="80" w:line="360" w:lineRule="auto"/>
        <w:outlineLvl w:val="1"/>
      </w:pPr>
      <w:r>
        <w:rPr>
          <w:b/>
          <w:bCs/>
          <w:i/>
          <w:iCs/>
          <w:sz w:val="24"/>
          <w:szCs w:val="24"/>
          <w:highlight w:val="yellow"/>
        </w:rPr>
        <w:t>4</w:t>
      </w:r>
      <w:r>
        <w:rPr>
          <w:b/>
          <w:bCs/>
          <w:i/>
          <w:iCs/>
          <w:sz w:val="24"/>
          <w:szCs w:val="24"/>
        </w:rPr>
        <w:t>.2 Artificial Intelligence, Intelligent Tutoring, and Adaptive Learning</w:t>
      </w:r>
    </w:p>
    <w:p w14:paraId="1140A927" w14:textId="77777777" w:rsidR="001D7965" w:rsidRDefault="00000000">
      <w:pPr>
        <w:spacing w:after="120" w:line="360" w:lineRule="auto"/>
        <w:jc w:val="both"/>
      </w:pPr>
      <w:r>
        <w:rPr>
          <w:color w:val="000000"/>
          <w:sz w:val="24"/>
          <w:szCs w:val="24"/>
        </w:rPr>
        <w:t xml:space="preserve">Artificial intelligence has moved rapidly from the margins to the </w:t>
      </w:r>
      <w:proofErr w:type="spellStart"/>
      <w:r>
        <w:rPr>
          <w:color w:val="000000"/>
          <w:sz w:val="24"/>
          <w:szCs w:val="24"/>
        </w:rPr>
        <w:t>centre</w:t>
      </w:r>
      <w:proofErr w:type="spellEnd"/>
      <w:r>
        <w:rPr>
          <w:color w:val="000000"/>
          <w:sz w:val="24"/>
          <w:szCs w:val="24"/>
        </w:rPr>
        <w:t xml:space="preserve"> of discussion in education. Intelligent tutoring systems, which model a learner's knowledge and offer tailored problems and feedback, have been studied for many years and have shown positive effects on mathematics attainment, particularly when they free teachers to concentrate on learners who need more support (Heffernan &amp; Heffernan, 2014; </w:t>
      </w:r>
      <w:proofErr w:type="spellStart"/>
      <w:r>
        <w:rPr>
          <w:color w:val="000000"/>
          <w:sz w:val="24"/>
          <w:szCs w:val="24"/>
        </w:rPr>
        <w:t>Roschelle</w:t>
      </w:r>
      <w:proofErr w:type="spellEnd"/>
      <w:r>
        <w:rPr>
          <w:color w:val="000000"/>
          <w:sz w:val="24"/>
          <w:szCs w:val="24"/>
        </w:rPr>
        <w:t xml:space="preserve"> et al., 2016). Adaptive learning platforms extend this idea by adjusting the sequence and difficulty of tasks to each learner in real time. More recently, generative artificial intelligence has raised the possibility of systems that can explain, question, and converse about mathematics in natural language, offering something closer to a personal tutor at scale (Holmes et al., 2019; </w:t>
      </w:r>
      <w:proofErr w:type="spellStart"/>
      <w:r>
        <w:rPr>
          <w:color w:val="000000"/>
          <w:sz w:val="24"/>
          <w:szCs w:val="24"/>
        </w:rPr>
        <w:t>Luckin</w:t>
      </w:r>
      <w:proofErr w:type="spellEnd"/>
      <w:r>
        <w:rPr>
          <w:color w:val="000000"/>
          <w:sz w:val="24"/>
          <w:szCs w:val="24"/>
        </w:rPr>
        <w:t xml:space="preserve"> et al., 2016). The promise is considerable, since individual attention has long been known to help and has long been scarce. The same capabilities, however, raise questions that the earlier tools did not, concerning the accuracy of machine-generated explanations, the risk that learners will accept answers without understanding, and the proper role of the teacher when a machine can appear to do much of the explaining. These questions are taken up in the discussion of challenges.</w:t>
      </w:r>
    </w:p>
    <w:p w14:paraId="78A60938" w14:textId="77777777" w:rsidR="001D7965" w:rsidRDefault="00000000">
      <w:pPr>
        <w:spacing w:before="180" w:after="80" w:line="360" w:lineRule="auto"/>
        <w:outlineLvl w:val="1"/>
      </w:pPr>
      <w:r>
        <w:rPr>
          <w:b/>
          <w:bCs/>
          <w:i/>
          <w:iCs/>
          <w:sz w:val="24"/>
          <w:szCs w:val="24"/>
          <w:highlight w:val="yellow"/>
        </w:rPr>
        <w:t>4</w:t>
      </w:r>
      <w:r>
        <w:rPr>
          <w:b/>
          <w:bCs/>
          <w:i/>
          <w:iCs/>
          <w:sz w:val="24"/>
          <w:szCs w:val="24"/>
        </w:rPr>
        <w:t xml:space="preserve">.3 Immersive Technologies </w:t>
      </w:r>
      <w:r>
        <w:rPr>
          <w:b/>
          <w:bCs/>
          <w:i/>
          <w:iCs/>
          <w:sz w:val="24"/>
          <w:szCs w:val="24"/>
          <w:highlight w:val="yellow"/>
        </w:rPr>
        <w:t>in</w:t>
      </w:r>
      <w:r>
        <w:rPr>
          <w:b/>
          <w:bCs/>
          <w:i/>
          <w:iCs/>
          <w:sz w:val="24"/>
          <w:szCs w:val="24"/>
        </w:rPr>
        <w:t xml:space="preserve"> Virtual and Augmented Reality</w:t>
      </w:r>
    </w:p>
    <w:p w14:paraId="14BC9133" w14:textId="77777777" w:rsidR="001D7965" w:rsidRDefault="00000000">
      <w:pPr>
        <w:spacing w:after="120" w:line="360" w:lineRule="auto"/>
        <w:jc w:val="both"/>
      </w:pPr>
      <w:r>
        <w:rPr>
          <w:color w:val="000000"/>
          <w:sz w:val="24"/>
          <w:szCs w:val="24"/>
        </w:rPr>
        <w:t xml:space="preserve">Immersive technologies offer a different kind of contribution, namely the ability to give spatial and abstract ideas a form that learners can move through and around. Augmented reality can place a three-dimensional solid on a learner's desk through the camera of a tablet, allowing its cross-sections and nets to be explored from every angle, while virtual reality can situate mathematical tasks in constructed environments that would be impossible or unsafe in a classroom. For topics with a strong spatial component, such as solid geometry, transformations, and the </w:t>
      </w:r>
      <w:proofErr w:type="spellStart"/>
      <w:r>
        <w:rPr>
          <w:color w:val="000000"/>
          <w:sz w:val="24"/>
          <w:szCs w:val="24"/>
        </w:rPr>
        <w:t>visualisation</w:t>
      </w:r>
      <w:proofErr w:type="spellEnd"/>
      <w:r>
        <w:rPr>
          <w:color w:val="000000"/>
          <w:sz w:val="24"/>
          <w:szCs w:val="24"/>
        </w:rPr>
        <w:t xml:space="preserve"> of functions of several variables, these technologies address a genuine difficulty, because the flat page and the flat screen have always struggled to convey three-dimensional relationships. The evidence base is younger and thinner than for dynamic </w:t>
      </w:r>
      <w:r>
        <w:rPr>
          <w:color w:val="000000"/>
          <w:sz w:val="24"/>
          <w:szCs w:val="24"/>
        </w:rPr>
        <w:lastRenderedPageBreak/>
        <w:t>software, and the cost of equipment remains a barrier, but the pedagogical rationale is clear where the mathematics is inherently spatial.</w:t>
      </w:r>
    </w:p>
    <w:p w14:paraId="211AFBB7" w14:textId="77777777" w:rsidR="001D7965" w:rsidRDefault="00000000">
      <w:pPr>
        <w:spacing w:before="180" w:after="80" w:line="360" w:lineRule="auto"/>
        <w:outlineLvl w:val="1"/>
      </w:pPr>
      <w:r>
        <w:rPr>
          <w:b/>
          <w:bCs/>
          <w:i/>
          <w:iCs/>
          <w:sz w:val="24"/>
          <w:szCs w:val="24"/>
          <w:highlight w:val="yellow"/>
        </w:rPr>
        <w:t>4</w:t>
      </w:r>
      <w:r>
        <w:rPr>
          <w:b/>
          <w:bCs/>
          <w:i/>
          <w:iCs/>
          <w:sz w:val="24"/>
          <w:szCs w:val="24"/>
        </w:rPr>
        <w:t>.4 Online, Blended, and Mobile Learning</w:t>
      </w:r>
    </w:p>
    <w:p w14:paraId="23375913" w14:textId="77777777" w:rsidR="001D7965" w:rsidRDefault="00000000">
      <w:pPr>
        <w:spacing w:after="120" w:line="360" w:lineRule="auto"/>
        <w:jc w:val="both"/>
      </w:pPr>
      <w:r>
        <w:rPr>
          <w:color w:val="000000"/>
          <w:sz w:val="24"/>
          <w:szCs w:val="24"/>
        </w:rPr>
        <w:t>The network dimension of technology has reshaped where and how mathematics is learned. Online and blended models combine face-to-face teaching with digital resources and communication, and mobile devices have extended access to learners who have no computer but do have a telephone. The abrupt shift to remote teaching during the pandemic of 2020 accelerated this change and forced a large and involuntary experiment in teaching mathematics at a distance, the lessons of which are still being absorbed (Engelbrecht et al., 2020). That experience showed both the reach of online approaches and their limits, since mathematics teaching depends heavily on the observation of learners' reasoning and on immediate responsive interaction, which are harder to sustain through a screen. Blended models that combine the reach of the network with the responsiveness of the classroom have emerged as the more durable arrangement (</w:t>
      </w:r>
      <w:proofErr w:type="spellStart"/>
      <w:r>
        <w:rPr>
          <w:color w:val="000000"/>
          <w:sz w:val="24"/>
          <w:szCs w:val="24"/>
        </w:rPr>
        <w:t>Borba</w:t>
      </w:r>
      <w:proofErr w:type="spellEnd"/>
      <w:r>
        <w:rPr>
          <w:color w:val="000000"/>
          <w:sz w:val="24"/>
          <w:szCs w:val="24"/>
        </w:rPr>
        <w:t xml:space="preserve"> et al., 2016). For many learners in low-income settings the mobile telephone is the only realistic point of access, which makes mobile-first design a matter of equity rather than convenience.</w:t>
      </w:r>
    </w:p>
    <w:p w14:paraId="1D60ED38" w14:textId="77777777" w:rsidR="001D7965" w:rsidRDefault="00000000">
      <w:pPr>
        <w:spacing w:before="180" w:after="80" w:line="360" w:lineRule="auto"/>
        <w:outlineLvl w:val="1"/>
      </w:pPr>
      <w:r>
        <w:rPr>
          <w:b/>
          <w:bCs/>
          <w:i/>
          <w:iCs/>
          <w:sz w:val="24"/>
          <w:szCs w:val="24"/>
          <w:highlight w:val="yellow"/>
        </w:rPr>
        <w:t>4</w:t>
      </w:r>
      <w:r>
        <w:rPr>
          <w:b/>
          <w:bCs/>
          <w:i/>
          <w:iCs/>
          <w:sz w:val="24"/>
          <w:szCs w:val="24"/>
        </w:rPr>
        <w:t>.5 Gamification and Game-Based Learning</w:t>
      </w:r>
    </w:p>
    <w:p w14:paraId="2A79437A" w14:textId="77777777" w:rsidR="001D7965" w:rsidRDefault="00000000">
      <w:pPr>
        <w:spacing w:after="120" w:line="360" w:lineRule="auto"/>
        <w:jc w:val="both"/>
      </w:pPr>
      <w:r>
        <w:rPr>
          <w:color w:val="000000"/>
          <w:sz w:val="24"/>
          <w:szCs w:val="24"/>
        </w:rPr>
        <w:t>Game-based approaches seek to draw on the motivation, persistence, and tolerance of failure that games can evoke, and to bring these to the practice of mathematics. A well-designed mathematical game can encourage learners to attempt many problems, to treat error as part of the process, and to persist through difficulty, all of which are valuable dispositions in mathematics. The distinction between genuine game-based learning, in which the mathematics is embedded in the play, and shallow gamification, in which points and badges are added to conventional exercises, is important, since the latter can motivate effort without deepening understanding. Where the game structure is aligned with the mathematical goal, the approach can support both engagement and learning, but the alignment is not guaranteed by the presence of game elements alone.</w:t>
      </w:r>
    </w:p>
    <w:p w14:paraId="091E79C3" w14:textId="77777777" w:rsidR="001D7965" w:rsidRDefault="00000000">
      <w:pPr>
        <w:spacing w:before="180" w:after="80" w:line="360" w:lineRule="auto"/>
        <w:outlineLvl w:val="1"/>
      </w:pPr>
      <w:r>
        <w:rPr>
          <w:b/>
          <w:bCs/>
          <w:i/>
          <w:iCs/>
          <w:sz w:val="24"/>
          <w:szCs w:val="24"/>
          <w:highlight w:val="yellow"/>
        </w:rPr>
        <w:t>4</w:t>
      </w:r>
      <w:r>
        <w:rPr>
          <w:b/>
          <w:bCs/>
          <w:i/>
          <w:iCs/>
          <w:sz w:val="24"/>
          <w:szCs w:val="24"/>
        </w:rPr>
        <w:t>.6 Computational Thinking, Coding, and Robotics</w:t>
      </w:r>
    </w:p>
    <w:p w14:paraId="7131EA87" w14:textId="77777777" w:rsidR="001D7965" w:rsidRDefault="00000000">
      <w:pPr>
        <w:spacing w:after="120" w:line="360" w:lineRule="auto"/>
        <w:jc w:val="both"/>
      </w:pPr>
      <w:r>
        <w:rPr>
          <w:color w:val="000000"/>
          <w:sz w:val="24"/>
          <w:szCs w:val="24"/>
        </w:rPr>
        <w:t>A further innovation reconnects mathematics with computing, a relationship that goes back to early work on learning through programming (</w:t>
      </w:r>
      <w:proofErr w:type="spellStart"/>
      <w:r>
        <w:rPr>
          <w:color w:val="000000"/>
          <w:sz w:val="24"/>
          <w:szCs w:val="24"/>
        </w:rPr>
        <w:t>Papert</w:t>
      </w:r>
      <w:proofErr w:type="spellEnd"/>
      <w:r>
        <w:rPr>
          <w:color w:val="000000"/>
          <w:sz w:val="24"/>
          <w:szCs w:val="24"/>
        </w:rPr>
        <w:t xml:space="preserve">, 1980) and that has been renewed under the heading of computational thinking (Wing, 2006). When learners program, they must express mathematical ideas precisely, decompose problems, and reason about generality, and </w:t>
      </w:r>
      <w:r>
        <w:rPr>
          <w:color w:val="000000"/>
          <w:sz w:val="24"/>
          <w:szCs w:val="24"/>
        </w:rPr>
        <w:lastRenderedPageBreak/>
        <w:t>educational robotics gives these activities a tangible form that can be especially engaging for younger learners. Computational thinking is increasingly treated as a competence in its own right and is being written into curricula in many countries, and it offers mathematics education a way to make the subject active and constructive rather than receptive. The challenge is to keep the mathematics in view, since programming activities can drift towards technical detail that crowds out the mathematical reasoning they were meant to support.</w:t>
      </w:r>
    </w:p>
    <w:p w14:paraId="22FF4231" w14:textId="77777777" w:rsidR="001D7965" w:rsidRDefault="00000000">
      <w:pPr>
        <w:spacing w:before="180" w:after="80" w:line="360" w:lineRule="auto"/>
        <w:outlineLvl w:val="1"/>
      </w:pPr>
      <w:r>
        <w:rPr>
          <w:b/>
          <w:bCs/>
          <w:i/>
          <w:iCs/>
          <w:sz w:val="24"/>
          <w:szCs w:val="24"/>
          <w:highlight w:val="yellow"/>
        </w:rPr>
        <w:t>4</w:t>
      </w:r>
      <w:r>
        <w:rPr>
          <w:b/>
          <w:bCs/>
          <w:i/>
          <w:iCs/>
          <w:sz w:val="24"/>
          <w:szCs w:val="24"/>
        </w:rPr>
        <w:t>.7 Learning Analytics and Data-Driven Instruction</w:t>
      </w:r>
    </w:p>
    <w:p w14:paraId="359B2319" w14:textId="77777777" w:rsidR="001D7965" w:rsidRDefault="00000000">
      <w:pPr>
        <w:spacing w:after="120" w:line="360" w:lineRule="auto"/>
        <w:jc w:val="both"/>
      </w:pPr>
      <w:r>
        <w:rPr>
          <w:color w:val="000000"/>
          <w:sz w:val="24"/>
          <w:szCs w:val="24"/>
        </w:rPr>
        <w:t>Digital learning generates data, and learning analytics seeks to turn that data into insight that can guide teaching. By tracking how learners move through tasks, which errors recur, and where progress stalls, analytics can give teachers a picture of their class that would be laborious to assemble by hand, and can flag learners who are falling behind before the difficulty becomes entrenched. Used well, this supports the timely and targeted response that good teaching has always aimed at. Used poorly, it risks reducing learning to what is easily measured and encouraging attention to metrics rather than understanding. As with the other innovations, the tool creates a possibility that pedagogy must direct.</w:t>
      </w:r>
    </w:p>
    <w:p w14:paraId="1B9E52FF" w14:textId="77777777" w:rsidR="001D7965" w:rsidRDefault="00000000">
      <w:pPr>
        <w:spacing w:before="240" w:after="100" w:line="360" w:lineRule="auto"/>
        <w:outlineLvl w:val="0"/>
      </w:pPr>
      <w:r>
        <w:rPr>
          <w:b/>
          <w:bCs/>
          <w:sz w:val="26"/>
          <w:szCs w:val="26"/>
          <w:highlight w:val="yellow"/>
        </w:rPr>
        <w:t>5</w:t>
      </w:r>
      <w:r>
        <w:rPr>
          <w:b/>
          <w:bCs/>
          <w:sz w:val="26"/>
          <w:szCs w:val="26"/>
        </w:rPr>
        <w:t>. Challenges in Integrating Emerging Technologies</w:t>
      </w:r>
    </w:p>
    <w:p w14:paraId="23E2BD1B" w14:textId="77777777" w:rsidR="001D7965" w:rsidRDefault="00000000">
      <w:pPr>
        <w:spacing w:before="180" w:after="80" w:line="360" w:lineRule="auto"/>
        <w:outlineLvl w:val="1"/>
      </w:pPr>
      <w:r>
        <w:rPr>
          <w:b/>
          <w:bCs/>
          <w:i/>
          <w:iCs/>
          <w:sz w:val="24"/>
          <w:szCs w:val="24"/>
          <w:highlight w:val="yellow"/>
        </w:rPr>
        <w:t>5</w:t>
      </w:r>
      <w:r>
        <w:rPr>
          <w:b/>
          <w:bCs/>
          <w:i/>
          <w:iCs/>
          <w:sz w:val="24"/>
          <w:szCs w:val="24"/>
        </w:rPr>
        <w:t>.1 Infrastructure and the Digital Divide</w:t>
      </w:r>
    </w:p>
    <w:p w14:paraId="4C7D7EB0" w14:textId="77777777" w:rsidR="001D7965" w:rsidRDefault="00000000">
      <w:pPr>
        <w:spacing w:after="120" w:line="360" w:lineRule="auto"/>
        <w:jc w:val="both"/>
      </w:pPr>
      <w:r>
        <w:rPr>
          <w:color w:val="000000"/>
          <w:sz w:val="24"/>
          <w:szCs w:val="24"/>
        </w:rPr>
        <w:t>The most immediate obstacle in much of the world is that the basic conditions for using technology are not in place. Reliable electricity, affordable and stable internet connectivity, sufficient devices, and secure spaces to keep and maintain them cannot be assumed in many schools, and where they are absent the most promising software is of little use. The digital divide is not only a matter of access to devices but of the quality of that access and of the skills and support needed to use it, a point made in the wider literature on technology and social inclusion (</w:t>
      </w:r>
      <w:proofErr w:type="spellStart"/>
      <w:r>
        <w:rPr>
          <w:color w:val="000000"/>
          <w:sz w:val="24"/>
          <w:szCs w:val="24"/>
        </w:rPr>
        <w:t>Warschauer</w:t>
      </w:r>
      <w:proofErr w:type="spellEnd"/>
      <w:r>
        <w:rPr>
          <w:color w:val="000000"/>
          <w:sz w:val="24"/>
          <w:szCs w:val="24"/>
        </w:rPr>
        <w:t>, 2003). In resource-constrained settings the divide operates at several levels at once, between countries, between urban and rural schools within a country, and between learners within a single classroom, and technology introduced without regard to these differences can widen the very gaps it was meant to close.</w:t>
      </w:r>
    </w:p>
    <w:p w14:paraId="05720387" w14:textId="77777777" w:rsidR="001D7965" w:rsidRDefault="00000000">
      <w:pPr>
        <w:spacing w:before="180" w:after="80" w:line="360" w:lineRule="auto"/>
        <w:outlineLvl w:val="1"/>
      </w:pPr>
      <w:r>
        <w:rPr>
          <w:b/>
          <w:bCs/>
          <w:i/>
          <w:iCs/>
          <w:sz w:val="24"/>
          <w:szCs w:val="24"/>
          <w:highlight w:val="yellow"/>
        </w:rPr>
        <w:t>5</w:t>
      </w:r>
      <w:r>
        <w:rPr>
          <w:b/>
          <w:bCs/>
          <w:i/>
          <w:iCs/>
          <w:sz w:val="24"/>
          <w:szCs w:val="24"/>
        </w:rPr>
        <w:t>.2 Teacher Preparation and Professional Development</w:t>
      </w:r>
    </w:p>
    <w:p w14:paraId="01FE0081" w14:textId="77777777" w:rsidR="001D7965" w:rsidRDefault="00000000">
      <w:pPr>
        <w:spacing w:after="120" w:line="360" w:lineRule="auto"/>
        <w:jc w:val="both"/>
      </w:pPr>
      <w:r>
        <w:rPr>
          <w:color w:val="000000"/>
          <w:sz w:val="24"/>
          <w:szCs w:val="24"/>
        </w:rPr>
        <w:t xml:space="preserve">Even where infrastructure exists, the decisive factor is the teacher, and teachers are frequently underprepared to integrate technology in ways that serve mathematical learning. The knowledge required is </w:t>
      </w:r>
      <w:proofErr w:type="spellStart"/>
      <w:r>
        <w:rPr>
          <w:color w:val="000000"/>
          <w:sz w:val="24"/>
          <w:szCs w:val="24"/>
        </w:rPr>
        <w:t>specialised</w:t>
      </w:r>
      <w:proofErr w:type="spellEnd"/>
      <w:r>
        <w:rPr>
          <w:color w:val="000000"/>
          <w:sz w:val="24"/>
          <w:szCs w:val="24"/>
        </w:rPr>
        <w:t xml:space="preserve">, as the technological pedagogical content knowledge </w:t>
      </w:r>
      <w:r>
        <w:rPr>
          <w:color w:val="000000"/>
          <w:sz w:val="24"/>
          <w:szCs w:val="24"/>
        </w:rPr>
        <w:lastRenderedPageBreak/>
        <w:t>framework makes clear, and it is not acquired simply by being given a device or attending a one-off workshop (Mishra &amp; Koehler, 2006). Research on the barriers to integration distinguishes between first-order barriers, which are external, such as lack of equipment and time, and second-order barriers, which are internal, such as teachers' beliefs about mathematics and about the role of technology in learning it (</w:t>
      </w:r>
      <w:proofErr w:type="spellStart"/>
      <w:r>
        <w:rPr>
          <w:color w:val="000000"/>
          <w:sz w:val="24"/>
          <w:szCs w:val="24"/>
        </w:rPr>
        <w:t>Ertmer</w:t>
      </w:r>
      <w:proofErr w:type="spellEnd"/>
      <w:r>
        <w:rPr>
          <w:color w:val="000000"/>
          <w:sz w:val="24"/>
          <w:szCs w:val="24"/>
        </w:rPr>
        <w:t xml:space="preserve">, 1999; </w:t>
      </w:r>
      <w:proofErr w:type="spellStart"/>
      <w:r>
        <w:rPr>
          <w:color w:val="000000"/>
          <w:sz w:val="24"/>
          <w:szCs w:val="24"/>
        </w:rPr>
        <w:t>Ertmer</w:t>
      </w:r>
      <w:proofErr w:type="spellEnd"/>
      <w:r>
        <w:rPr>
          <w:color w:val="000000"/>
          <w:sz w:val="24"/>
          <w:szCs w:val="24"/>
        </w:rPr>
        <w:t xml:space="preserve"> &amp; Ottenbreit-Leftwich, 2010). The second-order barriers are the harder to shift, because a teacher who believes that mathematics is best learned through repeated practice of procedures will use even the most open technology for procedural ends. Sustained, subject-specific professional development that addresses beliefs as well as skills is therefore essential, and its absence is a common reason for the disappointing return on technology investment.</w:t>
      </w:r>
    </w:p>
    <w:p w14:paraId="0865F9A8" w14:textId="77777777" w:rsidR="001D7965" w:rsidRDefault="00000000">
      <w:pPr>
        <w:spacing w:before="180" w:after="80" w:line="360" w:lineRule="auto"/>
        <w:outlineLvl w:val="1"/>
      </w:pPr>
      <w:r>
        <w:rPr>
          <w:b/>
          <w:bCs/>
          <w:i/>
          <w:iCs/>
          <w:sz w:val="24"/>
          <w:szCs w:val="24"/>
          <w:highlight w:val="yellow"/>
        </w:rPr>
        <w:t>5</w:t>
      </w:r>
      <w:r>
        <w:rPr>
          <w:b/>
          <w:bCs/>
          <w:i/>
          <w:iCs/>
          <w:sz w:val="24"/>
          <w:szCs w:val="24"/>
        </w:rPr>
        <w:t>.3 Pedagogical Integration and the Risk of Superficial Use</w:t>
      </w:r>
    </w:p>
    <w:p w14:paraId="4B275CA1" w14:textId="77777777" w:rsidR="001D7965" w:rsidRDefault="00000000">
      <w:pPr>
        <w:spacing w:after="120" w:line="360" w:lineRule="auto"/>
        <w:jc w:val="both"/>
      </w:pPr>
      <w:r>
        <w:rPr>
          <w:color w:val="000000"/>
          <w:sz w:val="24"/>
          <w:szCs w:val="24"/>
        </w:rPr>
        <w:t xml:space="preserve">A recurring finding is that powerful tools are often put to routine purposes. Dynamic software is used to display rather than to investigate, adaptive systems are used to deliver the same drill that a worksheet would provide, and online platforms are used to distribute notes rather than to enable new forms of mathematical activity. This is the substitution level of technology use, and while substitution is not without value, it does not </w:t>
      </w:r>
      <w:proofErr w:type="spellStart"/>
      <w:r>
        <w:rPr>
          <w:color w:val="000000"/>
          <w:sz w:val="24"/>
          <w:szCs w:val="24"/>
        </w:rPr>
        <w:t>realise</w:t>
      </w:r>
      <w:proofErr w:type="spellEnd"/>
      <w:r>
        <w:rPr>
          <w:color w:val="000000"/>
          <w:sz w:val="24"/>
          <w:szCs w:val="24"/>
        </w:rPr>
        <w:t xml:space="preserve"> the potential that justified the investment. The tendency towards superficial use is not a failing of particular teachers so much as a predictable result of introducing tools without the pedagogical rethinking that would let them transform practice. Meta-analytic evidence indicates that digital tools can enhance mathematics learning, but that the effect depends heavily on how the tools are used and on the support teachers receive, which confirms that the technology is a necessary but not a sufficient condition for improvement (</w:t>
      </w:r>
      <w:proofErr w:type="spellStart"/>
      <w:r>
        <w:rPr>
          <w:color w:val="000000"/>
          <w:sz w:val="24"/>
          <w:szCs w:val="24"/>
        </w:rPr>
        <w:t>Hillmayr</w:t>
      </w:r>
      <w:proofErr w:type="spellEnd"/>
      <w:r>
        <w:rPr>
          <w:color w:val="000000"/>
          <w:sz w:val="24"/>
          <w:szCs w:val="24"/>
        </w:rPr>
        <w:t xml:space="preserve"> et al., 2020).</w:t>
      </w:r>
    </w:p>
    <w:p w14:paraId="4019589B" w14:textId="77777777" w:rsidR="001D7965" w:rsidRDefault="00000000">
      <w:pPr>
        <w:spacing w:before="180" w:after="80" w:line="360" w:lineRule="auto"/>
        <w:outlineLvl w:val="1"/>
      </w:pPr>
      <w:r>
        <w:rPr>
          <w:b/>
          <w:bCs/>
          <w:i/>
          <w:iCs/>
          <w:sz w:val="24"/>
          <w:szCs w:val="24"/>
          <w:highlight w:val="yellow"/>
        </w:rPr>
        <w:t>5</w:t>
      </w:r>
      <w:r>
        <w:rPr>
          <w:b/>
          <w:bCs/>
          <w:i/>
          <w:iCs/>
          <w:sz w:val="24"/>
          <w:szCs w:val="24"/>
        </w:rPr>
        <w:t>.4 Equity and Inclusion</w:t>
      </w:r>
    </w:p>
    <w:p w14:paraId="276911D8" w14:textId="77777777" w:rsidR="001D7965" w:rsidRDefault="00000000">
      <w:pPr>
        <w:spacing w:after="120" w:line="360" w:lineRule="auto"/>
        <w:jc w:val="both"/>
      </w:pPr>
      <w:r>
        <w:rPr>
          <w:color w:val="000000"/>
          <w:sz w:val="24"/>
          <w:szCs w:val="24"/>
        </w:rPr>
        <w:t xml:space="preserve">Technology can promote inclusion, through assistive features, multiple representations, and flexible pacing that help learners with differing needs, but it can also entrench exclusion. When resources are unequally distributed, the learners who already have advantages tend to gain most from new technology, so that innovation intended to level differences instead amplifies them. Language is a further dimension, since most educational software is produced in a small number of dominant languages and may not serve learners who study mathematics in another tongue. Cultural relevance matters too, because tools designed around the examples and assumptions of one context may not connect with learners elsewhere. Attention to equity </w:t>
      </w:r>
      <w:r>
        <w:rPr>
          <w:color w:val="000000"/>
          <w:sz w:val="24"/>
          <w:szCs w:val="24"/>
        </w:rPr>
        <w:lastRenderedPageBreak/>
        <w:t>therefore has to be built into the design and deployment of technology rather than hoped for as a by-product.</w:t>
      </w:r>
    </w:p>
    <w:p w14:paraId="04DE55A7" w14:textId="77777777" w:rsidR="001D7965" w:rsidRDefault="00000000">
      <w:pPr>
        <w:spacing w:before="180" w:after="80" w:line="360" w:lineRule="auto"/>
        <w:outlineLvl w:val="1"/>
      </w:pPr>
      <w:r>
        <w:rPr>
          <w:b/>
          <w:bCs/>
          <w:i/>
          <w:iCs/>
          <w:sz w:val="24"/>
          <w:szCs w:val="24"/>
          <w:highlight w:val="yellow"/>
        </w:rPr>
        <w:t>5</w:t>
      </w:r>
      <w:r>
        <w:rPr>
          <w:b/>
          <w:bCs/>
          <w:i/>
          <w:iCs/>
          <w:sz w:val="24"/>
          <w:szCs w:val="24"/>
        </w:rPr>
        <w:t>.5 Assessment and Academic Integrity</w:t>
      </w:r>
    </w:p>
    <w:p w14:paraId="60889466" w14:textId="77777777" w:rsidR="001D7965" w:rsidRDefault="00000000">
      <w:pPr>
        <w:spacing w:after="120" w:line="360" w:lineRule="auto"/>
        <w:jc w:val="both"/>
      </w:pPr>
      <w:r>
        <w:rPr>
          <w:color w:val="000000"/>
          <w:sz w:val="24"/>
          <w:szCs w:val="24"/>
        </w:rPr>
        <w:t>Emerging technologies unsettle established practices of assessment. When learners have access to software that can solve standard problems, and more recently to systems that can generate worked solutions and explanations on demand, the meaning of an unsupervised mathematics task changes, and assessment designed for a pre-digital era may no longer measure what it claims to. This has prompted a reconsideration of what is worth assessing, with greater emphasis on reasoning, justification, and the interpretation of results, which are harder to outsource to a machine, and less on the reproduction of procedures that machines perform reliably. The arrival of generative artificial intelligence has made this question urgent rather than theoretical, and the field has not yet settled on a stable response.</w:t>
      </w:r>
    </w:p>
    <w:p w14:paraId="72B1F7C0" w14:textId="77777777" w:rsidR="001D7965" w:rsidRDefault="00000000">
      <w:pPr>
        <w:spacing w:before="180" w:after="80" w:line="360" w:lineRule="auto"/>
        <w:outlineLvl w:val="1"/>
      </w:pPr>
      <w:r>
        <w:rPr>
          <w:b/>
          <w:bCs/>
          <w:i/>
          <w:iCs/>
          <w:sz w:val="24"/>
          <w:szCs w:val="24"/>
          <w:highlight w:val="yellow"/>
        </w:rPr>
        <w:t>5</w:t>
      </w:r>
      <w:r>
        <w:rPr>
          <w:b/>
          <w:bCs/>
          <w:i/>
          <w:iCs/>
          <w:sz w:val="24"/>
          <w:szCs w:val="24"/>
        </w:rPr>
        <w:t>.6 Ethics, Data Privacy, and Algorithmic Bias</w:t>
      </w:r>
    </w:p>
    <w:p w14:paraId="307A73C4" w14:textId="77777777" w:rsidR="001D7965" w:rsidRDefault="00000000">
      <w:pPr>
        <w:spacing w:after="120" w:line="360" w:lineRule="auto"/>
        <w:jc w:val="both"/>
      </w:pPr>
      <w:r>
        <w:rPr>
          <w:color w:val="000000"/>
          <w:sz w:val="24"/>
          <w:szCs w:val="24"/>
        </w:rPr>
        <w:t>Data-driven and artificial intelligence systems raise ethical questions that mathematics education has not previously had to face. These systems collect detailed information about learners, and the storage, ownership, and use of that information carry real risks to privacy, particularly for minors. Adaptive and predictive systems embody assumptions and are trained on data that may reflect existing inequalities, so that an algorithm can reproduce or magnify bias while appearing neutral and objective. There is also a broader concern that delegating explanation and feedback to machines may weaken the human relationships through which learning and motivation are sustained (Selwyn, 2016). These are not reasons to reject the technology, but they are reasons to adopt it with care, with transparency about how systems work, and with human oversight of the decisions that affect learners.</w:t>
      </w:r>
    </w:p>
    <w:p w14:paraId="64B7F926" w14:textId="77777777" w:rsidR="001D7965" w:rsidRDefault="00000000">
      <w:pPr>
        <w:spacing w:before="240" w:after="100" w:line="360" w:lineRule="auto"/>
        <w:outlineLvl w:val="0"/>
      </w:pPr>
      <w:r>
        <w:rPr>
          <w:b/>
          <w:bCs/>
          <w:sz w:val="26"/>
          <w:szCs w:val="26"/>
          <w:highlight w:val="yellow"/>
        </w:rPr>
        <w:t>6</w:t>
      </w:r>
      <w:r>
        <w:rPr>
          <w:b/>
          <w:bCs/>
          <w:sz w:val="26"/>
          <w:szCs w:val="26"/>
        </w:rPr>
        <w:t>. Future Directions</w:t>
      </w:r>
    </w:p>
    <w:p w14:paraId="00DE0392" w14:textId="77777777" w:rsidR="001D7965" w:rsidRDefault="00000000">
      <w:pPr>
        <w:spacing w:after="120" w:line="360" w:lineRule="auto"/>
        <w:jc w:val="both"/>
      </w:pPr>
      <w:r>
        <w:rPr>
          <w:color w:val="000000"/>
          <w:sz w:val="24"/>
          <w:szCs w:val="24"/>
        </w:rPr>
        <w:t xml:space="preserve">The trajectory of the field suggests several directions that deserve attention. The first is a shift of emphasis from the tool to the teacher. Because the evidence so consistently shows that impact depends on pedagogy, the most productive investment is likely to be in teachers' subject-specific capacity to integrate technology, through sustained professional development that engages their beliefs as well as their skills, and through teacher education that treats technological pedagogical content knowledge as a core rather than an optional competence. </w:t>
      </w:r>
      <w:r>
        <w:rPr>
          <w:color w:val="000000"/>
          <w:sz w:val="24"/>
          <w:szCs w:val="24"/>
        </w:rPr>
        <w:lastRenderedPageBreak/>
        <w:t>Technology that is designed to support teacher agency, rather than to bypass it, is more likely to be integrated in transforming ways.</w:t>
      </w:r>
    </w:p>
    <w:p w14:paraId="603BA691" w14:textId="77777777" w:rsidR="001D7965" w:rsidRDefault="00000000">
      <w:pPr>
        <w:spacing w:after="120" w:line="360" w:lineRule="auto"/>
        <w:jc w:val="both"/>
      </w:pPr>
      <w:r>
        <w:rPr>
          <w:color w:val="000000"/>
          <w:sz w:val="24"/>
          <w:szCs w:val="24"/>
        </w:rPr>
        <w:t xml:space="preserve">A second direction concerns the responsible integration of artificial intelligence. Rather than positioning artificial intelligence as a replacement for the teacher, the more promising path treats it as a partner that handles routine feedback and frees human attention for the reasoning and relationship that machines cannot supply. </w:t>
      </w:r>
      <w:proofErr w:type="spellStart"/>
      <w:r>
        <w:rPr>
          <w:color w:val="000000"/>
          <w:sz w:val="24"/>
          <w:szCs w:val="24"/>
        </w:rPr>
        <w:t>Realising</w:t>
      </w:r>
      <w:proofErr w:type="spellEnd"/>
      <w:r>
        <w:rPr>
          <w:color w:val="000000"/>
          <w:sz w:val="24"/>
          <w:szCs w:val="24"/>
        </w:rPr>
        <w:t xml:space="preserve"> this will require attention to the accuracy of mathematical explanations produced by these systems, to the development of learners' ability to question and verify machine output, and to the ethical safeguards discussed above. Building learners' critical understanding of the tools they use, so that they treat a machine's answer as something to be examined rather than accepted, is itself becoming a mathematical and civic competence.</w:t>
      </w:r>
    </w:p>
    <w:p w14:paraId="6B720129" w14:textId="77777777" w:rsidR="001D7965" w:rsidRDefault="00000000">
      <w:pPr>
        <w:spacing w:after="120" w:line="360" w:lineRule="auto"/>
        <w:jc w:val="both"/>
      </w:pPr>
      <w:r>
        <w:rPr>
          <w:color w:val="000000"/>
          <w:sz w:val="24"/>
          <w:szCs w:val="24"/>
        </w:rPr>
        <w:t>A third direction, of particular importance for the many contexts that the dominant literature underserves, is the development of culturally responsive and context-sensitive technology. There is a strong case for integrating emerging tools with the mathematical knowledge embedded in local cultural practice, an approach that connects the ethnomathematical tradition with digital innovation (</w:t>
      </w:r>
      <w:proofErr w:type="spellStart"/>
      <w:r>
        <w:rPr>
          <w:color w:val="000000"/>
          <w:sz w:val="24"/>
          <w:szCs w:val="24"/>
        </w:rPr>
        <w:t>D'Ambrosio</w:t>
      </w:r>
      <w:proofErr w:type="spellEnd"/>
      <w:r>
        <w:rPr>
          <w:color w:val="000000"/>
          <w:sz w:val="24"/>
          <w:szCs w:val="24"/>
        </w:rPr>
        <w:t>, 2001). Dynamic software that models the geometry of local craft, or mobile activities built around familiar contexts and languages, can make technology a means of affirming learners' cultural knowledge rather than a channel for importing foreign examples. Designing for the mobile telephone as the primary device, and for intermittent connectivity rather than assumed abundance, would extend meaningful access to the learners most often left out. These are not concessions to scarcity but design principles that could benefit mathematics education more widely.</w:t>
      </w:r>
    </w:p>
    <w:p w14:paraId="0FA36A33" w14:textId="77777777" w:rsidR="001D7965" w:rsidRDefault="00000000">
      <w:pPr>
        <w:spacing w:after="120" w:line="360" w:lineRule="auto"/>
        <w:jc w:val="both"/>
      </w:pPr>
      <w:r>
        <w:rPr>
          <w:color w:val="000000"/>
          <w:sz w:val="24"/>
          <w:szCs w:val="24"/>
        </w:rPr>
        <w:t>A fourth direction is methodological. The research base remains uneven, strong for some technologies and thin for others, concentrated in well-resourced settings, and often focused on short-term outcomes. The field would benefit from longer studies, from research conducted in the settings where most of the world's learners actually study, and from attention to how technologies work together rather than in isolation, since real classrooms combine many tools at once (Bakker et al., 2021). Building this evidence is necessary if decisions about technology are to rest on more than enthusiasm.</w:t>
      </w:r>
    </w:p>
    <w:p w14:paraId="0B2DD403" w14:textId="77777777" w:rsidR="001D7965" w:rsidRDefault="00000000">
      <w:pPr>
        <w:spacing w:before="240" w:after="100" w:line="360" w:lineRule="auto"/>
        <w:outlineLvl w:val="0"/>
      </w:pPr>
      <w:r>
        <w:rPr>
          <w:b/>
          <w:bCs/>
          <w:sz w:val="26"/>
          <w:szCs w:val="26"/>
          <w:highlight w:val="yellow"/>
        </w:rPr>
        <w:t>7</w:t>
      </w:r>
      <w:r>
        <w:rPr>
          <w:b/>
          <w:bCs/>
          <w:sz w:val="26"/>
          <w:szCs w:val="26"/>
        </w:rPr>
        <w:t>. Conclusion</w:t>
      </w:r>
    </w:p>
    <w:p w14:paraId="782B3461" w14:textId="77777777" w:rsidR="001D7965" w:rsidRDefault="00000000">
      <w:pPr>
        <w:spacing w:after="120" w:line="360" w:lineRule="auto"/>
        <w:jc w:val="both"/>
      </w:pPr>
      <w:r>
        <w:rPr>
          <w:color w:val="000000"/>
          <w:sz w:val="24"/>
          <w:szCs w:val="24"/>
        </w:rPr>
        <w:t xml:space="preserve">Emerging technologies offer mathematics education tools of real power, capable of making abstract structure visible, of giving learners responsive and individual support, of situating </w:t>
      </w:r>
      <w:r>
        <w:rPr>
          <w:color w:val="000000"/>
          <w:sz w:val="24"/>
          <w:szCs w:val="24"/>
        </w:rPr>
        <w:lastRenderedPageBreak/>
        <w:t xml:space="preserve">mathematics in immersive and connected environments, and of reaching learners who were previously beyond reach. The recurring lesson of the research, however, is that these possibilities are </w:t>
      </w:r>
      <w:proofErr w:type="spellStart"/>
      <w:r>
        <w:rPr>
          <w:color w:val="000000"/>
          <w:sz w:val="24"/>
          <w:szCs w:val="24"/>
        </w:rPr>
        <w:t>realised</w:t>
      </w:r>
      <w:proofErr w:type="spellEnd"/>
      <w:r>
        <w:rPr>
          <w:color w:val="000000"/>
          <w:sz w:val="24"/>
          <w:szCs w:val="24"/>
        </w:rPr>
        <w:t xml:space="preserve"> only through pedagogy. The same tool can transform mathematical activity or reduce it to routine, can narrow inequality or widen it, and can support understanding or bypass it, and which of these occurs depends on the knowledge and judgement of teachers, the conditions in which they work, and the care with which the technology is designed and deployed.</w:t>
      </w:r>
    </w:p>
    <w:p w14:paraId="2C855D68" w14:textId="77777777" w:rsidR="001D7965" w:rsidRDefault="00000000">
      <w:pPr>
        <w:spacing w:after="120" w:line="360" w:lineRule="auto"/>
        <w:jc w:val="both"/>
      </w:pPr>
      <w:r>
        <w:rPr>
          <w:color w:val="000000"/>
          <w:sz w:val="24"/>
          <w:szCs w:val="24"/>
          <w:highlight w:val="yellow"/>
        </w:rPr>
        <w:t>This review has limitations that qualify its conclusions. It is narrative rather than systematic, so its coverage is broad rather than exhaustive, and the selection of sources, although guided by stated criteria, involved the authors' judgement. It is restricted to work published in English, which under-represents scholarship from several of the regions the review is most concerned with, and the evidence available for the newer technologies, particularly immersive reality and generative artificial intelligence, is still thin and rapidly changing. Readers should therefore treat the account of those technologies as provisional.</w:t>
      </w:r>
    </w:p>
    <w:p w14:paraId="135D357A" w14:textId="77777777" w:rsidR="001D7965" w:rsidRDefault="00000000">
      <w:pPr>
        <w:spacing w:after="120" w:line="360" w:lineRule="auto"/>
        <w:jc w:val="both"/>
      </w:pPr>
      <w:r>
        <w:rPr>
          <w:color w:val="000000"/>
          <w:sz w:val="24"/>
          <w:szCs w:val="24"/>
        </w:rPr>
        <w:t>The most useful stance towards emerging technology in mathematics education is neither uncritical enthusiasm nor reflexive suspicion, but a considered commitment to integration that is pedagogically sound, ethically grounded, and responsive to the cultural and material circumstances of the learners it is meant to serve. Held to that standard, the innovations reviewed here can help mathematics education meet its longstanding aims more fully, and can do so for more of the learners who have most to gain.</w:t>
      </w:r>
    </w:p>
    <w:p w14:paraId="79D942DD" w14:textId="77777777" w:rsidR="001D7965" w:rsidRDefault="00000000">
      <w:pPr>
        <w:spacing w:before="240" w:after="100" w:line="360" w:lineRule="auto"/>
        <w:outlineLvl w:val="0"/>
      </w:pPr>
      <w:r>
        <w:rPr>
          <w:b/>
          <w:bCs/>
          <w:sz w:val="26"/>
          <w:szCs w:val="26"/>
          <w:highlight w:val="yellow"/>
        </w:rPr>
        <w:t>Declarations</w:t>
      </w:r>
    </w:p>
    <w:p w14:paraId="1EE7054F" w14:textId="77777777" w:rsidR="001D7965" w:rsidRDefault="00000000">
      <w:pPr>
        <w:spacing w:after="120" w:line="360" w:lineRule="auto"/>
        <w:jc w:val="both"/>
      </w:pPr>
      <w:r>
        <w:rPr>
          <w:b/>
          <w:bCs/>
          <w:color w:val="000000"/>
          <w:sz w:val="24"/>
          <w:szCs w:val="24"/>
          <w:highlight w:val="yellow"/>
        </w:rPr>
        <w:t xml:space="preserve">Data availability statement. </w:t>
      </w:r>
      <w:r>
        <w:rPr>
          <w:color w:val="000000"/>
          <w:sz w:val="24"/>
          <w:szCs w:val="24"/>
          <w:highlight w:val="yellow"/>
        </w:rPr>
        <w:t xml:space="preserve">Not applicable. This article is a review and no new datasets were generated or </w:t>
      </w:r>
      <w:proofErr w:type="spellStart"/>
      <w:r>
        <w:rPr>
          <w:color w:val="000000"/>
          <w:sz w:val="24"/>
          <w:szCs w:val="24"/>
          <w:highlight w:val="yellow"/>
        </w:rPr>
        <w:t>analysed</w:t>
      </w:r>
      <w:proofErr w:type="spellEnd"/>
      <w:r>
        <w:rPr>
          <w:color w:val="000000"/>
          <w:sz w:val="24"/>
          <w:szCs w:val="24"/>
          <w:highlight w:val="yellow"/>
        </w:rPr>
        <w:t>.</w:t>
      </w:r>
    </w:p>
    <w:p w14:paraId="1FC36644" w14:textId="77777777" w:rsidR="001D7965" w:rsidRDefault="00000000">
      <w:pPr>
        <w:spacing w:after="120" w:line="360" w:lineRule="auto"/>
        <w:jc w:val="both"/>
      </w:pPr>
      <w:r>
        <w:rPr>
          <w:b/>
          <w:bCs/>
          <w:color w:val="000000"/>
          <w:sz w:val="24"/>
          <w:szCs w:val="24"/>
          <w:highlight w:val="yellow"/>
        </w:rPr>
        <w:t xml:space="preserve">Ethics approval. </w:t>
      </w:r>
      <w:r>
        <w:rPr>
          <w:color w:val="000000"/>
          <w:sz w:val="24"/>
          <w:szCs w:val="24"/>
          <w:highlight w:val="yellow"/>
        </w:rPr>
        <w:t>Not applicable. This review did not involve human participants or animals.</w:t>
      </w:r>
    </w:p>
    <w:p w14:paraId="26370BE2" w14:textId="77777777" w:rsidR="001D7965" w:rsidRDefault="00000000">
      <w:pPr>
        <w:spacing w:after="120" w:line="360" w:lineRule="auto"/>
        <w:jc w:val="both"/>
      </w:pPr>
      <w:r>
        <w:rPr>
          <w:b/>
          <w:bCs/>
          <w:color w:val="000000"/>
          <w:sz w:val="24"/>
          <w:szCs w:val="24"/>
          <w:highlight w:val="yellow"/>
        </w:rPr>
        <w:t xml:space="preserve">Consent to participate. </w:t>
      </w:r>
      <w:r>
        <w:rPr>
          <w:color w:val="000000"/>
          <w:sz w:val="24"/>
          <w:szCs w:val="24"/>
          <w:highlight w:val="yellow"/>
        </w:rPr>
        <w:t>Not applicable.</w:t>
      </w:r>
    </w:p>
    <w:p w14:paraId="28CF9407" w14:textId="77777777" w:rsidR="001D7965" w:rsidRDefault="00000000">
      <w:pPr>
        <w:spacing w:after="120" w:line="360" w:lineRule="auto"/>
        <w:jc w:val="both"/>
      </w:pPr>
      <w:r>
        <w:rPr>
          <w:b/>
          <w:bCs/>
          <w:color w:val="000000"/>
          <w:sz w:val="24"/>
          <w:szCs w:val="24"/>
          <w:highlight w:val="yellow"/>
        </w:rPr>
        <w:t xml:space="preserve">Consent for publication. </w:t>
      </w:r>
      <w:r>
        <w:rPr>
          <w:color w:val="000000"/>
          <w:sz w:val="24"/>
          <w:szCs w:val="24"/>
          <w:highlight w:val="yellow"/>
        </w:rPr>
        <w:t>Not applicable.</w:t>
      </w:r>
    </w:p>
    <w:p w14:paraId="3E6E897D" w14:textId="77777777" w:rsidR="001D7965" w:rsidRDefault="00000000">
      <w:pPr>
        <w:spacing w:after="120" w:line="360" w:lineRule="auto"/>
        <w:jc w:val="both"/>
      </w:pPr>
      <w:r>
        <w:rPr>
          <w:b/>
          <w:bCs/>
          <w:color w:val="000000"/>
          <w:sz w:val="24"/>
          <w:szCs w:val="24"/>
          <w:highlight w:val="yellow"/>
        </w:rPr>
        <w:t xml:space="preserve">Funding. </w:t>
      </w:r>
      <w:r>
        <w:rPr>
          <w:color w:val="000000"/>
          <w:sz w:val="24"/>
          <w:szCs w:val="24"/>
          <w:highlight w:val="yellow"/>
        </w:rPr>
        <w:t>The authors received no specific funding for this work.</w:t>
      </w:r>
    </w:p>
    <w:p w14:paraId="319D5C0C" w14:textId="77777777" w:rsidR="001D7965" w:rsidRDefault="00000000">
      <w:pPr>
        <w:spacing w:after="120" w:line="360" w:lineRule="auto"/>
        <w:jc w:val="both"/>
      </w:pPr>
      <w:r>
        <w:rPr>
          <w:b/>
          <w:bCs/>
          <w:color w:val="000000"/>
          <w:sz w:val="24"/>
          <w:szCs w:val="24"/>
          <w:highlight w:val="yellow"/>
        </w:rPr>
        <w:t xml:space="preserve">Competing interests. </w:t>
      </w:r>
      <w:r>
        <w:rPr>
          <w:color w:val="000000"/>
          <w:sz w:val="24"/>
          <w:szCs w:val="24"/>
          <w:highlight w:val="yellow"/>
        </w:rPr>
        <w:t>The authors declare no competing interests.</w:t>
      </w:r>
    </w:p>
    <w:p w14:paraId="7CE117D1" w14:textId="77777777" w:rsidR="001D7965" w:rsidRDefault="00000000">
      <w:pPr>
        <w:spacing w:after="120" w:line="360" w:lineRule="auto"/>
        <w:jc w:val="both"/>
      </w:pPr>
      <w:r>
        <w:rPr>
          <w:b/>
          <w:bCs/>
          <w:color w:val="000000"/>
          <w:sz w:val="24"/>
          <w:szCs w:val="24"/>
          <w:highlight w:val="yellow"/>
        </w:rPr>
        <w:t xml:space="preserve">Author contributions. </w:t>
      </w:r>
      <w:r>
        <w:rPr>
          <w:color w:val="000000"/>
          <w:sz w:val="24"/>
          <w:szCs w:val="24"/>
          <w:highlight w:val="yellow"/>
        </w:rPr>
        <w:t xml:space="preserve">Both authors contributed to the conception and design of the review. Prince Kusi conducted the literature search and prepared the initial draft. Emmanuel Teku </w:t>
      </w:r>
      <w:r>
        <w:rPr>
          <w:color w:val="000000"/>
          <w:sz w:val="24"/>
          <w:szCs w:val="24"/>
          <w:highlight w:val="yellow"/>
        </w:rPr>
        <w:lastRenderedPageBreak/>
        <w:t>contributed to the analysis, the structure of the argument, and critical revision. Both authors read and approved the final manuscript.</w:t>
      </w:r>
    </w:p>
    <w:p w14:paraId="625B967F" w14:textId="77777777" w:rsidR="001D7965" w:rsidRDefault="00000000">
      <w:pPr>
        <w:spacing w:before="240" w:after="100" w:line="360" w:lineRule="auto"/>
        <w:outlineLvl w:val="0"/>
      </w:pPr>
      <w:r>
        <w:rPr>
          <w:b/>
          <w:bCs/>
          <w:sz w:val="26"/>
          <w:szCs w:val="26"/>
        </w:rPr>
        <w:t>References</w:t>
      </w:r>
    </w:p>
    <w:p w14:paraId="6EA983CA" w14:textId="77777777" w:rsidR="001D7965" w:rsidRDefault="00000000">
      <w:pPr>
        <w:spacing w:after="90" w:line="300" w:lineRule="auto"/>
        <w:ind w:left="420" w:hanging="420"/>
      </w:pPr>
      <w:r>
        <w:rPr>
          <w:sz w:val="22"/>
          <w:szCs w:val="22"/>
        </w:rPr>
        <w:t>Bakker, A., Cai, J., &amp; Zenger, L. (2021). Future themes of mathematics education research: An international survey before and during the pandemic. Educational Studies in Mathematics, 107(1), 1–24.</w:t>
      </w:r>
    </w:p>
    <w:p w14:paraId="7831CDAC" w14:textId="77777777" w:rsidR="001D7965" w:rsidRDefault="00000000">
      <w:pPr>
        <w:spacing w:after="90" w:line="300" w:lineRule="auto"/>
        <w:ind w:left="420" w:hanging="420"/>
      </w:pPr>
      <w:proofErr w:type="spellStart"/>
      <w:r>
        <w:rPr>
          <w:sz w:val="22"/>
          <w:szCs w:val="22"/>
        </w:rPr>
        <w:t>Borba</w:t>
      </w:r>
      <w:proofErr w:type="spellEnd"/>
      <w:r>
        <w:rPr>
          <w:sz w:val="22"/>
          <w:szCs w:val="22"/>
        </w:rPr>
        <w:t xml:space="preserve">, M. C., Askar, P., Engelbrecht, J., </w:t>
      </w:r>
      <w:proofErr w:type="spellStart"/>
      <w:r>
        <w:rPr>
          <w:sz w:val="22"/>
          <w:szCs w:val="22"/>
        </w:rPr>
        <w:t>Gadanidis</w:t>
      </w:r>
      <w:proofErr w:type="spellEnd"/>
      <w:r>
        <w:rPr>
          <w:sz w:val="22"/>
          <w:szCs w:val="22"/>
        </w:rPr>
        <w:t xml:space="preserve">, G., </w:t>
      </w:r>
      <w:proofErr w:type="spellStart"/>
      <w:r>
        <w:rPr>
          <w:sz w:val="22"/>
          <w:szCs w:val="22"/>
        </w:rPr>
        <w:t>Llinares</w:t>
      </w:r>
      <w:proofErr w:type="spellEnd"/>
      <w:r>
        <w:rPr>
          <w:sz w:val="22"/>
          <w:szCs w:val="22"/>
        </w:rPr>
        <w:t>, S., &amp; Aguilar, M. S. (2016). Blended learning, e-learning and mobile learning in mathematics education. ZDM, 48(5), 589–610.</w:t>
      </w:r>
    </w:p>
    <w:p w14:paraId="29AC31E7" w14:textId="77777777" w:rsidR="001D7965" w:rsidRDefault="00000000">
      <w:pPr>
        <w:spacing w:after="90" w:line="300" w:lineRule="auto"/>
        <w:ind w:left="420" w:hanging="420"/>
      </w:pPr>
      <w:r>
        <w:rPr>
          <w:sz w:val="22"/>
          <w:szCs w:val="22"/>
        </w:rPr>
        <w:t>Bray, A., &amp; Tangney, B. (2017). Technology usage in mathematics education research: A systematic review of recent trends. Computers &amp; Education, 114, 255–273.</w:t>
      </w:r>
    </w:p>
    <w:p w14:paraId="4E032C7B" w14:textId="77777777" w:rsidR="001D7965" w:rsidRDefault="00000000">
      <w:pPr>
        <w:spacing w:after="90" w:line="300" w:lineRule="auto"/>
        <w:ind w:left="420" w:hanging="420"/>
      </w:pPr>
      <w:proofErr w:type="spellStart"/>
      <w:r>
        <w:rPr>
          <w:sz w:val="22"/>
          <w:szCs w:val="22"/>
        </w:rPr>
        <w:t>D’Ambrosio</w:t>
      </w:r>
      <w:proofErr w:type="spellEnd"/>
      <w:r>
        <w:rPr>
          <w:sz w:val="22"/>
          <w:szCs w:val="22"/>
        </w:rPr>
        <w:t>, U. (2001). Ethnomathematics: Link between traditions and modernity. Sense Publishers.</w:t>
      </w:r>
    </w:p>
    <w:p w14:paraId="6ACE420C" w14:textId="77777777" w:rsidR="001D7965" w:rsidRDefault="00000000">
      <w:pPr>
        <w:spacing w:after="90" w:line="300" w:lineRule="auto"/>
        <w:ind w:left="420" w:hanging="420"/>
      </w:pPr>
      <w:proofErr w:type="spellStart"/>
      <w:r>
        <w:rPr>
          <w:sz w:val="22"/>
          <w:szCs w:val="22"/>
        </w:rPr>
        <w:t>Drijvers</w:t>
      </w:r>
      <w:proofErr w:type="spellEnd"/>
      <w:r>
        <w:rPr>
          <w:sz w:val="22"/>
          <w:szCs w:val="22"/>
        </w:rPr>
        <w:t>, P. (2015). Digital technology in mathematics education: Why it works (or doesn’t). In S. J. Cho (Ed.), Selected regular lectures from the 12th International Congress on Mathematical Education (pp. 135–151). Springer.</w:t>
      </w:r>
    </w:p>
    <w:p w14:paraId="05C8BEA0" w14:textId="77777777" w:rsidR="001D7965" w:rsidRDefault="00000000">
      <w:pPr>
        <w:spacing w:after="90" w:line="300" w:lineRule="auto"/>
        <w:ind w:left="420" w:hanging="420"/>
      </w:pPr>
      <w:r>
        <w:rPr>
          <w:sz w:val="22"/>
          <w:szCs w:val="22"/>
        </w:rPr>
        <w:t xml:space="preserve">Engelbrecht, J., </w:t>
      </w:r>
      <w:proofErr w:type="spellStart"/>
      <w:r>
        <w:rPr>
          <w:sz w:val="22"/>
          <w:szCs w:val="22"/>
        </w:rPr>
        <w:t>Llinares</w:t>
      </w:r>
      <w:proofErr w:type="spellEnd"/>
      <w:r>
        <w:rPr>
          <w:sz w:val="22"/>
          <w:szCs w:val="22"/>
        </w:rPr>
        <w:t xml:space="preserve">, S., &amp; </w:t>
      </w:r>
      <w:proofErr w:type="spellStart"/>
      <w:r>
        <w:rPr>
          <w:sz w:val="22"/>
          <w:szCs w:val="22"/>
        </w:rPr>
        <w:t>Borba</w:t>
      </w:r>
      <w:proofErr w:type="spellEnd"/>
      <w:r>
        <w:rPr>
          <w:sz w:val="22"/>
          <w:szCs w:val="22"/>
        </w:rPr>
        <w:t>, M. C. (2020). Transformation of the mathematics classroom with the internet. ZDM, 52(5), 825–841.</w:t>
      </w:r>
    </w:p>
    <w:p w14:paraId="0145A1C6" w14:textId="77777777" w:rsidR="001D7965" w:rsidRDefault="00000000">
      <w:pPr>
        <w:spacing w:after="90" w:line="300" w:lineRule="auto"/>
        <w:ind w:left="420" w:hanging="420"/>
      </w:pPr>
      <w:proofErr w:type="spellStart"/>
      <w:r>
        <w:rPr>
          <w:sz w:val="22"/>
          <w:szCs w:val="22"/>
        </w:rPr>
        <w:t>Ertmer</w:t>
      </w:r>
      <w:proofErr w:type="spellEnd"/>
      <w:r>
        <w:rPr>
          <w:sz w:val="22"/>
          <w:szCs w:val="22"/>
        </w:rPr>
        <w:t>, P. A. (1999). Addressing first- and second-order barriers to change: Strategies for technology integration. Educational Technology Research and Development, 47(4), 47–61.</w:t>
      </w:r>
    </w:p>
    <w:p w14:paraId="675BCB65" w14:textId="77777777" w:rsidR="001D7965" w:rsidRDefault="00000000">
      <w:pPr>
        <w:spacing w:after="90" w:line="300" w:lineRule="auto"/>
        <w:ind w:left="420" w:hanging="420"/>
      </w:pPr>
      <w:proofErr w:type="spellStart"/>
      <w:r>
        <w:rPr>
          <w:sz w:val="22"/>
          <w:szCs w:val="22"/>
        </w:rPr>
        <w:t>Ertmer</w:t>
      </w:r>
      <w:proofErr w:type="spellEnd"/>
      <w:r>
        <w:rPr>
          <w:sz w:val="22"/>
          <w:szCs w:val="22"/>
        </w:rPr>
        <w:t>, P. A., &amp; Ottenbreit-Leftwich, A. T. (2010). Teacher technology change: How knowledge, confidence, beliefs, and culture intersect. Journal of Research on Technology in Education, 42(3), 255–284.</w:t>
      </w:r>
    </w:p>
    <w:p w14:paraId="4796D0D0" w14:textId="77777777" w:rsidR="001D7965" w:rsidRDefault="00000000">
      <w:pPr>
        <w:spacing w:after="90" w:line="300" w:lineRule="auto"/>
        <w:ind w:left="420" w:hanging="420"/>
      </w:pPr>
      <w:r>
        <w:rPr>
          <w:sz w:val="22"/>
          <w:szCs w:val="22"/>
        </w:rPr>
        <w:t xml:space="preserve">Heffernan, N. T., &amp; Heffernan, C. L. (2014). The </w:t>
      </w:r>
      <w:proofErr w:type="spellStart"/>
      <w:r>
        <w:rPr>
          <w:sz w:val="22"/>
          <w:szCs w:val="22"/>
        </w:rPr>
        <w:t>ASSISTments</w:t>
      </w:r>
      <w:proofErr w:type="spellEnd"/>
      <w:r>
        <w:rPr>
          <w:sz w:val="22"/>
          <w:szCs w:val="22"/>
        </w:rPr>
        <w:t xml:space="preserve"> ecosystem: Building a platform that brings scientists and teachers together for minimally invasive research on human learning and teaching. International Journal of Artificial Intelligence in Education, 24(4), 470–497.</w:t>
      </w:r>
    </w:p>
    <w:p w14:paraId="7FD588CF" w14:textId="77777777" w:rsidR="001D7965" w:rsidRDefault="00000000">
      <w:pPr>
        <w:spacing w:after="90" w:line="300" w:lineRule="auto"/>
        <w:ind w:left="420" w:hanging="420"/>
      </w:pPr>
      <w:proofErr w:type="spellStart"/>
      <w:r>
        <w:rPr>
          <w:sz w:val="22"/>
          <w:szCs w:val="22"/>
        </w:rPr>
        <w:t>Hillmayr</w:t>
      </w:r>
      <w:proofErr w:type="spellEnd"/>
      <w:r>
        <w:rPr>
          <w:sz w:val="22"/>
          <w:szCs w:val="22"/>
        </w:rPr>
        <w:t xml:space="preserve">, D., </w:t>
      </w:r>
      <w:proofErr w:type="spellStart"/>
      <w:r>
        <w:rPr>
          <w:sz w:val="22"/>
          <w:szCs w:val="22"/>
        </w:rPr>
        <w:t>Ziernwald</w:t>
      </w:r>
      <w:proofErr w:type="spellEnd"/>
      <w:r>
        <w:rPr>
          <w:sz w:val="22"/>
          <w:szCs w:val="22"/>
        </w:rPr>
        <w:t>, L., Reinhold, F., Hofer, S. I., &amp; Reiss, K. M. (2020). The potential of digital tools to enhance mathematics and science learning in secondary schools: A context-specific meta-analysis. Computers &amp; Education, 153, 103897.</w:t>
      </w:r>
    </w:p>
    <w:p w14:paraId="3DEE77D1" w14:textId="77777777" w:rsidR="001D7965" w:rsidRDefault="00000000">
      <w:pPr>
        <w:spacing w:after="90" w:line="300" w:lineRule="auto"/>
        <w:ind w:left="420" w:hanging="420"/>
      </w:pPr>
      <w:proofErr w:type="spellStart"/>
      <w:r>
        <w:rPr>
          <w:sz w:val="22"/>
          <w:szCs w:val="22"/>
        </w:rPr>
        <w:t>Hohenwarter</w:t>
      </w:r>
      <w:proofErr w:type="spellEnd"/>
      <w:r>
        <w:rPr>
          <w:sz w:val="22"/>
          <w:szCs w:val="22"/>
        </w:rPr>
        <w:t>, M., &amp; Fuchs, K. (2004). Combination of dynamic geometry, algebra and calculus in the software system GeoGebra. In Proceedings of Computer Algebra Systems and Dynamic Geometry Systems in Mathematics Teaching Conference. Pecs, Hungary.</w:t>
      </w:r>
    </w:p>
    <w:p w14:paraId="00776844" w14:textId="77777777" w:rsidR="001D7965" w:rsidRDefault="00000000">
      <w:pPr>
        <w:spacing w:after="90" w:line="300" w:lineRule="auto"/>
        <w:ind w:left="420" w:hanging="420"/>
      </w:pPr>
      <w:r>
        <w:rPr>
          <w:sz w:val="22"/>
          <w:szCs w:val="22"/>
        </w:rPr>
        <w:t>Holmes, W., Bialik, M., &amp; Fadel, C. (2019). Artificial intelligence in education: Promises and implications for teaching and learning. Center for Curriculum Redesign.</w:t>
      </w:r>
    </w:p>
    <w:p w14:paraId="7FE7BC49" w14:textId="77777777" w:rsidR="001D7965" w:rsidRDefault="00000000">
      <w:pPr>
        <w:spacing w:after="90" w:line="300" w:lineRule="auto"/>
        <w:ind w:left="420" w:hanging="420"/>
      </w:pPr>
      <w:r>
        <w:rPr>
          <w:sz w:val="22"/>
          <w:szCs w:val="22"/>
        </w:rPr>
        <w:t>Koehler, M. J., &amp; Mishra, P. (2009). What is technological pedagogical content knowledge? Contemporary Issues in Technology and Teacher Education, 9(1), 60–70.</w:t>
      </w:r>
    </w:p>
    <w:p w14:paraId="782F3693" w14:textId="77777777" w:rsidR="001D7965" w:rsidRDefault="00000000">
      <w:pPr>
        <w:spacing w:after="90" w:line="300" w:lineRule="auto"/>
        <w:ind w:left="420" w:hanging="420"/>
      </w:pPr>
      <w:proofErr w:type="spellStart"/>
      <w:r>
        <w:rPr>
          <w:sz w:val="22"/>
          <w:szCs w:val="22"/>
        </w:rPr>
        <w:t>Luckin</w:t>
      </w:r>
      <w:proofErr w:type="spellEnd"/>
      <w:r>
        <w:rPr>
          <w:sz w:val="22"/>
          <w:szCs w:val="22"/>
        </w:rPr>
        <w:t>, R., Holmes, W., Griffiths, M., &amp; Forcier, L. B. (2016). Intelligence unleashed: An argument for AI in education. Pearson.</w:t>
      </w:r>
    </w:p>
    <w:p w14:paraId="464DAD19" w14:textId="77777777" w:rsidR="001D7965" w:rsidRDefault="00000000">
      <w:pPr>
        <w:spacing w:after="90" w:line="300" w:lineRule="auto"/>
        <w:ind w:left="420" w:hanging="420"/>
      </w:pPr>
      <w:r>
        <w:rPr>
          <w:sz w:val="22"/>
          <w:szCs w:val="22"/>
        </w:rPr>
        <w:lastRenderedPageBreak/>
        <w:t>Mishra, P., &amp; Koehler, M. J. (2006). Technological pedagogical content knowledge: A framework for teacher knowledge. Teachers College Record, 108(6), 1017–1054.</w:t>
      </w:r>
    </w:p>
    <w:p w14:paraId="2CF67020" w14:textId="77777777" w:rsidR="001D7965" w:rsidRDefault="00000000">
      <w:pPr>
        <w:spacing w:after="90" w:line="300" w:lineRule="auto"/>
        <w:ind w:left="420" w:hanging="420"/>
      </w:pPr>
      <w:r>
        <w:rPr>
          <w:sz w:val="22"/>
          <w:szCs w:val="22"/>
        </w:rPr>
        <w:t xml:space="preserve">Moyer-Packenham, P. S., &amp; </w:t>
      </w:r>
      <w:proofErr w:type="spellStart"/>
      <w:r>
        <w:rPr>
          <w:sz w:val="22"/>
          <w:szCs w:val="22"/>
        </w:rPr>
        <w:t>Westenskow</w:t>
      </w:r>
      <w:proofErr w:type="spellEnd"/>
      <w:r>
        <w:rPr>
          <w:sz w:val="22"/>
          <w:szCs w:val="22"/>
        </w:rPr>
        <w:t>, A. (2013). Effects of virtual manipulatives on student achievement and mathematics learning. International Journal of Virtual and Personal Learning Environments, 4(3), 35–50.</w:t>
      </w:r>
    </w:p>
    <w:p w14:paraId="05383F84" w14:textId="77777777" w:rsidR="001D7965" w:rsidRDefault="00000000">
      <w:pPr>
        <w:spacing w:after="90" w:line="300" w:lineRule="auto"/>
        <w:ind w:left="420" w:hanging="420"/>
      </w:pPr>
      <w:proofErr w:type="spellStart"/>
      <w:r>
        <w:rPr>
          <w:sz w:val="22"/>
          <w:szCs w:val="22"/>
        </w:rPr>
        <w:t>Papert</w:t>
      </w:r>
      <w:proofErr w:type="spellEnd"/>
      <w:r>
        <w:rPr>
          <w:sz w:val="22"/>
          <w:szCs w:val="22"/>
        </w:rPr>
        <w:t>, S. (1980). Mindstorms: Children, computers, and powerful ideas. Basic Books.</w:t>
      </w:r>
    </w:p>
    <w:p w14:paraId="59E94DCB" w14:textId="77777777" w:rsidR="001D7965" w:rsidRDefault="00000000">
      <w:pPr>
        <w:spacing w:after="90" w:line="300" w:lineRule="auto"/>
        <w:ind w:left="420" w:hanging="420"/>
      </w:pPr>
      <w:proofErr w:type="spellStart"/>
      <w:r>
        <w:rPr>
          <w:sz w:val="22"/>
          <w:szCs w:val="22"/>
        </w:rPr>
        <w:t>Puentedura</w:t>
      </w:r>
      <w:proofErr w:type="spellEnd"/>
      <w:r>
        <w:rPr>
          <w:sz w:val="22"/>
          <w:szCs w:val="22"/>
        </w:rPr>
        <w:t xml:space="preserve">, R. R. (2013). SAMR: Moving from enhancement to transformation. </w:t>
      </w:r>
      <w:proofErr w:type="spellStart"/>
      <w:r>
        <w:rPr>
          <w:sz w:val="22"/>
          <w:szCs w:val="22"/>
        </w:rPr>
        <w:t>Hippasus</w:t>
      </w:r>
      <w:proofErr w:type="spellEnd"/>
      <w:r>
        <w:rPr>
          <w:sz w:val="22"/>
          <w:szCs w:val="22"/>
        </w:rPr>
        <w:t>.</w:t>
      </w:r>
    </w:p>
    <w:p w14:paraId="665A5057" w14:textId="77777777" w:rsidR="001D7965" w:rsidRDefault="00000000">
      <w:pPr>
        <w:spacing w:after="90" w:line="300" w:lineRule="auto"/>
        <w:ind w:left="420" w:hanging="420"/>
      </w:pPr>
      <w:proofErr w:type="spellStart"/>
      <w:r>
        <w:rPr>
          <w:sz w:val="22"/>
          <w:szCs w:val="22"/>
        </w:rPr>
        <w:t>Roschelle</w:t>
      </w:r>
      <w:proofErr w:type="spellEnd"/>
      <w:r>
        <w:rPr>
          <w:sz w:val="22"/>
          <w:szCs w:val="22"/>
        </w:rPr>
        <w:t>, J., Feng, M., Murphy, R. F., &amp; Mason, C. A. (2016). Online mathematics homework increases student achievement. AERA Open, 2(4), 1–12.</w:t>
      </w:r>
    </w:p>
    <w:p w14:paraId="31C91384" w14:textId="77777777" w:rsidR="001D7965" w:rsidRDefault="00000000">
      <w:pPr>
        <w:spacing w:after="90" w:line="300" w:lineRule="auto"/>
        <w:ind w:left="420" w:hanging="420"/>
      </w:pPr>
      <w:r>
        <w:rPr>
          <w:sz w:val="22"/>
          <w:szCs w:val="22"/>
        </w:rPr>
        <w:t>Selwyn, N. (2016). Is technology good for education? Polity Press.</w:t>
      </w:r>
    </w:p>
    <w:p w14:paraId="09FE76BD" w14:textId="77777777" w:rsidR="001D7965" w:rsidRDefault="00000000">
      <w:pPr>
        <w:spacing w:after="90" w:line="300" w:lineRule="auto"/>
        <w:ind w:left="420" w:hanging="420"/>
      </w:pPr>
      <w:proofErr w:type="spellStart"/>
      <w:r>
        <w:rPr>
          <w:sz w:val="22"/>
          <w:szCs w:val="22"/>
        </w:rPr>
        <w:t>Trouche</w:t>
      </w:r>
      <w:proofErr w:type="spellEnd"/>
      <w:r>
        <w:rPr>
          <w:sz w:val="22"/>
          <w:szCs w:val="22"/>
        </w:rPr>
        <w:t>, L. (2004). Managing the complexity of human/machine interactions in computerized learning environments: Guiding students’ command process through instrumental orchestrations. International Journal of Computers for Mathematical Learning, 9(3), 281–307.</w:t>
      </w:r>
    </w:p>
    <w:p w14:paraId="021DE497" w14:textId="77777777" w:rsidR="001D7965" w:rsidRDefault="00000000">
      <w:pPr>
        <w:spacing w:after="90" w:line="300" w:lineRule="auto"/>
        <w:ind w:left="420" w:hanging="420"/>
      </w:pPr>
      <w:proofErr w:type="spellStart"/>
      <w:r>
        <w:rPr>
          <w:sz w:val="22"/>
          <w:szCs w:val="22"/>
        </w:rPr>
        <w:t>Warschauer</w:t>
      </w:r>
      <w:proofErr w:type="spellEnd"/>
      <w:r>
        <w:rPr>
          <w:sz w:val="22"/>
          <w:szCs w:val="22"/>
        </w:rPr>
        <w:t>, M. (2003). Technology and social inclusion: Rethinking the digital divide. MIT Press.</w:t>
      </w:r>
    </w:p>
    <w:p w14:paraId="4FD7239C" w14:textId="77777777" w:rsidR="001D7965" w:rsidRDefault="00000000">
      <w:pPr>
        <w:spacing w:after="90" w:line="300" w:lineRule="auto"/>
        <w:ind w:left="420" w:hanging="420"/>
      </w:pPr>
      <w:r>
        <w:rPr>
          <w:sz w:val="22"/>
          <w:szCs w:val="22"/>
        </w:rPr>
        <w:t>Wing, J. M. (2006). Computational thinking. Communications of the ACM, 49(3), 33–35.</w:t>
      </w:r>
    </w:p>
    <w:sectPr w:rsidR="001D7965">
      <w:footerReference w:type="default" r:id="rId1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1D699" w14:textId="77777777" w:rsidR="007F7251" w:rsidRDefault="007F7251" w:rsidP="001435CA">
      <w:r>
        <w:separator/>
      </w:r>
    </w:p>
  </w:endnote>
  <w:endnote w:type="continuationSeparator" w:id="0">
    <w:p w14:paraId="2850E1F2" w14:textId="77777777" w:rsidR="007F7251" w:rsidRDefault="007F7251" w:rsidP="00143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128650"/>
      <w:docPartObj>
        <w:docPartGallery w:val="Page Numbers (Bottom of Page)"/>
        <w:docPartUnique/>
      </w:docPartObj>
    </w:sdtPr>
    <w:sdtEndPr>
      <w:rPr>
        <w:noProof/>
      </w:rPr>
    </w:sdtEndPr>
    <w:sdtContent>
      <w:p w14:paraId="56768711" w14:textId="12192C42" w:rsidR="001435CA" w:rsidRDefault="001435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95B073" w14:textId="77777777" w:rsidR="001435CA" w:rsidRDefault="001435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7AE32" w14:textId="77777777" w:rsidR="007F7251" w:rsidRDefault="007F7251" w:rsidP="001435CA">
      <w:r>
        <w:separator/>
      </w:r>
    </w:p>
  </w:footnote>
  <w:footnote w:type="continuationSeparator" w:id="0">
    <w:p w14:paraId="49D685C2" w14:textId="77777777" w:rsidR="007F7251" w:rsidRDefault="007F7251" w:rsidP="001435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D3AA7"/>
    <w:multiLevelType w:val="hybridMultilevel"/>
    <w:tmpl w:val="C6E2780E"/>
    <w:lvl w:ilvl="0" w:tplc="3222981A">
      <w:start w:val="1"/>
      <w:numFmt w:val="bullet"/>
      <w:lvlText w:val="●"/>
      <w:lvlJc w:val="left"/>
      <w:pPr>
        <w:ind w:left="720" w:hanging="360"/>
      </w:pPr>
    </w:lvl>
    <w:lvl w:ilvl="1" w:tplc="878A53D2">
      <w:start w:val="1"/>
      <w:numFmt w:val="bullet"/>
      <w:lvlText w:val="○"/>
      <w:lvlJc w:val="left"/>
      <w:pPr>
        <w:ind w:left="1440" w:hanging="360"/>
      </w:pPr>
    </w:lvl>
    <w:lvl w:ilvl="2" w:tplc="16B20D30">
      <w:start w:val="1"/>
      <w:numFmt w:val="bullet"/>
      <w:lvlText w:val="■"/>
      <w:lvlJc w:val="left"/>
      <w:pPr>
        <w:ind w:left="2160" w:hanging="360"/>
      </w:pPr>
    </w:lvl>
    <w:lvl w:ilvl="3" w:tplc="5B82F256">
      <w:start w:val="1"/>
      <w:numFmt w:val="bullet"/>
      <w:lvlText w:val="●"/>
      <w:lvlJc w:val="left"/>
      <w:pPr>
        <w:ind w:left="2880" w:hanging="360"/>
      </w:pPr>
    </w:lvl>
    <w:lvl w:ilvl="4" w:tplc="5D805CAE">
      <w:start w:val="1"/>
      <w:numFmt w:val="bullet"/>
      <w:lvlText w:val="○"/>
      <w:lvlJc w:val="left"/>
      <w:pPr>
        <w:ind w:left="3600" w:hanging="360"/>
      </w:pPr>
    </w:lvl>
    <w:lvl w:ilvl="5" w:tplc="F412E146">
      <w:start w:val="1"/>
      <w:numFmt w:val="bullet"/>
      <w:lvlText w:val="■"/>
      <w:lvlJc w:val="left"/>
      <w:pPr>
        <w:ind w:left="4320" w:hanging="360"/>
      </w:pPr>
    </w:lvl>
    <w:lvl w:ilvl="6" w:tplc="C9CAEBB8">
      <w:start w:val="1"/>
      <w:numFmt w:val="bullet"/>
      <w:lvlText w:val="●"/>
      <w:lvlJc w:val="left"/>
      <w:pPr>
        <w:ind w:left="5040" w:hanging="360"/>
      </w:pPr>
    </w:lvl>
    <w:lvl w:ilvl="7" w:tplc="AAB0B106">
      <w:start w:val="1"/>
      <w:numFmt w:val="bullet"/>
      <w:lvlText w:val="●"/>
      <w:lvlJc w:val="left"/>
      <w:pPr>
        <w:ind w:left="5760" w:hanging="360"/>
      </w:pPr>
    </w:lvl>
    <w:lvl w:ilvl="8" w:tplc="C5B8C8EC">
      <w:start w:val="1"/>
      <w:numFmt w:val="bullet"/>
      <w:lvlText w:val="●"/>
      <w:lvlJc w:val="left"/>
      <w:pPr>
        <w:ind w:left="6480" w:hanging="360"/>
      </w:pPr>
    </w:lvl>
  </w:abstractNum>
  <w:num w:numId="1" w16cid:durableId="12093394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965"/>
    <w:rsid w:val="001435CA"/>
    <w:rsid w:val="00145183"/>
    <w:rsid w:val="001D7965"/>
    <w:rsid w:val="00403B36"/>
    <w:rsid w:val="007F7251"/>
    <w:rsid w:val="00B80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D28C8"/>
  <w15:docId w15:val="{EF7DB0E0-9B61-4B41-9617-F754BA29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435CA"/>
    <w:rPr>
      <w:color w:val="605E5C"/>
      <w:shd w:val="clear" w:color="auto" w:fill="E1DFDD"/>
    </w:rPr>
  </w:style>
  <w:style w:type="paragraph" w:styleId="Header">
    <w:name w:val="header"/>
    <w:basedOn w:val="Normal"/>
    <w:link w:val="HeaderChar"/>
    <w:uiPriority w:val="99"/>
    <w:unhideWhenUsed/>
    <w:rsid w:val="001435CA"/>
    <w:pPr>
      <w:tabs>
        <w:tab w:val="center" w:pos="4680"/>
        <w:tab w:val="right" w:pos="9360"/>
      </w:tabs>
    </w:pPr>
  </w:style>
  <w:style w:type="character" w:customStyle="1" w:styleId="HeaderChar">
    <w:name w:val="Header Char"/>
    <w:basedOn w:val="DefaultParagraphFont"/>
    <w:link w:val="Header"/>
    <w:uiPriority w:val="99"/>
    <w:rsid w:val="001435CA"/>
  </w:style>
  <w:style w:type="paragraph" w:styleId="Footer">
    <w:name w:val="footer"/>
    <w:basedOn w:val="Normal"/>
    <w:link w:val="FooterChar"/>
    <w:uiPriority w:val="99"/>
    <w:unhideWhenUsed/>
    <w:rsid w:val="001435CA"/>
    <w:pPr>
      <w:tabs>
        <w:tab w:val="center" w:pos="4680"/>
        <w:tab w:val="right" w:pos="9360"/>
      </w:tabs>
    </w:pPr>
  </w:style>
  <w:style w:type="character" w:customStyle="1" w:styleId="FooterChar">
    <w:name w:val="Footer Char"/>
    <w:basedOn w:val="DefaultParagraphFont"/>
    <w:link w:val="Footer"/>
    <w:uiPriority w:val="99"/>
    <w:rsid w:val="00143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kusip.n@becoled.edu.gh"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rcid.org/0009-0007-3342-3615" TargetMode="External"/><Relationship Id="rId12" Type="http://schemas.openxmlformats.org/officeDocument/2006/relationships/hyperlink" Target="mailto:emmamuelayetelarbi@kpce.edu.g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2-8807-695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usip.n@becoled.edu.gh" TargetMode="External"/><Relationship Id="rId4" Type="http://schemas.openxmlformats.org/officeDocument/2006/relationships/webSettings" Target="webSettings.xml"/><Relationship Id="rId9" Type="http://schemas.openxmlformats.org/officeDocument/2006/relationships/hyperlink" Target="https://orcid.org/0009-0008-8630-357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4901</Words>
  <Characters>27937</Characters>
  <Application>Microsoft Office Word</Application>
  <DocSecurity>0</DocSecurity>
  <Lines>232</Lines>
  <Paragraphs>65</Paragraphs>
  <ScaleCrop>false</ScaleCrop>
  <Company/>
  <LinksUpToDate>false</LinksUpToDate>
  <CharactersWithSpaces>32773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SurfacePro</cp:lastModifiedBy>
  <cp:revision>3</cp:revision>
  <dcterms:created xsi:type="dcterms:W3CDTF">2026-07-18T23:09:00Z</dcterms:created>
  <dcterms:modified xsi:type="dcterms:W3CDTF">2026-07-18T23:30:00Z</dcterms:modified>
</cp:coreProperties>
</file>