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76850">
      <w:pPr>
        <w:jc w:val="center"/>
        <w:rPr>
          <w:rFonts w:ascii="Times New Roman" w:hAnsi="Times New Roman" w:cs="Times New Roman"/>
          <w:b/>
          <w:bCs/>
          <w:sz w:val="30"/>
          <w:szCs w:val="30"/>
        </w:rPr>
      </w:pPr>
      <w:r>
        <w:rPr>
          <w:rFonts w:ascii="Times New Roman" w:hAnsi="Times New Roman" w:cs="Times New Roman"/>
          <w:b/>
          <w:bCs/>
          <w:sz w:val="30"/>
          <w:szCs w:val="30"/>
        </w:rPr>
        <w:t>Supp</w:t>
      </w:r>
      <w:r>
        <w:rPr>
          <w:rFonts w:hint="eastAsia" w:ascii="Times New Roman" w:hAnsi="Times New Roman" w:cs="Times New Roman"/>
          <w:b/>
          <w:bCs/>
          <w:sz w:val="30"/>
          <w:szCs w:val="30"/>
          <w:lang w:val="en-US" w:eastAsia="zh-CN"/>
        </w:rPr>
        <w:t>lementary</w:t>
      </w:r>
      <w:r>
        <w:rPr>
          <w:rFonts w:ascii="Times New Roman" w:hAnsi="Times New Roman" w:cs="Times New Roman"/>
          <w:b/>
          <w:bCs/>
          <w:sz w:val="30"/>
          <w:szCs w:val="30"/>
        </w:rPr>
        <w:t xml:space="preserve"> Information</w:t>
      </w:r>
    </w:p>
    <w:p w14:paraId="0D09FB0F">
      <w:pPr>
        <w:jc w:val="both"/>
        <w:rPr>
          <w:rFonts w:ascii="Times New Roman" w:hAnsi="Times New Roman"/>
          <w:b/>
          <w:bCs/>
          <w:sz w:val="28"/>
          <w:szCs w:val="28"/>
        </w:rPr>
      </w:pPr>
    </w:p>
    <w:p w14:paraId="545261E9">
      <w:pPr>
        <w:jc w:val="both"/>
        <w:rPr>
          <w:rFonts w:ascii="Times New Roman" w:hAnsi="Times New Roman"/>
          <w:b/>
          <w:bCs/>
          <w:sz w:val="28"/>
          <w:szCs w:val="28"/>
        </w:rPr>
      </w:pPr>
      <w:r>
        <w:rPr>
          <w:rFonts w:ascii="Times New Roman" w:hAnsi="Times New Roman"/>
          <w:b/>
          <w:bCs/>
          <w:sz w:val="28"/>
          <w:szCs w:val="28"/>
        </w:rPr>
        <w:t>Supplementary methods</w:t>
      </w:r>
    </w:p>
    <w:p w14:paraId="2B5413BE">
      <w:pPr>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b/>
          <w:bCs/>
          <w:i w:val="0"/>
          <w:iCs w:val="0"/>
          <w:sz w:val="24"/>
        </w:rPr>
      </w:pPr>
      <w:r>
        <w:rPr>
          <w:rFonts w:ascii="Times New Roman" w:hAnsi="Times New Roman" w:eastAsia="宋体" w:cs="Times New Roman"/>
          <w:b/>
          <w:bCs/>
          <w:i w:val="0"/>
          <w:iCs w:val="0"/>
          <w:sz w:val="24"/>
        </w:rPr>
        <w:t>Plasmids, shRNAs,</w:t>
      </w:r>
      <w:r>
        <w:rPr>
          <w:rFonts w:hint="eastAsia" w:ascii="Times New Roman" w:hAnsi="Times New Roman" w:eastAsia="宋体" w:cs="Times New Roman"/>
          <w:b/>
          <w:bCs/>
          <w:i w:val="0"/>
          <w:iCs w:val="0"/>
          <w:sz w:val="24"/>
        </w:rPr>
        <w:t xml:space="preserve"> </w:t>
      </w:r>
      <w:r>
        <w:rPr>
          <w:rFonts w:ascii="Times New Roman" w:hAnsi="Times New Roman" w:eastAsia="宋体" w:cs="Times New Roman"/>
          <w:b/>
          <w:bCs/>
          <w:i w:val="0"/>
          <w:iCs w:val="0"/>
          <w:sz w:val="24"/>
        </w:rPr>
        <w:t>siRNAs</w:t>
      </w:r>
      <w:r>
        <w:rPr>
          <w:rFonts w:hint="eastAsia" w:ascii="Times New Roman" w:hAnsi="Times New Roman" w:eastAsia="宋体" w:cs="Times New Roman"/>
          <w:b/>
          <w:bCs/>
          <w:i w:val="0"/>
          <w:iCs w:val="0"/>
          <w:sz w:val="24"/>
        </w:rPr>
        <w:t xml:space="preserve"> and sgRNA</w:t>
      </w:r>
    </w:p>
    <w:p w14:paraId="6F1A7583">
      <w:pPr>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jc w:val="both"/>
        <w:textAlignment w:val="auto"/>
        <w:rPr>
          <w:rFonts w:ascii="Times New Roman" w:hAnsi="Times New Roman" w:eastAsia="宋体" w:cs="Times New Roman"/>
          <w:sz w:val="24"/>
        </w:rPr>
      </w:pPr>
      <w:r>
        <w:rPr>
          <w:rFonts w:ascii="Times New Roman" w:hAnsi="Times New Roman" w:eastAsia="宋体" w:cs="Times New Roman"/>
          <w:sz w:val="24"/>
        </w:rPr>
        <w:t>The expression vectors pcDNA3.1-PRMT1-FLAG (WT and G80R), pcDNA3.1-YBX1-HA (WT and R69K), pcDNA3.1-</w:t>
      </w:r>
      <w:r>
        <w:rPr>
          <w:rFonts w:hint="eastAsia" w:ascii="Times New Roman" w:hAnsi="Times New Roman" w:eastAsia="宋体" w:cs="Times New Roman"/>
          <w:sz w:val="24"/>
        </w:rPr>
        <w:t>AKT</w:t>
      </w:r>
      <w:r>
        <w:rPr>
          <w:rFonts w:ascii="Times New Roman" w:hAnsi="Times New Roman" w:eastAsia="宋体" w:cs="Times New Roman"/>
          <w:sz w:val="24"/>
        </w:rPr>
        <w:t>-FLAG</w:t>
      </w:r>
      <w:r>
        <w:rPr>
          <w:rFonts w:hint="eastAsia" w:ascii="Times New Roman" w:hAnsi="Times New Roman" w:eastAsia="宋体" w:cs="Times New Roman"/>
          <w:sz w:val="24"/>
        </w:rPr>
        <w:t>,</w:t>
      </w:r>
      <w:r>
        <w:rPr>
          <w:rFonts w:ascii="Times New Roman" w:hAnsi="Times New Roman" w:eastAsia="宋体" w:cs="Times New Roman"/>
          <w:sz w:val="24"/>
        </w:rPr>
        <w:t xml:space="preserve"> and pcDNA3.1-NSUN2-HA were custom-synthesized by YouBio Biotechnology (Changsha, China). </w:t>
      </w:r>
      <w:r>
        <w:rPr>
          <w:rFonts w:hint="eastAsia" w:ascii="Times New Roman" w:hAnsi="Times New Roman" w:eastAsia="宋体" w:cs="Times New Roman"/>
          <w:sz w:val="24"/>
        </w:rPr>
        <w:t>Additionally,</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shRNA plasmids targeting PRMT1, PRMT1-specific siRNA, sgRNA plasmids targeting YBX1, YBX1-specific siRNA, and NSUN2-specific siRNA were </w:t>
      </w:r>
      <w:r>
        <w:rPr>
          <w:rFonts w:hint="eastAsia" w:ascii="Times New Roman" w:hAnsi="Times New Roman" w:eastAsia="宋体" w:cs="Times New Roman"/>
          <w:sz w:val="24"/>
        </w:rPr>
        <w:t>acquired</w:t>
      </w:r>
      <w:r>
        <w:rPr>
          <w:rFonts w:ascii="Times New Roman" w:hAnsi="Times New Roman" w:eastAsia="宋体" w:cs="Times New Roman"/>
          <w:sz w:val="24"/>
        </w:rPr>
        <w:t xml:space="preserve"> from GenePharma (Suzhou, China). The validated sequences for these shRNAs, siRNAs, and sgRNAs are </w:t>
      </w:r>
      <w:r>
        <w:rPr>
          <w:rFonts w:hint="eastAsia" w:ascii="Times New Roman" w:hAnsi="Times New Roman" w:eastAsia="宋体" w:cs="Times New Roman"/>
          <w:sz w:val="24"/>
          <w:lang w:val="en-US" w:eastAsia="zh-CN"/>
        </w:rPr>
        <w:t>listed</w:t>
      </w:r>
      <w:r>
        <w:rPr>
          <w:rFonts w:ascii="Times New Roman" w:hAnsi="Times New Roman" w:eastAsia="宋体" w:cs="Times New Roman"/>
          <w:sz w:val="24"/>
        </w:rPr>
        <w:t xml:space="preserve"> in</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b w:val="0"/>
          <w:bCs w:val="0"/>
          <w:color w:val="auto"/>
          <w:sz w:val="24"/>
        </w:rPr>
        <w:t xml:space="preserve">Table </w:t>
      </w:r>
      <w:r>
        <w:rPr>
          <w:rFonts w:hint="eastAsia" w:ascii="Times New Roman" w:hAnsi="Times New Roman" w:eastAsia="宋体" w:cs="Times New Roman"/>
          <w:b w:val="0"/>
          <w:bCs w:val="0"/>
          <w:color w:val="auto"/>
          <w:sz w:val="24"/>
          <w:lang w:val="en-US" w:eastAsia="zh-CN"/>
        </w:rPr>
        <w:t>S</w:t>
      </w:r>
      <w:r>
        <w:rPr>
          <w:rFonts w:ascii="Times New Roman" w:hAnsi="Times New Roman" w:eastAsia="宋体" w:cs="Times New Roman"/>
          <w:b w:val="0"/>
          <w:bCs w:val="0"/>
          <w:color w:val="auto"/>
          <w:sz w:val="24"/>
        </w:rPr>
        <w:t>1</w:t>
      </w:r>
      <w:r>
        <w:rPr>
          <w:rFonts w:ascii="Times New Roman" w:hAnsi="Times New Roman" w:eastAsia="宋体" w:cs="Times New Roman"/>
          <w:sz w:val="24"/>
        </w:rPr>
        <w:t xml:space="preserve">. All transfections were </w:t>
      </w:r>
      <w:r>
        <w:rPr>
          <w:rFonts w:hint="eastAsia" w:ascii="Times New Roman" w:hAnsi="Times New Roman" w:eastAsia="宋体" w:cs="Times New Roman"/>
          <w:sz w:val="24"/>
        </w:rPr>
        <w:t>conducted</w:t>
      </w:r>
      <w:r>
        <w:rPr>
          <w:rFonts w:ascii="Times New Roman" w:hAnsi="Times New Roman" w:eastAsia="宋体" w:cs="Times New Roman"/>
          <w:sz w:val="24"/>
        </w:rPr>
        <w:t xml:space="preserve"> using Lipofectamine 3000 (</w:t>
      </w:r>
      <w:r>
        <w:rPr>
          <w:rFonts w:hint="default" w:ascii="Times New Roman" w:hAnsi="Times New Roman" w:eastAsia="宋体" w:cs="Times New Roman"/>
          <w:color w:val="000000"/>
          <w:kern w:val="0"/>
          <w:sz w:val="24"/>
          <w:szCs w:val="24"/>
          <w:lang w:val="en-US" w:eastAsia="zh-CN" w:bidi="ar"/>
          <w14:ligatures w14:val="none"/>
        </w:rPr>
        <w:t>Invitrogen,</w:t>
      </w:r>
      <w:r>
        <w:rPr>
          <w:rFonts w:hint="eastAsia" w:ascii="Times New Roman" w:hAnsi="Times New Roman" w:eastAsia="宋体" w:cs="Times New Roman"/>
          <w:color w:val="000000"/>
          <w:kern w:val="0"/>
          <w:sz w:val="24"/>
          <w:szCs w:val="24"/>
          <w:lang w:val="en-US" w:eastAsia="zh-CN" w:bidi="ar"/>
          <w14:ligatures w14:val="none"/>
        </w:rPr>
        <w:t xml:space="preserve"> </w:t>
      </w:r>
      <w:r>
        <w:rPr>
          <w:rFonts w:hint="default" w:ascii="Times New Roman" w:hAnsi="Times New Roman" w:eastAsia="宋体" w:cs="Times New Roman"/>
          <w:color w:val="000000"/>
          <w:kern w:val="0"/>
          <w:sz w:val="24"/>
          <w:szCs w:val="24"/>
          <w:lang w:val="en-US" w:eastAsia="zh-CN" w:bidi="ar"/>
          <w14:ligatures w14:val="none"/>
        </w:rPr>
        <w:t>Cat.#L3000015</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 xml:space="preserve">in </w:t>
      </w:r>
      <w:r>
        <w:rPr>
          <w:rFonts w:ascii="Times New Roman" w:hAnsi="Times New Roman" w:eastAsia="宋体" w:cs="Times New Roman"/>
          <w:sz w:val="24"/>
        </w:rPr>
        <w:t>accord</w:t>
      </w:r>
      <w:r>
        <w:rPr>
          <w:rFonts w:hint="eastAsia" w:ascii="Times New Roman" w:hAnsi="Times New Roman" w:eastAsia="宋体" w:cs="Times New Roman"/>
          <w:sz w:val="24"/>
          <w:lang w:val="en-US" w:eastAsia="zh-CN"/>
        </w:rPr>
        <w:t>ance</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with</w:t>
      </w:r>
      <w:r>
        <w:rPr>
          <w:rFonts w:ascii="Times New Roman" w:hAnsi="Times New Roman" w:eastAsia="宋体" w:cs="Times New Roman"/>
          <w:sz w:val="24"/>
        </w:rPr>
        <w:t xml:space="preserve"> the manufacturer’s protocol.</w:t>
      </w:r>
    </w:p>
    <w:p w14:paraId="2026A933">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rPr>
          <w:rFonts w:ascii="Times New Roman" w:hAnsi="Times New Roman" w:eastAsia="宋体" w:cs="Times New Roman"/>
          <w:b w:val="0"/>
          <w:bCs w:val="0"/>
          <w:i/>
          <w:iCs/>
          <w:sz w:val="24"/>
        </w:rPr>
      </w:pPr>
      <w:r>
        <w:rPr>
          <w:rFonts w:ascii="Times New Roman" w:hAnsi="Times New Roman" w:eastAsia="宋体" w:cs="Times New Roman"/>
          <w:b/>
          <w:bCs/>
          <w:i w:val="0"/>
          <w:iCs w:val="0"/>
          <w:sz w:val="24"/>
        </w:rPr>
        <w:t xml:space="preserve">Lentivirus </w:t>
      </w:r>
      <w:r>
        <w:rPr>
          <w:rFonts w:hint="eastAsia" w:ascii="Times New Roman" w:hAnsi="Times New Roman" w:eastAsia="宋体" w:cs="Times New Roman"/>
          <w:b/>
          <w:bCs/>
          <w:i w:val="0"/>
          <w:iCs w:val="0"/>
          <w:sz w:val="24"/>
          <w:lang w:val="en-US" w:eastAsia="zh-CN"/>
        </w:rPr>
        <w:t>p</w:t>
      </w:r>
      <w:r>
        <w:rPr>
          <w:rFonts w:ascii="Times New Roman" w:hAnsi="Times New Roman" w:eastAsia="宋体" w:cs="Times New Roman"/>
          <w:b/>
          <w:bCs/>
          <w:i w:val="0"/>
          <w:iCs w:val="0"/>
          <w:sz w:val="24"/>
        </w:rPr>
        <w:t xml:space="preserve">ackaging and </w:t>
      </w:r>
      <w:r>
        <w:rPr>
          <w:rFonts w:hint="eastAsia" w:ascii="Times New Roman" w:hAnsi="Times New Roman" w:eastAsia="宋体" w:cs="Times New Roman"/>
          <w:b/>
          <w:bCs/>
          <w:i w:val="0"/>
          <w:iCs w:val="0"/>
          <w:sz w:val="24"/>
          <w:lang w:val="en-US" w:eastAsia="zh-CN"/>
        </w:rPr>
        <w:t>g</w:t>
      </w:r>
      <w:r>
        <w:rPr>
          <w:rFonts w:ascii="Times New Roman" w:hAnsi="Times New Roman" w:eastAsia="宋体" w:cs="Times New Roman"/>
          <w:b/>
          <w:bCs/>
          <w:i w:val="0"/>
          <w:iCs w:val="0"/>
          <w:sz w:val="24"/>
        </w:rPr>
        <w:t xml:space="preserve">eneration of </w:t>
      </w:r>
      <w:r>
        <w:rPr>
          <w:rFonts w:hint="eastAsia" w:ascii="Times New Roman" w:hAnsi="Times New Roman" w:eastAsia="宋体" w:cs="Times New Roman"/>
          <w:b/>
          <w:bCs/>
          <w:i w:val="0"/>
          <w:iCs w:val="0"/>
          <w:sz w:val="24"/>
          <w:lang w:val="en-US" w:eastAsia="zh-CN"/>
        </w:rPr>
        <w:t>s</w:t>
      </w:r>
      <w:r>
        <w:rPr>
          <w:rFonts w:ascii="Times New Roman" w:hAnsi="Times New Roman" w:eastAsia="宋体" w:cs="Times New Roman"/>
          <w:b/>
          <w:bCs/>
          <w:i w:val="0"/>
          <w:iCs w:val="0"/>
          <w:sz w:val="24"/>
        </w:rPr>
        <w:t>table</w:t>
      </w:r>
      <w:r>
        <w:rPr>
          <w:rFonts w:hint="eastAsia" w:ascii="Times New Roman" w:hAnsi="Times New Roman" w:eastAsia="宋体" w:cs="Times New Roman"/>
          <w:b/>
          <w:bCs/>
          <w:i w:val="0"/>
          <w:iCs w:val="0"/>
          <w:sz w:val="24"/>
        </w:rPr>
        <w:t xml:space="preserve"> </w:t>
      </w:r>
      <w:r>
        <w:rPr>
          <w:rFonts w:hint="eastAsia" w:ascii="Times New Roman" w:hAnsi="Times New Roman" w:eastAsia="宋体" w:cs="Times New Roman"/>
          <w:b/>
          <w:bCs/>
          <w:i w:val="0"/>
          <w:iCs w:val="0"/>
          <w:sz w:val="24"/>
          <w:lang w:val="en-US" w:eastAsia="zh-CN"/>
        </w:rPr>
        <w:t>c</w:t>
      </w:r>
      <w:r>
        <w:rPr>
          <w:rFonts w:ascii="Times New Roman" w:hAnsi="Times New Roman" w:eastAsia="宋体" w:cs="Times New Roman"/>
          <w:b/>
          <w:bCs/>
          <w:i w:val="0"/>
          <w:iCs w:val="0"/>
          <w:sz w:val="24"/>
        </w:rPr>
        <w:t>ells</w:t>
      </w:r>
    </w:p>
    <w:p w14:paraId="359046C9">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rPr>
          <w:rFonts w:ascii="Times New Roman" w:hAnsi="Times New Roman" w:eastAsia="宋体" w:cs="Times New Roman"/>
          <w:sz w:val="24"/>
        </w:rPr>
      </w:pPr>
      <w:r>
        <w:rPr>
          <w:rFonts w:ascii="Times New Roman" w:hAnsi="Times New Roman" w:eastAsia="宋体" w:cs="Times New Roman"/>
          <w:sz w:val="24"/>
        </w:rPr>
        <w:t xml:space="preserve">Gene-specific shRNA constructs targeting candidate genes were </w:t>
      </w:r>
      <w:r>
        <w:rPr>
          <w:rFonts w:hint="eastAsia" w:ascii="Times New Roman" w:hAnsi="Times New Roman" w:eastAsia="宋体" w:cs="Times New Roman"/>
          <w:sz w:val="24"/>
          <w:lang w:val="en-US" w:eastAsia="zh-CN"/>
        </w:rPr>
        <w:t>obtain</w:t>
      </w:r>
      <w:r>
        <w:rPr>
          <w:rFonts w:ascii="Times New Roman" w:hAnsi="Times New Roman" w:eastAsia="宋体" w:cs="Times New Roman"/>
          <w:sz w:val="24"/>
        </w:rPr>
        <w:t xml:space="preserve">ed from GenePharma (Suzhou, China) and </w:t>
      </w:r>
      <w:r>
        <w:rPr>
          <w:rFonts w:hint="eastAsia" w:ascii="Times New Roman" w:hAnsi="Times New Roman" w:eastAsia="宋体" w:cs="Times New Roman"/>
          <w:sz w:val="24"/>
        </w:rPr>
        <w:t>subsequently</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validated by western blotting. For lentivirus production, HEK293T cells were co-transfected with the shRNA or sgRNA plasmid, the PxpAx2 packaging plasmid, and the PMD2g envelope plasmid</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GenePharma</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Suzhou, China) at a mass ratio of 4:3:1, </w:t>
      </w:r>
      <w:r>
        <w:rPr>
          <w:rFonts w:hint="eastAsia" w:ascii="Times New Roman" w:hAnsi="Times New Roman" w:eastAsia="宋体" w:cs="Times New Roman"/>
          <w:sz w:val="24"/>
        </w:rPr>
        <w:t>utilizing</w:t>
      </w:r>
      <w:r>
        <w:rPr>
          <w:rFonts w:ascii="Times New Roman" w:hAnsi="Times New Roman" w:eastAsia="宋体" w:cs="Times New Roman"/>
          <w:sz w:val="24"/>
        </w:rPr>
        <w:t xml:space="preserve"> Lipofectamine 3000 reagent</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w:t>
      </w:r>
      <w:r>
        <w:rPr>
          <w:rFonts w:hint="default" w:ascii="Times New Roman" w:hAnsi="Times New Roman" w:eastAsia="宋体" w:cs="Times New Roman"/>
          <w:color w:val="000000"/>
          <w:kern w:val="0"/>
          <w:sz w:val="24"/>
          <w:szCs w:val="24"/>
          <w:lang w:val="en-US" w:eastAsia="zh-CN" w:bidi="ar"/>
          <w14:ligatures w14:val="none"/>
        </w:rPr>
        <w:t>Invitrogen,</w:t>
      </w:r>
      <w:r>
        <w:rPr>
          <w:rFonts w:hint="eastAsia" w:ascii="Times New Roman" w:hAnsi="Times New Roman" w:eastAsia="宋体" w:cs="Times New Roman"/>
          <w:color w:val="000000"/>
          <w:kern w:val="0"/>
          <w:sz w:val="24"/>
          <w:szCs w:val="24"/>
          <w:lang w:val="en-US" w:eastAsia="zh-CN" w:bidi="ar"/>
          <w14:ligatures w14:val="none"/>
        </w:rPr>
        <w:t xml:space="preserve"> </w:t>
      </w:r>
      <w:r>
        <w:rPr>
          <w:rFonts w:hint="default" w:ascii="Times New Roman" w:hAnsi="Times New Roman" w:eastAsia="宋体" w:cs="Times New Roman"/>
          <w:color w:val="000000"/>
          <w:kern w:val="0"/>
          <w:sz w:val="24"/>
          <w:szCs w:val="24"/>
          <w:lang w:val="en-US" w:eastAsia="zh-CN" w:bidi="ar"/>
          <w14:ligatures w14:val="none"/>
        </w:rPr>
        <w:t>Cat.#L3000015</w:t>
      </w:r>
      <w:r>
        <w:rPr>
          <w:rFonts w:ascii="Times New Roman" w:hAnsi="Times New Roman" w:eastAsia="宋体" w:cs="Times New Roman"/>
          <w:sz w:val="24"/>
        </w:rPr>
        <w:t xml:space="preserve">). Viral supernatants were </w:t>
      </w:r>
      <w:r>
        <w:rPr>
          <w:rFonts w:hint="eastAsia" w:ascii="Times New Roman" w:hAnsi="Times New Roman" w:eastAsia="宋体" w:cs="Times New Roman"/>
          <w:sz w:val="24"/>
        </w:rPr>
        <w:t>harvested</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48 h post</w:t>
      </w:r>
      <w:r>
        <w:rPr>
          <w:rFonts w:ascii="Times New Roman" w:hAnsi="Times New Roman" w:eastAsia="宋体" w:cs="Times New Roman"/>
          <w:sz w:val="24"/>
        </w:rPr>
        <w:noBreakHyphen/>
      </w:r>
      <w:r>
        <w:rPr>
          <w:rFonts w:ascii="Times New Roman" w:hAnsi="Times New Roman" w:eastAsia="宋体" w:cs="Times New Roman"/>
          <w:sz w:val="24"/>
        </w:rPr>
        <w:t xml:space="preserve">transfection and </w:t>
      </w:r>
      <w:r>
        <w:rPr>
          <w:rFonts w:hint="eastAsia" w:ascii="Times New Roman" w:hAnsi="Times New Roman" w:eastAsia="宋体" w:cs="Times New Roman"/>
          <w:sz w:val="24"/>
        </w:rPr>
        <w:t>filtered</w:t>
      </w:r>
      <w:r>
        <w:rPr>
          <w:rFonts w:ascii="Times New Roman" w:hAnsi="Times New Roman" w:eastAsia="宋体" w:cs="Times New Roman"/>
          <w:sz w:val="24"/>
        </w:rPr>
        <w:t xml:space="preserve"> through 0.45 μm nitrocellulose filters</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(Millipore, Cat.#HAWP04700)</w:t>
      </w:r>
      <w:r>
        <w:rPr>
          <w:rFonts w:ascii="Times New Roman" w:hAnsi="Times New Roman" w:eastAsia="宋体" w:cs="Times New Roman"/>
          <w:sz w:val="24"/>
        </w:rPr>
        <w:t xml:space="preserve">. </w:t>
      </w:r>
      <w:r>
        <w:rPr>
          <w:rFonts w:hint="eastAsia" w:ascii="Times New Roman" w:hAnsi="Times New Roman" w:eastAsia="宋体" w:cs="Times New Roman"/>
          <w:sz w:val="24"/>
        </w:rPr>
        <w:t>GSCs</w:t>
      </w:r>
      <w:r>
        <w:rPr>
          <w:rFonts w:ascii="Times New Roman" w:hAnsi="Times New Roman" w:eastAsia="宋体" w:cs="Times New Roman"/>
          <w:sz w:val="24"/>
        </w:rPr>
        <w:t xml:space="preserve"> were transduced with the filtered viral particles for 48 h, followed by selection in medium containing 5 μg/mL puromycin</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Cat.#ST551</w:t>
      </w:r>
      <w:r>
        <w:rPr>
          <w:rFonts w:ascii="Times New Roman" w:hAnsi="Times New Roman" w:eastAsia="宋体" w:cs="Times New Roman"/>
          <w:sz w:val="24"/>
        </w:rPr>
        <w:t>) for 1</w:t>
      </w:r>
      <w:r>
        <w:rPr>
          <w:rFonts w:hint="eastAsia" w:ascii="Times New Roman" w:hAnsi="Times New Roman" w:eastAsia="宋体" w:cs="Times New Roman"/>
          <w:sz w:val="24"/>
          <w:lang w:val="en-US" w:eastAsia="zh-CN"/>
        </w:rPr>
        <w:t xml:space="preserve"> to </w:t>
      </w:r>
      <w:r>
        <w:rPr>
          <w:rFonts w:ascii="Times New Roman" w:hAnsi="Times New Roman" w:eastAsia="宋体" w:cs="Times New Roman"/>
          <w:sz w:val="24"/>
        </w:rPr>
        <w:t>2 weeks to establish stably transduced cell populations.</w:t>
      </w:r>
    </w:p>
    <w:p w14:paraId="0A8E4279">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黑体" w:cs="Times New Roman"/>
          <w:b/>
          <w:bCs/>
          <w:i w:val="0"/>
          <w:iCs w:val="0"/>
          <w:sz w:val="24"/>
          <w:lang w:val="en-US" w:eastAsia="zh-CN"/>
        </w:rPr>
      </w:pPr>
      <w:r>
        <w:rPr>
          <w:rFonts w:ascii="Times New Roman" w:hAnsi="Times New Roman" w:eastAsia="黑体" w:cs="Times New Roman"/>
          <w:b/>
          <w:bCs/>
          <w:i w:val="0"/>
          <w:iCs w:val="0"/>
          <w:sz w:val="24"/>
        </w:rPr>
        <w:t>Real-</w:t>
      </w:r>
      <w:r>
        <w:rPr>
          <w:rFonts w:hint="eastAsia" w:ascii="Times New Roman" w:hAnsi="Times New Roman" w:eastAsia="黑体" w:cs="Times New Roman"/>
          <w:b/>
          <w:bCs/>
          <w:i w:val="0"/>
          <w:iCs w:val="0"/>
          <w:sz w:val="24"/>
          <w:lang w:val="en-US" w:eastAsia="zh-CN"/>
        </w:rPr>
        <w:t>t</w:t>
      </w:r>
      <w:r>
        <w:rPr>
          <w:rFonts w:ascii="Times New Roman" w:hAnsi="Times New Roman" w:eastAsia="黑体" w:cs="Times New Roman"/>
          <w:b/>
          <w:bCs/>
          <w:i w:val="0"/>
          <w:iCs w:val="0"/>
          <w:sz w:val="24"/>
        </w:rPr>
        <w:t xml:space="preserve">ime </w:t>
      </w:r>
      <w:r>
        <w:rPr>
          <w:rFonts w:hint="eastAsia" w:ascii="Times New Roman" w:hAnsi="Times New Roman" w:eastAsia="黑体" w:cs="Times New Roman"/>
          <w:b/>
          <w:bCs/>
          <w:i w:val="0"/>
          <w:iCs w:val="0"/>
          <w:sz w:val="24"/>
          <w:lang w:val="en-US" w:eastAsia="zh-CN"/>
        </w:rPr>
        <w:t>q</w:t>
      </w:r>
      <w:r>
        <w:rPr>
          <w:rFonts w:ascii="Times New Roman" w:hAnsi="Times New Roman" w:eastAsia="黑体" w:cs="Times New Roman"/>
          <w:b/>
          <w:bCs/>
          <w:i w:val="0"/>
          <w:iCs w:val="0"/>
          <w:sz w:val="24"/>
        </w:rPr>
        <w:t>uantitative PCR (RT-</w:t>
      </w:r>
      <w:r>
        <w:rPr>
          <w:rFonts w:hint="eastAsia" w:ascii="Times New Roman" w:hAnsi="Times New Roman" w:eastAsia="黑体" w:cs="Times New Roman"/>
          <w:b/>
          <w:bCs/>
          <w:i w:val="0"/>
          <w:iCs w:val="0"/>
          <w:sz w:val="24"/>
        </w:rPr>
        <w:t>q</w:t>
      </w:r>
      <w:r>
        <w:rPr>
          <w:rFonts w:ascii="Times New Roman" w:hAnsi="Times New Roman" w:eastAsia="黑体" w:cs="Times New Roman"/>
          <w:b/>
          <w:bCs/>
          <w:i w:val="0"/>
          <w:iCs w:val="0"/>
          <w:sz w:val="24"/>
        </w:rPr>
        <w:t>PCR)</w:t>
      </w:r>
    </w:p>
    <w:p w14:paraId="407609DA">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黑体" w:cs="Times New Roman"/>
          <w:bCs/>
          <w:sz w:val="24"/>
          <w:lang w:val="en-US" w:eastAsia="zh-CN"/>
        </w:rPr>
      </w:pPr>
      <w:r>
        <w:rPr>
          <w:rFonts w:ascii="Times New Roman" w:hAnsi="Times New Roman" w:eastAsia="黑体" w:cs="Times New Roman"/>
          <w:bCs/>
          <w:sz w:val="24"/>
        </w:rPr>
        <w:t xml:space="preserve">Total RNA was extracted using </w:t>
      </w:r>
      <w:r>
        <w:rPr>
          <w:rFonts w:hint="eastAsia" w:ascii="Times New Roman" w:hAnsi="Times New Roman" w:eastAsia="黑体" w:cs="Times New Roman"/>
          <w:bCs/>
          <w:sz w:val="24"/>
          <w:lang w:val="en-US" w:eastAsia="zh-CN"/>
        </w:rPr>
        <w:t xml:space="preserve">the </w:t>
      </w:r>
      <w:r>
        <w:rPr>
          <w:rFonts w:ascii="Times New Roman" w:hAnsi="Times New Roman" w:eastAsia="黑体" w:cs="Times New Roman"/>
          <w:bCs/>
          <w:sz w:val="24"/>
        </w:rPr>
        <w:t>RNAiso Plus reagent</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(Takara, Cat.#9108)</w:t>
      </w:r>
      <w:r>
        <w:rPr>
          <w:rFonts w:ascii="Times New Roman" w:hAnsi="Times New Roman" w:eastAsia="黑体" w:cs="Times New Roman"/>
          <w:bCs/>
          <w:sz w:val="24"/>
        </w:rPr>
        <w:t>. Complementary DNA (cDNA) synthesi</w:t>
      </w:r>
      <w:r>
        <w:rPr>
          <w:rFonts w:hint="eastAsia" w:ascii="Times New Roman" w:hAnsi="Times New Roman" w:eastAsia="黑体" w:cs="Times New Roman"/>
          <w:bCs/>
          <w:sz w:val="24"/>
          <w:lang w:val="en-US" w:eastAsia="zh-CN"/>
        </w:rPr>
        <w:t>s</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 xml:space="preserve">was performed </w:t>
      </w:r>
      <w:r>
        <w:rPr>
          <w:rFonts w:ascii="Times New Roman" w:hAnsi="Times New Roman" w:eastAsia="黑体" w:cs="Times New Roman"/>
          <w:bCs/>
          <w:sz w:val="24"/>
        </w:rPr>
        <w:t>with the TOYOBO reverse transcription kit</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(Toyobo, Cat.#FSQ201)</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adher</w:t>
      </w:r>
      <w:r>
        <w:rPr>
          <w:rFonts w:ascii="Times New Roman" w:hAnsi="Times New Roman" w:eastAsia="黑体" w:cs="Times New Roman"/>
          <w:bCs/>
          <w:sz w:val="24"/>
        </w:rPr>
        <w:t xml:space="preserve">ing </w:t>
      </w:r>
      <w:r>
        <w:rPr>
          <w:rFonts w:hint="eastAsia" w:ascii="Times New Roman" w:hAnsi="Times New Roman" w:eastAsia="黑体" w:cs="Times New Roman"/>
          <w:bCs/>
          <w:sz w:val="24"/>
          <w:lang w:val="en-US" w:eastAsia="zh-CN"/>
        </w:rPr>
        <w:t xml:space="preserve">to </w:t>
      </w:r>
      <w:r>
        <w:rPr>
          <w:rFonts w:ascii="Times New Roman" w:hAnsi="Times New Roman" w:eastAsia="黑体" w:cs="Times New Roman"/>
          <w:bCs/>
          <w:sz w:val="24"/>
        </w:rPr>
        <w:t>the manufacturer’s protocol. Quantitative real</w:t>
      </w:r>
      <w:r>
        <w:rPr>
          <w:rFonts w:ascii="Times New Roman" w:hAnsi="Times New Roman" w:eastAsia="黑体" w:cs="Times New Roman"/>
          <w:bCs/>
          <w:sz w:val="24"/>
        </w:rPr>
        <w:noBreakHyphen/>
      </w:r>
      <w:r>
        <w:rPr>
          <w:rFonts w:ascii="Times New Roman" w:hAnsi="Times New Roman" w:eastAsia="黑体" w:cs="Times New Roman"/>
          <w:bCs/>
          <w:sz w:val="24"/>
        </w:rPr>
        <w:t xml:space="preserve">time PCR (qPCR) was </w:t>
      </w:r>
      <w:r>
        <w:rPr>
          <w:rFonts w:hint="eastAsia" w:ascii="Times New Roman" w:hAnsi="Times New Roman" w:eastAsia="黑体" w:cs="Times New Roman"/>
          <w:bCs/>
          <w:sz w:val="24"/>
          <w:lang w:val="en-US" w:eastAsia="zh-CN"/>
        </w:rPr>
        <w:t>conduct</w:t>
      </w:r>
      <w:r>
        <w:rPr>
          <w:rFonts w:ascii="Times New Roman" w:hAnsi="Times New Roman" w:eastAsia="黑体" w:cs="Times New Roman"/>
          <w:bCs/>
          <w:sz w:val="24"/>
        </w:rPr>
        <w:t xml:space="preserve">ed on </w:t>
      </w:r>
      <w:r>
        <w:rPr>
          <w:rFonts w:hint="default" w:ascii="Times New Roman" w:hAnsi="Times New Roman" w:eastAsia="宋体" w:cs="Times New Roman"/>
          <w:color w:val="000000"/>
          <w:kern w:val="0"/>
          <w:sz w:val="24"/>
          <w:szCs w:val="24"/>
          <w:lang w:val="en-US" w:eastAsia="zh-CN" w:bidi="ar"/>
          <w14:ligatures w14:val="none"/>
        </w:rPr>
        <w:t>a Roche LightCycler 480 System</w:t>
      </w:r>
      <w:r>
        <w:rPr>
          <w:rFonts w:ascii="Times New Roman" w:hAnsi="Times New Roman" w:eastAsia="黑体" w:cs="Times New Roman"/>
          <w:bCs/>
          <w:sz w:val="24"/>
        </w:rPr>
        <w:t xml:space="preserve"> </w:t>
      </w:r>
      <w:r>
        <w:rPr>
          <w:rFonts w:hint="eastAsia" w:ascii="Times New Roman" w:hAnsi="Times New Roman" w:eastAsia="宋体" w:cs="Times New Roman"/>
          <w:sz w:val="24"/>
        </w:rPr>
        <w:t>utilizing</w:t>
      </w:r>
      <w:r>
        <w:rPr>
          <w:rFonts w:ascii="Times New Roman" w:hAnsi="Times New Roman" w:eastAsia="黑体" w:cs="Times New Roman"/>
          <w:bCs/>
          <w:sz w:val="24"/>
        </w:rPr>
        <w:t xml:space="preserve"> TB Green Premix Ex Taq II (</w:t>
      </w:r>
      <w:r>
        <w:rPr>
          <w:rFonts w:hint="default" w:ascii="Times New Roman" w:hAnsi="Times New Roman" w:eastAsia="宋体" w:cs="Times New Roman"/>
          <w:color w:val="000000"/>
          <w:kern w:val="0"/>
          <w:sz w:val="24"/>
          <w:szCs w:val="24"/>
          <w:lang w:val="en-US" w:eastAsia="zh-CN" w:bidi="ar"/>
          <w14:ligatures w14:val="none"/>
        </w:rPr>
        <w:t>Takara, Cat.#RR820A</w:t>
      </w:r>
      <w:r>
        <w:rPr>
          <w:rFonts w:ascii="Times New Roman" w:hAnsi="Times New Roman" w:eastAsia="黑体" w:cs="Times New Roman"/>
          <w:bCs/>
          <w:sz w:val="24"/>
        </w:rPr>
        <w:t xml:space="preserve">) </w:t>
      </w:r>
      <w:r>
        <w:rPr>
          <w:rFonts w:hint="eastAsia" w:ascii="Times New Roman" w:hAnsi="Times New Roman" w:eastAsia="黑体" w:cs="Times New Roman"/>
          <w:bCs/>
          <w:sz w:val="24"/>
        </w:rPr>
        <w:t>following the recommended cycling conditions provided by the manufacturer</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The r</w:t>
      </w:r>
      <w:r>
        <w:rPr>
          <w:rFonts w:ascii="Times New Roman" w:hAnsi="Times New Roman" w:eastAsia="黑体" w:cs="Times New Roman"/>
          <w:bCs/>
          <w:sz w:val="24"/>
        </w:rPr>
        <w:t>elative expression levels of target genes were calculated by the 2</w:t>
      </w:r>
      <w:r>
        <w:rPr>
          <w:rFonts w:hint="eastAsia" w:ascii="Times New Roman" w:hAnsi="Times New Roman" w:eastAsia="黑体" w:cs="Times New Roman"/>
          <w:bCs/>
          <w:sz w:val="24"/>
          <w:vertAlign w:val="superscript"/>
        </w:rPr>
        <w:t>-</w:t>
      </w:r>
      <w:r>
        <w:rPr>
          <w:rFonts w:ascii="Times New Roman" w:hAnsi="Times New Roman" w:eastAsia="黑体" w:cs="Times New Roman"/>
          <w:bCs/>
          <w:sz w:val="24"/>
          <w:vertAlign w:val="superscript"/>
        </w:rPr>
        <w:t>ΔΔCt</w:t>
      </w:r>
      <w:r>
        <w:rPr>
          <w:rFonts w:ascii="Times New Roman" w:hAnsi="Times New Roman" w:eastAsia="黑体" w:cs="Times New Roman"/>
          <w:bCs/>
          <w:sz w:val="24"/>
        </w:rPr>
        <w:t xml:space="preserve"> method, with β</w:t>
      </w:r>
      <w:r>
        <w:rPr>
          <w:rFonts w:ascii="Times New Roman" w:hAnsi="Times New Roman" w:eastAsia="黑体" w:cs="Times New Roman"/>
          <w:bCs/>
          <w:sz w:val="24"/>
        </w:rPr>
        <w:noBreakHyphen/>
      </w:r>
      <w:r>
        <w:rPr>
          <w:rFonts w:ascii="Times New Roman" w:hAnsi="Times New Roman" w:eastAsia="黑体" w:cs="Times New Roman"/>
          <w:bCs/>
          <w:sz w:val="24"/>
        </w:rPr>
        <w:t xml:space="preserve">actin serving as the internal reference. All primers were synthesized by BGI Genomics, and the corresponding sequences </w:t>
      </w:r>
      <w:r>
        <w:rPr>
          <w:rFonts w:hint="eastAsia" w:ascii="Times New Roman" w:hAnsi="Times New Roman" w:eastAsia="黑体" w:cs="Times New Roman"/>
          <w:bCs/>
          <w:sz w:val="24"/>
          <w:lang w:val="en-US" w:eastAsia="zh-CN"/>
        </w:rPr>
        <w:t>can be found</w:t>
      </w:r>
      <w:r>
        <w:rPr>
          <w:rFonts w:ascii="Times New Roman" w:hAnsi="Times New Roman" w:eastAsia="黑体" w:cs="Times New Roman"/>
          <w:bCs/>
          <w:sz w:val="24"/>
        </w:rPr>
        <w:t xml:space="preserve"> in </w:t>
      </w:r>
      <w:r>
        <w:rPr>
          <w:rFonts w:ascii="Times New Roman" w:hAnsi="Times New Roman" w:eastAsia="宋体" w:cs="Times New Roman"/>
          <w:b w:val="0"/>
          <w:bCs w:val="0"/>
          <w:color w:val="auto"/>
          <w:sz w:val="24"/>
        </w:rPr>
        <w:t>Table</w:t>
      </w:r>
      <w:r>
        <w:rPr>
          <w:rFonts w:hint="eastAsia" w:ascii="Times New Roman" w:hAnsi="Times New Roman" w:eastAsia="宋体" w:cs="Times New Roman"/>
          <w:b w:val="0"/>
          <w:bCs w:val="0"/>
          <w:color w:val="auto"/>
          <w:sz w:val="24"/>
          <w:lang w:val="en-US" w:eastAsia="zh-CN"/>
        </w:rPr>
        <w:t xml:space="preserve"> S2</w:t>
      </w:r>
      <w:r>
        <w:rPr>
          <w:rFonts w:ascii="Times New Roman" w:hAnsi="Times New Roman" w:eastAsia="黑体" w:cs="Times New Roman"/>
          <w:bCs/>
          <w:sz w:val="24"/>
        </w:rPr>
        <w:t>.</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Each qPCR reaction included three technical replicates, and all experiments were repeated with three independent biological replicates.</w:t>
      </w:r>
    </w:p>
    <w:p w14:paraId="50F1215A">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黑体" w:cs="Times New Roman"/>
          <w:b/>
          <w:bCs/>
          <w:i w:val="0"/>
          <w:iCs w:val="0"/>
          <w:sz w:val="24"/>
        </w:rPr>
      </w:pPr>
      <w:r>
        <w:rPr>
          <w:rFonts w:ascii="Times New Roman" w:hAnsi="Times New Roman" w:eastAsia="黑体" w:cs="Times New Roman"/>
          <w:b/>
          <w:bCs/>
          <w:i w:val="0"/>
          <w:iCs w:val="0"/>
          <w:sz w:val="24"/>
        </w:rPr>
        <w:t xml:space="preserve">Western </w:t>
      </w:r>
      <w:r>
        <w:rPr>
          <w:rFonts w:hint="eastAsia" w:ascii="Times New Roman" w:hAnsi="Times New Roman" w:eastAsia="黑体" w:cs="Times New Roman"/>
          <w:b/>
          <w:bCs/>
          <w:i w:val="0"/>
          <w:iCs w:val="0"/>
          <w:sz w:val="24"/>
          <w:lang w:val="en-US" w:eastAsia="zh-CN"/>
        </w:rPr>
        <w:t>b</w:t>
      </w:r>
      <w:r>
        <w:rPr>
          <w:rFonts w:ascii="Times New Roman" w:hAnsi="Times New Roman" w:eastAsia="黑体" w:cs="Times New Roman"/>
          <w:b/>
          <w:bCs/>
          <w:i w:val="0"/>
          <w:iCs w:val="0"/>
          <w:sz w:val="24"/>
        </w:rPr>
        <w:t>lot</w:t>
      </w:r>
      <w:r>
        <w:rPr>
          <w:rFonts w:hint="eastAsia" w:ascii="Times New Roman" w:hAnsi="Times New Roman" w:eastAsia="黑体" w:cs="Times New Roman"/>
          <w:b/>
          <w:bCs/>
          <w:i w:val="0"/>
          <w:iCs w:val="0"/>
          <w:sz w:val="24"/>
        </w:rPr>
        <w:t>ting</w:t>
      </w:r>
    </w:p>
    <w:p w14:paraId="2F6F0A9A">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imes New Roman" w:hAnsi="Times New Roman" w:eastAsia="微软雅黑" w:cs="Times New Roman"/>
          <w:color w:val="111111"/>
          <w:sz w:val="24"/>
          <w:szCs w:val="24"/>
          <w:shd w:val="clear" w:color="auto" w:fill="FFFFFF"/>
          <w:lang w:val="en-US" w:eastAsia="zh-CN"/>
        </w:rPr>
      </w:pPr>
      <w:r>
        <w:rPr>
          <w:rFonts w:ascii="Times New Roman" w:hAnsi="Times New Roman" w:eastAsia="黑体" w:cs="Times New Roman"/>
          <w:bCs/>
          <w:sz w:val="24"/>
        </w:rPr>
        <w:t>Cells or tissues were lysed in RIPA buffer</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Cat.#P0013B)</w:t>
      </w:r>
      <w:r>
        <w:rPr>
          <w:rFonts w:ascii="Times New Roman" w:hAnsi="Times New Roman" w:eastAsia="黑体" w:cs="Times New Roman"/>
          <w:bCs/>
          <w:sz w:val="24"/>
        </w:rPr>
        <w:t xml:space="preserve"> supplemented with protease and phosphatase inhibitors</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Cat.#ST507)</w:t>
      </w:r>
      <w:r>
        <w:rPr>
          <w:rFonts w:ascii="Times New Roman" w:hAnsi="Times New Roman" w:eastAsia="黑体" w:cs="Times New Roman"/>
          <w:bCs/>
          <w:sz w:val="24"/>
        </w:rPr>
        <w:t xml:space="preserve"> for 30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at 4°C, followed by ultrasonication for 20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After centrifugation at 12,000×g for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at 4°C, the supernatant was collected and total protein </w:t>
      </w:r>
      <w:r>
        <w:rPr>
          <w:rFonts w:hint="eastAsia" w:ascii="Times New Roman" w:hAnsi="Times New Roman" w:eastAsia="黑体" w:cs="Times New Roman"/>
          <w:bCs/>
          <w:sz w:val="24"/>
          <w:lang w:val="en-US" w:eastAsia="zh-CN"/>
        </w:rPr>
        <w:t xml:space="preserve">was </w:t>
      </w:r>
      <w:r>
        <w:rPr>
          <w:rFonts w:ascii="Times New Roman" w:hAnsi="Times New Roman" w:eastAsia="黑体" w:cs="Times New Roman"/>
          <w:bCs/>
          <w:sz w:val="24"/>
        </w:rPr>
        <w:t>quantified using a BCA assay kit</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Cat.#P0012)</w:t>
      </w:r>
      <w:r>
        <w:rPr>
          <w:rFonts w:ascii="Times New Roman" w:hAnsi="Times New Roman" w:eastAsia="黑体" w:cs="Times New Roman"/>
          <w:bCs/>
          <w:sz w:val="24"/>
        </w:rPr>
        <w:t>. Proteins were denatured with 5× loading buffer</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Cat.#P0015L)</w:t>
      </w:r>
      <w:r>
        <w:rPr>
          <w:rFonts w:ascii="Times New Roman" w:hAnsi="Times New Roman" w:eastAsia="黑体" w:cs="Times New Roman"/>
          <w:bCs/>
          <w:sz w:val="24"/>
        </w:rPr>
        <w:t xml:space="preserve"> by boiling at 100°C for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Equal amounts of protein (30 μg) were separated on 10%</w:t>
      </w:r>
      <w:r>
        <w:rPr>
          <w:rFonts w:hint="eastAsia" w:ascii="Times New Roman" w:hAnsi="Times New Roman" w:eastAsia="黑体" w:cs="Times New Roman"/>
          <w:bCs/>
          <w:sz w:val="24"/>
        </w:rPr>
        <w:t>-</w:t>
      </w:r>
      <w:r>
        <w:rPr>
          <w:rFonts w:ascii="Times New Roman" w:hAnsi="Times New Roman" w:eastAsia="黑体" w:cs="Times New Roman"/>
          <w:bCs/>
          <w:sz w:val="24"/>
        </w:rPr>
        <w:t>12% SDS</w:t>
      </w:r>
      <w:r>
        <w:rPr>
          <w:rFonts w:ascii="Times New Roman" w:hAnsi="Times New Roman" w:eastAsia="黑体" w:cs="Times New Roman"/>
          <w:bCs/>
          <w:sz w:val="24"/>
        </w:rPr>
        <w:noBreakHyphen/>
      </w:r>
      <w:r>
        <w:rPr>
          <w:rFonts w:ascii="Times New Roman" w:hAnsi="Times New Roman" w:eastAsia="黑体" w:cs="Times New Roman"/>
          <w:bCs/>
          <w:sz w:val="24"/>
        </w:rPr>
        <w:t>PAGE gels and transferred onto nitrocellulose membranes (</w:t>
      </w:r>
      <w:r>
        <w:rPr>
          <w:rFonts w:hint="default" w:ascii="Times New Roman" w:hAnsi="Times New Roman" w:eastAsia="宋体" w:cs="Times New Roman"/>
          <w:color w:val="000000"/>
          <w:kern w:val="0"/>
          <w:sz w:val="24"/>
          <w:szCs w:val="24"/>
          <w:lang w:val="en-US" w:eastAsia="zh-CN" w:bidi="ar"/>
          <w14:ligatures w14:val="none"/>
        </w:rPr>
        <w:t>Millipore, Cat.#HATF00010</w:t>
      </w:r>
      <w:r>
        <w:rPr>
          <w:rFonts w:ascii="Times New Roman" w:hAnsi="Times New Roman" w:eastAsia="黑体" w:cs="Times New Roman"/>
          <w:bCs/>
          <w:sz w:val="24"/>
        </w:rPr>
        <w:t>) at a constant</w:t>
      </w:r>
      <w:r>
        <w:rPr>
          <w:rFonts w:hint="eastAsia" w:ascii="Times New Roman" w:hAnsi="Times New Roman" w:eastAsia="黑体" w:cs="Times New Roman"/>
          <w:bCs/>
          <w:sz w:val="24"/>
          <w:lang w:val="en-US" w:eastAsia="zh-CN"/>
        </w:rPr>
        <w:t xml:space="preserve"> current of</w:t>
      </w:r>
      <w:r>
        <w:rPr>
          <w:rFonts w:ascii="Times New Roman" w:hAnsi="Times New Roman" w:eastAsia="黑体" w:cs="Times New Roman"/>
          <w:bCs/>
          <w:sz w:val="24"/>
        </w:rPr>
        <w:t xml:space="preserve"> 300 mA under ice</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cold conditions. Membranes were blocked with 5% non</w:t>
      </w:r>
      <w:r>
        <w:rPr>
          <w:rFonts w:ascii="Times New Roman" w:hAnsi="Times New Roman" w:eastAsia="黑体" w:cs="Times New Roman"/>
          <w:bCs/>
          <w:sz w:val="24"/>
        </w:rPr>
        <w:noBreakHyphen/>
      </w:r>
      <w:r>
        <w:rPr>
          <w:rFonts w:ascii="Times New Roman" w:hAnsi="Times New Roman" w:eastAsia="黑体" w:cs="Times New Roman"/>
          <w:bCs/>
          <w:sz w:val="24"/>
        </w:rPr>
        <w:t>fat milk in TBST for 1 h at room temperature with gentle shaking, washed with TBST, and then probed with primary antibodies overnight at 4°C with agitation. After additional washes, the membranes were incubated with species</w:t>
      </w:r>
      <w:r>
        <w:rPr>
          <w:rFonts w:ascii="Times New Roman" w:hAnsi="Times New Roman" w:eastAsia="黑体" w:cs="Times New Roman"/>
          <w:bCs/>
          <w:sz w:val="24"/>
        </w:rPr>
        <w:noBreakHyphen/>
      </w:r>
      <w:r>
        <w:rPr>
          <w:rFonts w:ascii="Times New Roman" w:hAnsi="Times New Roman" w:eastAsia="黑体" w:cs="Times New Roman"/>
          <w:bCs/>
          <w:sz w:val="24"/>
        </w:rPr>
        <w:t>appropriate HRP</w:t>
      </w:r>
      <w:r>
        <w:rPr>
          <w:rFonts w:ascii="Times New Roman" w:hAnsi="Times New Roman" w:eastAsia="黑体" w:cs="Times New Roman"/>
          <w:bCs/>
          <w:sz w:val="24"/>
        </w:rPr>
        <w:noBreakHyphen/>
      </w:r>
      <w:r>
        <w:rPr>
          <w:rFonts w:ascii="Times New Roman" w:hAnsi="Times New Roman" w:eastAsia="黑体" w:cs="Times New Roman"/>
          <w:bCs/>
          <w:sz w:val="24"/>
        </w:rPr>
        <w:t>conjugated secondary antibodies</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(Proteintech, Cat.#SA00001-1/SA00001-2)</w:t>
      </w:r>
      <w:r>
        <w:rPr>
          <w:rFonts w:ascii="Times New Roman" w:hAnsi="Times New Roman" w:eastAsia="黑体" w:cs="Times New Roman"/>
          <w:bCs/>
          <w:sz w:val="24"/>
        </w:rPr>
        <w:t xml:space="preserve"> for 1 h at room temperature. Immunoreactive bands were visualized using an ECL detection system </w:t>
      </w:r>
      <w:r>
        <w:rPr>
          <w:rFonts w:hint="default" w:ascii="Times New Roman" w:hAnsi="Times New Roman" w:eastAsia="宋体" w:cs="Times New Roman"/>
          <w:color w:val="000000"/>
          <w:kern w:val="0"/>
          <w:sz w:val="24"/>
          <w:szCs w:val="24"/>
          <w:lang w:val="en-US" w:eastAsia="zh-CN" w:bidi="ar"/>
          <w14:ligatures w14:val="none"/>
        </w:rPr>
        <w:t>(Millipore,</w:t>
      </w:r>
      <w:r>
        <w:rPr>
          <w:rFonts w:hint="eastAsia" w:ascii="Times New Roman" w:hAnsi="Times New Roman" w:eastAsia="宋体" w:cs="Times New Roman"/>
          <w:color w:val="000000"/>
          <w:kern w:val="0"/>
          <w:sz w:val="24"/>
          <w:szCs w:val="24"/>
          <w:lang w:val="en-US" w:eastAsia="zh-CN" w:bidi="ar"/>
          <w14:ligatures w14:val="none"/>
        </w:rPr>
        <w:t xml:space="preserve"> </w:t>
      </w:r>
      <w:r>
        <w:rPr>
          <w:rFonts w:hint="default" w:ascii="Times New Roman" w:hAnsi="Times New Roman" w:eastAsia="宋体" w:cs="Times New Roman"/>
          <w:color w:val="000000"/>
          <w:kern w:val="0"/>
          <w:sz w:val="24"/>
          <w:szCs w:val="24"/>
          <w:lang w:val="en-US" w:eastAsia="zh-CN" w:bidi="ar"/>
          <w14:ligatures w14:val="none"/>
        </w:rPr>
        <w:t>Cat.#WBKLS0500)</w:t>
      </w:r>
      <w:r>
        <w:rPr>
          <w:rFonts w:ascii="Times New Roman" w:hAnsi="Times New Roman" w:eastAsia="黑体" w:cs="Times New Roman"/>
          <w:bCs/>
          <w:sz w:val="24"/>
        </w:rPr>
        <w:t xml:space="preserve"> and captured with a chemiluminescence imaging system</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(Bio-Rad)</w:t>
      </w:r>
      <w:r>
        <w:rPr>
          <w:rFonts w:ascii="Times New Roman" w:hAnsi="Times New Roman" w:eastAsia="黑体" w:cs="Times New Roman"/>
          <w:bCs/>
          <w:sz w:val="24"/>
        </w:rPr>
        <w:t>. Band intensities were quantified using ImageJ software</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(NIH, Rockville, USA)</w:t>
      </w:r>
      <w:r>
        <w:rPr>
          <w:rFonts w:ascii="Times New Roman" w:hAnsi="Times New Roman" w:eastAsia="黑体" w:cs="Times New Roman"/>
          <w:bCs/>
          <w:sz w:val="24"/>
        </w:rPr>
        <w:t>.</w:t>
      </w:r>
      <w:r>
        <w:rPr>
          <w:rFonts w:hint="eastAsia" w:ascii="Times New Roman" w:hAnsi="Times New Roman" w:eastAsia="黑体" w:cs="Times New Roman"/>
          <w:bCs/>
          <w:sz w:val="24"/>
          <w:lang w:val="en-US" w:eastAsia="zh-CN"/>
        </w:rPr>
        <w:t xml:space="preserve"> </w:t>
      </w:r>
      <w:r>
        <w:rPr>
          <w:rFonts w:ascii="Times New Roman" w:hAnsi="Times New Roman" w:cs="Times New Roman"/>
          <w:sz w:val="24"/>
          <w:szCs w:val="24"/>
        </w:rPr>
        <w:t>P</w:t>
      </w:r>
      <w:r>
        <w:rPr>
          <w:rFonts w:hint="eastAsia" w:ascii="Times New Roman" w:hAnsi="Times New Roman" w:cs="Times New Roman"/>
          <w:sz w:val="24"/>
          <w:szCs w:val="24"/>
        </w:rPr>
        <w:t>ri</w:t>
      </w:r>
      <w:r>
        <w:rPr>
          <w:rFonts w:ascii="Times New Roman" w:hAnsi="Times New Roman" w:cs="Times New Roman"/>
          <w:sz w:val="24"/>
          <w:szCs w:val="24"/>
        </w:rPr>
        <w:t>mary antibodies used for immunoblot were: anti-PRMT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Abcam, Cat.#ab73246,</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1:1000</w:t>
      </w:r>
      <w:r>
        <w:rPr>
          <w:rFonts w:ascii="Times New Roman" w:hAnsi="Times New Roman" w:cs="Times New Roman"/>
          <w:sz w:val="24"/>
          <w:szCs w:val="24"/>
        </w:rPr>
        <w:t>), anti-</w:t>
      </w:r>
      <w:r>
        <w:rPr>
          <w:rFonts w:hint="eastAsia" w:ascii="Times New Roman" w:hAnsi="Times New Roman" w:cs="Times New Roman"/>
          <w:sz w:val="24"/>
          <w:szCs w:val="24"/>
          <w:lang w:val="en-US" w:eastAsia="zh-CN"/>
        </w:rPr>
        <w:t>YBX1</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Proteintech, Cat.#20339-1-AP, 1:5000</w:t>
      </w:r>
      <w:r>
        <w:rPr>
          <w:rFonts w:ascii="Times New Roman" w:hAnsi="Times New Roman" w:cs="Times New Roman"/>
          <w:sz w:val="24"/>
          <w:szCs w:val="24"/>
        </w:rPr>
        <w:t>), anti-</w:t>
      </w:r>
      <w:r>
        <w:rPr>
          <w:rFonts w:hint="eastAsia" w:ascii="Times New Roman" w:hAnsi="Times New Roman" w:cs="Times New Roman"/>
          <w:sz w:val="24"/>
          <w:szCs w:val="24"/>
          <w:lang w:val="en-US" w:eastAsia="zh-CN"/>
        </w:rPr>
        <w:t>p-YBX1</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Cat.#2900S,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w:t>
      </w:r>
      <w:r>
        <w:rPr>
          <w:rFonts w:hint="eastAsia" w:ascii="Times New Roman" w:hAnsi="Times New Roman" w:cs="Times New Roman"/>
          <w:sz w:val="24"/>
          <w:szCs w:val="24"/>
          <w:lang w:val="en-US" w:eastAsia="zh-CN"/>
        </w:rPr>
        <w:t>AKT</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Cat.#9272S,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w:t>
      </w:r>
      <w:r>
        <w:rPr>
          <w:rFonts w:hint="eastAsia" w:ascii="Times New Roman" w:hAnsi="Times New Roman" w:cs="Times New Roman"/>
          <w:sz w:val="24"/>
          <w:szCs w:val="24"/>
          <w:lang w:val="en-US" w:eastAsia="zh-CN"/>
        </w:rPr>
        <w:t>p-AKT</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Cat.#4060S,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eastAsia="黑体" w:cs="Times New Roman"/>
          <w:sz w:val="24"/>
        </w:rPr>
        <w:t>anti‑YBX1</w:t>
      </w:r>
      <w:r>
        <w:rPr>
          <w:rFonts w:hint="eastAsia" w:ascii="Times New Roman" w:hAnsi="Times New Roman" w:eastAsia="黑体" w:cs="Times New Roman"/>
          <w:sz w:val="24"/>
        </w:rPr>
        <w:t>-</w:t>
      </w:r>
      <w:r>
        <w:rPr>
          <w:rFonts w:ascii="Times New Roman" w:hAnsi="Times New Roman" w:eastAsia="黑体" w:cs="Times New Roman"/>
          <w:sz w:val="24"/>
        </w:rPr>
        <w:t>R69me2a</w:t>
      </w:r>
      <w:r>
        <w:rPr>
          <w:rFonts w:hint="eastAsia" w:ascii="Times New Roman" w:hAnsi="Times New Roman" w:eastAsia="黑体" w:cs="Times New Roman"/>
          <w:sz w:val="24"/>
          <w:lang w:val="en-US" w:eastAsia="zh-CN"/>
        </w:rPr>
        <w:t xml:space="preserve"> (</w:t>
      </w:r>
      <w:r>
        <w:rPr>
          <w:rFonts w:hint="default" w:ascii="Times New Roman" w:hAnsi="Times New Roman" w:cs="Times New Roman"/>
          <w:color w:val="000000"/>
          <w:sz w:val="24"/>
          <w:szCs w:val="24"/>
        </w:rPr>
        <w:t>GL Biochem Shanghai, custom purified antibody, 1:500</w:t>
      </w:r>
      <w:r>
        <w:rPr>
          <w:rFonts w:ascii="Times New Roman" w:hAnsi="Times New Roman" w:eastAsia="黑体" w:cs="Times New Roman"/>
          <w:bCs/>
          <w:sz w:val="24"/>
        </w:rPr>
        <w:t>)</w:t>
      </w:r>
      <w:r>
        <w:rPr>
          <w:rFonts w:hint="eastAsia" w:ascii="Times New Roman" w:hAnsi="Times New Roman" w:eastAsia="黑体" w:cs="Times New Roman"/>
          <w:bCs/>
          <w:sz w:val="24"/>
          <w:lang w:val="en-US" w:eastAsia="zh-CN"/>
        </w:rPr>
        <w:t xml:space="preserve">, </w:t>
      </w:r>
      <w:r>
        <w:rPr>
          <w:rFonts w:ascii="Times New Roman" w:hAnsi="Times New Roman" w:eastAsia="黑体" w:cs="Times New Roman"/>
          <w:sz w:val="24"/>
        </w:rPr>
        <w:t>anti‑aDMA</w:t>
      </w:r>
      <w:r>
        <w:rPr>
          <w:rFonts w:hint="eastAsia" w:ascii="Times New Roman" w:hAnsi="Times New Roman" w:eastAsia="黑体" w:cs="Times New Roman"/>
          <w:sz w:val="24"/>
          <w:lang w:val="en-US" w:eastAsia="zh-CN"/>
        </w:rPr>
        <w:t xml:space="preserve"> </w:t>
      </w:r>
      <w:r>
        <w:rPr>
          <w:rFonts w:ascii="Times New Roman" w:hAnsi="Times New Roman" w:eastAsia="宋体" w:cs="Times New Roman"/>
          <w:sz w:val="24"/>
        </w:rPr>
        <w:t>(</w:t>
      </w:r>
      <w:r>
        <w:rPr>
          <w:rFonts w:hint="default" w:ascii="Times New Roman" w:hAnsi="Times New Roman" w:cs="Times New Roman"/>
          <w:color w:val="000000"/>
          <w:sz w:val="24"/>
          <w:szCs w:val="24"/>
        </w:rPr>
        <w:t>CST, Cat.#13522S, 1:1000</w:t>
      </w:r>
      <w:r>
        <w:rPr>
          <w:rFonts w:ascii="Times New Roman" w:hAnsi="Times New Roman" w:eastAsia="宋体" w:cs="Times New Roman"/>
          <w:sz w:val="24"/>
        </w:rPr>
        <w:t>)</w:t>
      </w:r>
      <w:r>
        <w:rPr>
          <w:rFonts w:ascii="Times New Roman" w:hAnsi="Times New Roman" w:cs="Times New Roman"/>
          <w:sz w:val="24"/>
          <w:szCs w:val="24"/>
        </w:rPr>
        <w:t>, anti-H</w:t>
      </w:r>
      <w:r>
        <w:rPr>
          <w:rFonts w:hint="eastAsia" w:ascii="Times New Roman" w:hAnsi="Times New Roman" w:cs="Times New Roman"/>
          <w:sz w:val="24"/>
          <w:szCs w:val="24"/>
          <w:lang w:val="en-US" w:eastAsia="zh-CN"/>
        </w:rPr>
        <w:t>4</w:t>
      </w:r>
      <w:r>
        <w:rPr>
          <w:rFonts w:ascii="Times New Roman" w:hAnsi="Times New Roman" w:cs="Times New Roman"/>
          <w:sz w:val="24"/>
          <w:szCs w:val="24"/>
        </w:rPr>
        <w:t>R</w:t>
      </w:r>
      <w:r>
        <w:rPr>
          <w:rFonts w:hint="eastAsia" w:ascii="Times New Roman" w:hAnsi="Times New Roman" w:cs="Times New Roman"/>
          <w:sz w:val="24"/>
          <w:szCs w:val="24"/>
          <w:lang w:val="en-US" w:eastAsia="zh-CN"/>
        </w:rPr>
        <w:t>3</w:t>
      </w:r>
      <w:r>
        <w:rPr>
          <w:rFonts w:ascii="Times New Roman" w:hAnsi="Times New Roman" w:cs="Times New Roman"/>
          <w:sz w:val="24"/>
          <w:szCs w:val="24"/>
        </w:rPr>
        <w:t>me2a (</w:t>
      </w:r>
      <w:r>
        <w:rPr>
          <w:rFonts w:hint="default" w:ascii="Times New Roman" w:hAnsi="Times New Roman" w:cs="Times New Roman"/>
          <w:color w:val="000000"/>
          <w:sz w:val="24"/>
          <w:szCs w:val="24"/>
        </w:rPr>
        <w:t>Abcam, Cat.#ab5823, 1:500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anti-Histone H</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Proteintech, Cat.#16047-1-AP,</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1:1000</w:t>
      </w:r>
      <w:r>
        <w:rPr>
          <w:rFonts w:ascii="Times New Roman" w:hAnsi="Times New Roman" w:cs="Times New Roman"/>
          <w:sz w:val="24"/>
          <w:szCs w:val="24"/>
        </w:rPr>
        <w:t>), anti-FLAG (</w:t>
      </w:r>
      <w:r>
        <w:rPr>
          <w:rFonts w:hint="default" w:ascii="Times New Roman" w:hAnsi="Times New Roman" w:cs="Times New Roman"/>
          <w:color w:val="000000"/>
          <w:sz w:val="24"/>
          <w:szCs w:val="24"/>
        </w:rPr>
        <w:t>CST, Cat.#14793, 1:1000</w:t>
      </w:r>
      <w:r>
        <w:rPr>
          <w:rFonts w:ascii="Times New Roman" w:hAnsi="Times New Roman" w:cs="Times New Roman"/>
          <w:sz w:val="24"/>
          <w:szCs w:val="24"/>
        </w:rPr>
        <w:t>), anti-HA (</w:t>
      </w:r>
      <w:r>
        <w:rPr>
          <w:rFonts w:hint="default" w:ascii="Times New Roman" w:hAnsi="Times New Roman" w:cs="Times New Roman"/>
          <w:color w:val="000000"/>
          <w:sz w:val="24"/>
          <w:szCs w:val="24"/>
        </w:rPr>
        <w:t>CST, Cat.#3724, 1:1000</w:t>
      </w:r>
      <w:r>
        <w:rPr>
          <w:rFonts w:ascii="Times New Roman" w:hAnsi="Times New Roman" w:cs="Times New Roman"/>
          <w:sz w:val="24"/>
          <w:szCs w:val="24"/>
        </w:rPr>
        <w:t>), anti-</w:t>
      </w:r>
      <w:r>
        <w:rPr>
          <w:rFonts w:hint="eastAsia" w:ascii="Times New Roman" w:hAnsi="Times New Roman" w:eastAsia="微软雅黑" w:cs="Times New Roman"/>
          <w:color w:val="111111"/>
          <w:sz w:val="24"/>
          <w:szCs w:val="24"/>
          <w:shd w:val="clear" w:color="auto" w:fill="FFFFFF"/>
          <w:lang w:val="en-US" w:eastAsia="zh-CN"/>
        </w:rPr>
        <w:t>CDCA5</w:t>
      </w:r>
      <w:r>
        <w:rPr>
          <w:rFonts w:ascii="Times New Roman" w:hAnsi="Times New Roman" w:eastAsia="微软雅黑" w:cs="Times New Roman"/>
          <w:color w:val="111111"/>
          <w:sz w:val="24"/>
          <w:szCs w:val="24"/>
          <w:shd w:val="clear" w:color="auto" w:fill="FFFFFF"/>
        </w:rPr>
        <w:t xml:space="preserve"> (</w:t>
      </w:r>
      <w:r>
        <w:rPr>
          <w:rFonts w:hint="default" w:ascii="Times New Roman" w:hAnsi="Times New Roman" w:cs="Times New Roman"/>
          <w:color w:val="000000"/>
          <w:sz w:val="24"/>
          <w:szCs w:val="24"/>
        </w:rPr>
        <w:t>Proteintech, Cat.#67418-1-lg, 1:1000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 xml:space="preserve">, </w:t>
      </w:r>
      <w:r>
        <w:rPr>
          <w:rFonts w:ascii="Times New Roman" w:hAnsi="Times New Roman" w:cs="Times New Roman"/>
          <w:sz w:val="24"/>
          <w:szCs w:val="24"/>
        </w:rPr>
        <w:t>anti-</w:t>
      </w:r>
      <w:r>
        <w:rPr>
          <w:rFonts w:hint="eastAsia" w:ascii="Times New Roman" w:hAnsi="Times New Roman" w:eastAsia="微软雅黑" w:cs="Times New Roman"/>
          <w:color w:val="111111"/>
          <w:sz w:val="24"/>
          <w:szCs w:val="24"/>
          <w:shd w:val="clear" w:color="auto" w:fill="FFFFFF"/>
          <w:lang w:val="en-US" w:eastAsia="zh-CN"/>
        </w:rPr>
        <w:t>PKMYT1</w:t>
      </w:r>
      <w:r>
        <w:rPr>
          <w:rFonts w:ascii="Times New Roman" w:hAnsi="Times New Roman" w:eastAsia="微软雅黑" w:cs="Times New Roman"/>
          <w:color w:val="111111"/>
          <w:sz w:val="24"/>
          <w:szCs w:val="24"/>
          <w:shd w:val="clear" w:color="auto" w:fill="FFFFFF"/>
        </w:rPr>
        <w:t xml:space="preserve"> (</w:t>
      </w:r>
      <w:r>
        <w:rPr>
          <w:rFonts w:hint="default" w:ascii="Times New Roman" w:hAnsi="Times New Roman" w:cs="Times New Roman"/>
          <w:color w:val="000000"/>
          <w:sz w:val="24"/>
          <w:szCs w:val="24"/>
        </w:rPr>
        <w:t>Proteintech, Cat.#67806-1-lg, 1:5000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 xml:space="preserve">, </w:t>
      </w:r>
      <w:r>
        <w:rPr>
          <w:rFonts w:ascii="Times New Roman" w:hAnsi="Times New Roman" w:cs="Times New Roman"/>
          <w:sz w:val="24"/>
          <w:szCs w:val="24"/>
        </w:rPr>
        <w:t>anti-</w:t>
      </w:r>
      <w:r>
        <w:rPr>
          <w:rFonts w:hint="eastAsia" w:ascii="Times New Roman" w:hAnsi="Times New Roman" w:eastAsia="微软雅黑" w:cs="Times New Roman"/>
          <w:color w:val="111111"/>
          <w:sz w:val="24"/>
          <w:szCs w:val="24"/>
          <w:shd w:val="clear" w:color="auto" w:fill="FFFFFF"/>
          <w:lang w:val="en-US" w:eastAsia="zh-CN"/>
        </w:rPr>
        <w:t>NSUN2</w:t>
      </w:r>
      <w:r>
        <w:rPr>
          <w:rFonts w:ascii="Times New Roman" w:hAnsi="Times New Roman" w:eastAsia="微软雅黑" w:cs="Times New Roman"/>
          <w:color w:val="111111"/>
          <w:sz w:val="24"/>
          <w:szCs w:val="24"/>
          <w:shd w:val="clear" w:color="auto" w:fill="FFFFFF"/>
        </w:rPr>
        <w:t xml:space="preserve"> (</w:t>
      </w:r>
      <w:r>
        <w:rPr>
          <w:rFonts w:hint="default" w:ascii="Times New Roman" w:hAnsi="Times New Roman" w:cs="Times New Roman"/>
          <w:color w:val="000000"/>
          <w:sz w:val="24"/>
          <w:szCs w:val="24"/>
        </w:rPr>
        <w:t>Proteintech, Cat.#20854-1-AP,</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1:10000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 xml:space="preserve">, </w:t>
      </w:r>
      <w:r>
        <w:rPr>
          <w:rFonts w:ascii="Times New Roman" w:hAnsi="Times New Roman" w:cs="Times New Roman"/>
          <w:sz w:val="24"/>
          <w:szCs w:val="24"/>
        </w:rPr>
        <w:t>anti-</w:t>
      </w:r>
      <w:r>
        <w:rPr>
          <w:rFonts w:hint="eastAsia" w:ascii="Times New Roman" w:hAnsi="Times New Roman" w:cs="Times New Roman"/>
          <w:sz w:val="24"/>
          <w:szCs w:val="24"/>
          <w:lang w:val="en-US" w:eastAsia="zh-CN"/>
        </w:rPr>
        <w:t>E2F</w:t>
      </w:r>
      <w:r>
        <w:rPr>
          <w:rFonts w:ascii="Times New Roman" w:hAnsi="Times New Roman" w:cs="Times New Roman"/>
          <w:sz w:val="24"/>
          <w:szCs w:val="24"/>
        </w:rPr>
        <w:t>1 (</w:t>
      </w:r>
      <w:r>
        <w:rPr>
          <w:rFonts w:hint="default" w:ascii="Times New Roman" w:hAnsi="Times New Roman" w:cs="Times New Roman"/>
          <w:color w:val="000000"/>
          <w:sz w:val="24"/>
          <w:szCs w:val="24"/>
        </w:rPr>
        <w:t>CST, Cat.#3742S,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anti-CDK</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Proteintech, Cat.#19532-1-AP, 1:2000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anti-CDK</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Cat.#2546, 1:1000</w:t>
      </w:r>
      <w:r>
        <w:rPr>
          <w:rFonts w:ascii="Times New Roman" w:hAnsi="Times New Roman" w:cs="Times New Roman"/>
          <w:sz w:val="24"/>
          <w:szCs w:val="24"/>
        </w:rPr>
        <w:t>), anti-Cyclin D1 (</w:t>
      </w:r>
      <w:r>
        <w:rPr>
          <w:rFonts w:hint="default" w:ascii="Times New Roman" w:hAnsi="Times New Roman" w:cs="Times New Roman"/>
          <w:color w:val="000000"/>
          <w:sz w:val="24"/>
          <w:szCs w:val="24"/>
        </w:rPr>
        <w:t>CST, Cat.#55506, 1:1000</w:t>
      </w:r>
      <w:r>
        <w:rPr>
          <w:rFonts w:ascii="Times New Roman" w:hAnsi="Times New Roman" w:cs="Times New Roman"/>
          <w:sz w:val="24"/>
          <w:szCs w:val="24"/>
        </w:rPr>
        <w:t xml:space="preserve">), anti-Cyclin </w:t>
      </w:r>
      <w:r>
        <w:rPr>
          <w:rFonts w:hint="eastAsia" w:ascii="Times New Roman" w:hAnsi="Times New Roman" w:cs="Times New Roman"/>
          <w:sz w:val="24"/>
          <w:szCs w:val="24"/>
          <w:lang w:val="en-US" w:eastAsia="zh-CN"/>
        </w:rPr>
        <w:t>B</w:t>
      </w:r>
      <w:r>
        <w:rPr>
          <w:rFonts w:ascii="Times New Roman" w:hAnsi="Times New Roman" w:cs="Times New Roman"/>
          <w:sz w:val="24"/>
          <w:szCs w:val="24"/>
        </w:rPr>
        <w:t>1 (</w:t>
      </w:r>
      <w:r>
        <w:rPr>
          <w:rFonts w:hint="default" w:ascii="Times New Roman" w:hAnsi="Times New Roman" w:cs="Times New Roman"/>
          <w:color w:val="000000"/>
          <w:sz w:val="24"/>
          <w:szCs w:val="24"/>
        </w:rPr>
        <w:t>CST, Cat.#4138S,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w:t>
      </w:r>
      <w:r>
        <w:rPr>
          <w:rFonts w:hint="eastAsia" w:ascii="Times New Roman" w:hAnsi="Times New Roman" w:cs="Times New Roman"/>
          <w:sz w:val="24"/>
          <w:szCs w:val="24"/>
          <w:lang w:val="en-US" w:eastAsia="zh-CN"/>
        </w:rPr>
        <w:t>P53</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Cat.#9282S, 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w:t>
      </w:r>
      <w:r>
        <w:rPr>
          <w:rFonts w:hint="eastAsia" w:ascii="Times New Roman" w:hAnsi="Times New Roman" w:cs="Times New Roman"/>
          <w:sz w:val="24"/>
          <w:szCs w:val="24"/>
          <w:lang w:val="en-US" w:eastAsia="zh-CN"/>
        </w:rPr>
        <w:t>P21</w:t>
      </w:r>
      <w:r>
        <w:rPr>
          <w:rFonts w:ascii="Times New Roman" w:hAnsi="Times New Roman" w:cs="Times New Roman"/>
          <w:sz w:val="24"/>
          <w:szCs w:val="24"/>
        </w:rPr>
        <w:t xml:space="preserve"> (</w:t>
      </w:r>
      <w:r>
        <w:rPr>
          <w:rFonts w:hint="default" w:ascii="Times New Roman" w:hAnsi="Times New Roman" w:cs="Times New Roman"/>
          <w:color w:val="000000"/>
          <w:sz w:val="24"/>
          <w:szCs w:val="24"/>
        </w:rPr>
        <w:t>CST, Cat.#2947S,</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1:1000</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anti-</w:t>
      </w:r>
      <w:r>
        <w:rPr>
          <w:rFonts w:ascii="Times New Roman" w:hAnsi="Times New Roman" w:eastAsia="微软雅黑" w:cs="Times New Roman"/>
          <w:color w:val="111111"/>
          <w:sz w:val="24"/>
          <w:szCs w:val="24"/>
          <w:shd w:val="clear" w:color="auto" w:fill="FFFFFF"/>
        </w:rPr>
        <w:t>β-</w:t>
      </w:r>
      <w:r>
        <w:rPr>
          <w:rFonts w:hint="eastAsia" w:ascii="Times New Roman" w:hAnsi="Times New Roman" w:eastAsia="微软雅黑" w:cs="Times New Roman"/>
          <w:color w:val="111111"/>
          <w:sz w:val="24"/>
          <w:szCs w:val="24"/>
          <w:shd w:val="clear" w:color="auto" w:fill="FFFFFF"/>
          <w:lang w:val="en-US" w:eastAsia="zh-CN"/>
        </w:rPr>
        <w:t>a</w:t>
      </w:r>
      <w:r>
        <w:rPr>
          <w:rFonts w:ascii="Times New Roman" w:hAnsi="Times New Roman" w:eastAsia="微软雅黑" w:cs="Times New Roman"/>
          <w:color w:val="111111"/>
          <w:sz w:val="24"/>
          <w:szCs w:val="24"/>
          <w:shd w:val="clear" w:color="auto" w:fill="FFFFFF"/>
        </w:rPr>
        <w:t>ctin (</w:t>
      </w:r>
      <w:r>
        <w:rPr>
          <w:rFonts w:hint="default" w:ascii="Times New Roman" w:hAnsi="Times New Roman" w:cs="Times New Roman"/>
          <w:color w:val="000000"/>
          <w:sz w:val="24"/>
          <w:szCs w:val="24"/>
        </w:rPr>
        <w:t>Proteintech, Cat.#66009-1-lg, 1:20000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 xml:space="preserve">, </w:t>
      </w:r>
      <w:r>
        <w:rPr>
          <w:rFonts w:ascii="Times New Roman" w:hAnsi="Times New Roman" w:cs="Times New Roman"/>
          <w:sz w:val="24"/>
          <w:szCs w:val="24"/>
        </w:rPr>
        <w:t>anti-</w:t>
      </w:r>
      <w:r>
        <w:rPr>
          <w:rFonts w:hint="eastAsia" w:ascii="Times New Roman" w:hAnsi="Times New Roman" w:eastAsia="微软雅黑" w:cs="Times New Roman"/>
          <w:color w:val="111111"/>
          <w:sz w:val="24"/>
          <w:szCs w:val="24"/>
          <w:shd w:val="clear" w:color="auto" w:fill="FFFFFF"/>
          <w:lang w:val="en-US" w:eastAsia="zh-CN"/>
        </w:rPr>
        <w:t>GAPDH</w:t>
      </w:r>
      <w:r>
        <w:rPr>
          <w:rFonts w:ascii="Times New Roman" w:hAnsi="Times New Roman" w:eastAsia="微软雅黑" w:cs="Times New Roman"/>
          <w:color w:val="111111"/>
          <w:sz w:val="24"/>
          <w:szCs w:val="24"/>
          <w:shd w:val="clear" w:color="auto" w:fill="FFFFFF"/>
        </w:rPr>
        <w:t xml:space="preserve"> (</w:t>
      </w:r>
      <w:r>
        <w:rPr>
          <w:rFonts w:hint="default" w:ascii="Times New Roman" w:hAnsi="Times New Roman" w:cs="Times New Roman"/>
          <w:color w:val="000000"/>
          <w:sz w:val="24"/>
          <w:szCs w:val="24"/>
        </w:rPr>
        <w:t>Proteintech, Cat.#60004-1-lg,</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1:50000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 xml:space="preserve"> and </w:t>
      </w:r>
      <w:r>
        <w:rPr>
          <w:rFonts w:ascii="Times New Roman" w:hAnsi="Times New Roman" w:cs="Times New Roman"/>
          <w:sz w:val="24"/>
          <w:szCs w:val="24"/>
        </w:rPr>
        <w:t>anti-</w:t>
      </w:r>
      <w:r>
        <w:rPr>
          <w:rFonts w:hint="eastAsia" w:ascii="Times New Roman" w:hAnsi="Times New Roman" w:eastAsia="微软雅黑" w:cs="Times New Roman"/>
          <w:color w:val="111111"/>
          <w:sz w:val="24"/>
          <w:szCs w:val="24"/>
          <w:shd w:val="clear" w:color="auto" w:fill="FFFFFF"/>
          <w:lang w:val="en-US" w:eastAsia="zh-CN"/>
        </w:rPr>
        <w:t>LaminB1</w:t>
      </w:r>
      <w:r>
        <w:rPr>
          <w:rFonts w:ascii="Times New Roman" w:hAnsi="Times New Roman" w:eastAsia="微软雅黑" w:cs="Times New Roman"/>
          <w:color w:val="111111"/>
          <w:sz w:val="24"/>
          <w:szCs w:val="24"/>
          <w:shd w:val="clear" w:color="auto" w:fill="FFFFFF"/>
        </w:rPr>
        <w:t xml:space="preserve"> (</w:t>
      </w:r>
      <w:r>
        <w:rPr>
          <w:rFonts w:hint="default" w:ascii="Times New Roman" w:hAnsi="Times New Roman" w:cs="Times New Roman"/>
          <w:color w:val="000000"/>
          <w:sz w:val="24"/>
          <w:szCs w:val="24"/>
        </w:rPr>
        <w:t>Proteintech, Cat.#66095-1-lg, 1:20000</w:t>
      </w:r>
      <w:r>
        <w:rPr>
          <w:rFonts w:ascii="Times New Roman" w:hAnsi="Times New Roman" w:eastAsia="微软雅黑" w:cs="Times New Roman"/>
          <w:color w:val="111111"/>
          <w:sz w:val="24"/>
          <w:szCs w:val="24"/>
          <w:shd w:val="clear" w:color="auto" w:fill="FFFFFF"/>
        </w:rPr>
        <w:t>)</w:t>
      </w:r>
      <w:r>
        <w:rPr>
          <w:rFonts w:hint="eastAsia" w:ascii="Times New Roman" w:hAnsi="Times New Roman" w:eastAsia="微软雅黑" w:cs="Times New Roman"/>
          <w:color w:val="111111"/>
          <w:sz w:val="24"/>
          <w:szCs w:val="24"/>
          <w:shd w:val="clear" w:color="auto" w:fill="FFFFFF"/>
          <w:lang w:val="en-US" w:eastAsia="zh-CN"/>
        </w:rPr>
        <w:t>.</w:t>
      </w:r>
    </w:p>
    <w:p w14:paraId="07B329A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s="Times New Roman"/>
          <w:b/>
          <w:bCs/>
          <w:i w:val="0"/>
          <w:iCs w:val="0"/>
          <w:color w:val="000000"/>
          <w:sz w:val="24"/>
          <w:szCs w:val="24"/>
          <w:lang w:val="en-US" w:eastAsia="zh-CN"/>
        </w:rPr>
      </w:pPr>
      <w:r>
        <w:rPr>
          <w:rFonts w:hint="default" w:ascii="Times New Roman" w:hAnsi="Times New Roman" w:cs="Times New Roman"/>
          <w:b/>
          <w:bCs/>
          <w:i w:val="0"/>
          <w:iCs w:val="0"/>
          <w:color w:val="000000"/>
          <w:sz w:val="24"/>
          <w:szCs w:val="24"/>
        </w:rPr>
        <w:t xml:space="preserve">Cell </w:t>
      </w:r>
      <w:r>
        <w:rPr>
          <w:rFonts w:hint="eastAsia" w:ascii="Times New Roman" w:hAnsi="Times New Roman" w:cs="Times New Roman"/>
          <w:b/>
          <w:bCs/>
          <w:i w:val="0"/>
          <w:iCs w:val="0"/>
          <w:color w:val="000000"/>
          <w:sz w:val="24"/>
          <w:szCs w:val="24"/>
          <w:lang w:val="en-US" w:eastAsia="zh-CN"/>
        </w:rPr>
        <w:t>c</w:t>
      </w:r>
      <w:r>
        <w:rPr>
          <w:rFonts w:hint="default" w:ascii="Times New Roman" w:hAnsi="Times New Roman" w:cs="Times New Roman"/>
          <w:b/>
          <w:bCs/>
          <w:i w:val="0"/>
          <w:iCs w:val="0"/>
          <w:color w:val="000000"/>
          <w:sz w:val="24"/>
          <w:szCs w:val="24"/>
        </w:rPr>
        <w:t xml:space="preserve">ycle </w:t>
      </w:r>
      <w:r>
        <w:rPr>
          <w:rFonts w:hint="eastAsia" w:ascii="Times New Roman" w:hAnsi="Times New Roman" w:cs="Times New Roman"/>
          <w:b/>
          <w:bCs/>
          <w:i w:val="0"/>
          <w:iCs w:val="0"/>
          <w:color w:val="000000"/>
          <w:sz w:val="24"/>
          <w:szCs w:val="24"/>
          <w:lang w:val="en-US" w:eastAsia="zh-CN"/>
        </w:rPr>
        <w:t>a</w:t>
      </w:r>
      <w:r>
        <w:rPr>
          <w:rFonts w:hint="default" w:ascii="Times New Roman" w:hAnsi="Times New Roman" w:cs="Times New Roman"/>
          <w:b/>
          <w:bCs/>
          <w:i w:val="0"/>
          <w:iCs w:val="0"/>
          <w:color w:val="000000"/>
          <w:sz w:val="24"/>
          <w:szCs w:val="24"/>
        </w:rPr>
        <w:t>nalysis</w:t>
      </w:r>
    </w:p>
    <w:p w14:paraId="2E8B07B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imes New Roman" w:hAnsi="Times New Roman" w:eastAsia="微软雅黑" w:cs="Times New Roman"/>
          <w:color w:val="111111"/>
          <w:sz w:val="24"/>
          <w:szCs w:val="24"/>
          <w:shd w:val="clear" w:color="auto" w:fill="FFFFFF"/>
          <w:lang w:val="en-US" w:eastAsia="zh-CN"/>
        </w:rPr>
      </w:pPr>
      <w:r>
        <w:rPr>
          <w:rFonts w:hint="default" w:ascii="Times New Roman" w:hAnsi="Times New Roman" w:eastAsia="宋体" w:cs="Times New Roman"/>
          <w:color w:val="000000"/>
          <w:kern w:val="0"/>
          <w:sz w:val="24"/>
          <w:szCs w:val="24"/>
          <w:lang w:val="en-US" w:eastAsia="zh-CN" w:bidi="ar"/>
          <w14:ligatures w14:val="none"/>
        </w:rPr>
        <w:t>Cell cycle distribution was detected using a cell cycle staining kit (Beyotime, Cat.#C1052). Cells were harvested and fixed with pre-cold 70% ethanol (Sinopharm, Cat.#80061718) at 4 °C overnight. Then cells were incubated in 500 µL staining buffer containing 25 µL Propidium Iodide (PI) and 10 µL RNase A at room temperature for 30 min</w:t>
      </w:r>
      <w:r>
        <w:rPr>
          <w:rFonts w:hint="eastAsia" w:ascii="Times New Roman" w:hAnsi="Times New Roman" w:eastAsia="宋体" w:cs="Times New Roman"/>
          <w:color w:val="000000"/>
          <w:kern w:val="0"/>
          <w:sz w:val="24"/>
          <w:szCs w:val="24"/>
          <w:lang w:val="en-US" w:eastAsia="zh-CN" w:bidi="ar"/>
          <w14:ligatures w14:val="none"/>
        </w:rPr>
        <w:t>utes</w:t>
      </w:r>
      <w:r>
        <w:rPr>
          <w:rFonts w:hint="default" w:ascii="Times New Roman" w:hAnsi="Times New Roman" w:eastAsia="宋体" w:cs="Times New Roman"/>
          <w:color w:val="000000"/>
          <w:kern w:val="0"/>
          <w:sz w:val="24"/>
          <w:szCs w:val="24"/>
          <w:lang w:val="en-US" w:eastAsia="zh-CN" w:bidi="ar"/>
          <w14:ligatures w14:val="none"/>
        </w:rPr>
        <w:t xml:space="preserve"> in the dark. Stained cells were immediately analyzed with a CytExpert flow cytometer (Beckman Coulter, USA). Flow cytometry data were analyzed with CytExpert software v2.4, each experiment repeated three independent biological times.</w:t>
      </w:r>
    </w:p>
    <w:p w14:paraId="2CB639AE">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黑体" w:cs="Times New Roman"/>
          <w:b/>
          <w:bCs/>
          <w:i w:val="0"/>
          <w:iCs w:val="0"/>
          <w:sz w:val="24"/>
          <w:lang w:val="en-US" w:eastAsia="zh-CN"/>
        </w:rPr>
      </w:pPr>
      <w:r>
        <w:rPr>
          <w:rFonts w:ascii="Times New Roman" w:hAnsi="Times New Roman" w:eastAsia="黑体" w:cs="Times New Roman"/>
          <w:b/>
          <w:bCs/>
          <w:i w:val="0"/>
          <w:iCs w:val="0"/>
          <w:sz w:val="24"/>
        </w:rPr>
        <w:t xml:space="preserve">Hematoxylin and </w:t>
      </w:r>
      <w:r>
        <w:rPr>
          <w:rFonts w:hint="eastAsia" w:ascii="Times New Roman" w:hAnsi="Times New Roman" w:eastAsia="黑体" w:cs="Times New Roman"/>
          <w:b/>
          <w:bCs/>
          <w:i w:val="0"/>
          <w:iCs w:val="0"/>
          <w:sz w:val="24"/>
          <w:lang w:val="en-US" w:eastAsia="zh-CN"/>
        </w:rPr>
        <w:t>e</w:t>
      </w:r>
      <w:r>
        <w:rPr>
          <w:rFonts w:ascii="Times New Roman" w:hAnsi="Times New Roman" w:eastAsia="黑体" w:cs="Times New Roman"/>
          <w:b/>
          <w:bCs/>
          <w:i w:val="0"/>
          <w:iCs w:val="0"/>
          <w:sz w:val="24"/>
        </w:rPr>
        <w:t xml:space="preserve">osin (H&amp;E) </w:t>
      </w:r>
      <w:r>
        <w:rPr>
          <w:rFonts w:hint="eastAsia" w:ascii="Times New Roman" w:hAnsi="Times New Roman" w:eastAsia="黑体" w:cs="Times New Roman"/>
          <w:b/>
          <w:bCs/>
          <w:i w:val="0"/>
          <w:iCs w:val="0"/>
          <w:sz w:val="24"/>
          <w:lang w:val="en-US" w:eastAsia="zh-CN"/>
        </w:rPr>
        <w:t>s</w:t>
      </w:r>
      <w:r>
        <w:rPr>
          <w:rFonts w:ascii="Times New Roman" w:hAnsi="Times New Roman" w:eastAsia="黑体" w:cs="Times New Roman"/>
          <w:b/>
          <w:bCs/>
          <w:i w:val="0"/>
          <w:iCs w:val="0"/>
          <w:sz w:val="24"/>
        </w:rPr>
        <w:t>taining</w:t>
      </w:r>
    </w:p>
    <w:p w14:paraId="2C5E75C6">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Cs/>
          <w:sz w:val="24"/>
        </w:rPr>
      </w:pPr>
      <w:r>
        <w:rPr>
          <w:rFonts w:ascii="Times New Roman" w:hAnsi="Times New Roman" w:eastAsia="黑体" w:cs="Times New Roman"/>
          <w:bCs/>
          <w:sz w:val="24"/>
        </w:rPr>
        <w:t>Five-micrometer sections containing the needle tract were baked at 60°C for 30</w:t>
      </w:r>
      <w:r>
        <w:rPr>
          <w:rFonts w:hint="eastAsia" w:ascii="Times New Roman" w:hAnsi="Times New Roman" w:eastAsia="黑体" w:cs="Times New Roman"/>
          <w:bCs/>
          <w:sz w:val="24"/>
          <w:lang w:val="en-US" w:eastAsia="zh-CN"/>
        </w:rPr>
        <w:t xml:space="preserve"> to </w:t>
      </w:r>
      <w:r>
        <w:rPr>
          <w:rFonts w:ascii="Times New Roman" w:hAnsi="Times New Roman" w:eastAsia="黑体" w:cs="Times New Roman"/>
          <w:bCs/>
          <w:sz w:val="24"/>
        </w:rPr>
        <w:t>45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deparaffinized in xylene</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(Sinopharm, Cat.#10023418)</w:t>
      </w:r>
      <w:r>
        <w:rPr>
          <w:rFonts w:ascii="Times New Roman" w:hAnsi="Times New Roman" w:eastAsia="黑体" w:cs="Times New Roman"/>
          <w:bCs/>
          <w:sz w:val="24"/>
        </w:rPr>
        <w:t>, and rehydrated through a graded ethanol series. The sections were stained with hematoxylin</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Cat.#C0107)</w:t>
      </w:r>
      <w:r>
        <w:rPr>
          <w:rFonts w:ascii="Times New Roman" w:hAnsi="Times New Roman" w:eastAsia="黑体" w:cs="Times New Roman"/>
          <w:bCs/>
          <w:sz w:val="24"/>
        </w:rPr>
        <w:t xml:space="preserve"> for 5</w:t>
      </w:r>
      <w:r>
        <w:rPr>
          <w:rFonts w:hint="eastAsia" w:ascii="Times New Roman" w:hAnsi="Times New Roman" w:eastAsia="黑体" w:cs="Times New Roman"/>
          <w:bCs/>
          <w:sz w:val="24"/>
          <w:lang w:val="en-US" w:eastAsia="zh-CN"/>
        </w:rPr>
        <w:t xml:space="preserve"> to </w:t>
      </w:r>
      <w:r>
        <w:rPr>
          <w:rFonts w:ascii="Times New Roman" w:hAnsi="Times New Roman" w:eastAsia="黑体" w:cs="Times New Roman"/>
          <w:bCs/>
          <w:sz w:val="24"/>
        </w:rPr>
        <w:t>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rinsed with distilled water, and differentiated in 1% acid-alcohol for 5</w:t>
      </w:r>
      <w:r>
        <w:rPr>
          <w:rFonts w:hint="eastAsia" w:ascii="Times New Roman" w:hAnsi="Times New Roman" w:eastAsia="黑体" w:cs="Times New Roman"/>
          <w:bCs/>
          <w:sz w:val="24"/>
          <w:lang w:val="en-US" w:eastAsia="zh-CN"/>
        </w:rPr>
        <w:t xml:space="preserve"> to </w:t>
      </w:r>
      <w:r>
        <w:rPr>
          <w:rFonts w:ascii="Times New Roman" w:hAnsi="Times New Roman" w:eastAsia="黑体" w:cs="Times New Roman"/>
          <w:bCs/>
          <w:sz w:val="24"/>
        </w:rPr>
        <w:t>20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xml:space="preserve">. After additional </w:t>
      </w:r>
      <w:r>
        <w:rPr>
          <w:rFonts w:hint="eastAsia" w:ascii="Times New Roman" w:hAnsi="Times New Roman" w:eastAsia="黑体" w:cs="Times New Roman"/>
          <w:bCs/>
          <w:sz w:val="24"/>
        </w:rPr>
        <w:t>rinses with distilled water</w:t>
      </w:r>
      <w:r>
        <w:rPr>
          <w:rFonts w:ascii="Times New Roman" w:hAnsi="Times New Roman" w:eastAsia="黑体" w:cs="Times New Roman"/>
          <w:bCs/>
          <w:sz w:val="24"/>
        </w:rPr>
        <w:t xml:space="preserve">, nuclear staining was verified microscopically to confirm </w:t>
      </w:r>
      <w:r>
        <w:rPr>
          <w:rFonts w:hint="eastAsia" w:ascii="Times New Roman" w:hAnsi="Times New Roman" w:eastAsia="黑体" w:cs="Times New Roman"/>
          <w:bCs/>
          <w:sz w:val="24"/>
          <w:lang w:val="en-US" w:eastAsia="zh-CN"/>
        </w:rPr>
        <w:t xml:space="preserve">the </w:t>
      </w:r>
      <w:r>
        <w:rPr>
          <w:rFonts w:ascii="Times New Roman" w:hAnsi="Times New Roman" w:eastAsia="黑体" w:cs="Times New Roman"/>
          <w:bCs/>
          <w:sz w:val="24"/>
        </w:rPr>
        <w:t xml:space="preserve">appropriate blue coloration </w:t>
      </w:r>
      <w:r>
        <w:rPr>
          <w:rFonts w:hint="eastAsia" w:ascii="Times New Roman" w:hAnsi="Times New Roman" w:eastAsia="黑体" w:cs="Times New Roman"/>
          <w:bCs/>
          <w:sz w:val="24"/>
          <w:lang w:val="en-US" w:eastAsia="zh-CN"/>
        </w:rPr>
        <w:t>against a</w:t>
      </w:r>
      <w:r>
        <w:rPr>
          <w:rFonts w:ascii="Times New Roman" w:hAnsi="Times New Roman" w:eastAsia="黑体" w:cs="Times New Roman"/>
          <w:bCs/>
          <w:sz w:val="24"/>
        </w:rPr>
        <w:t xml:space="preserve"> colorless cytoplasm. </w:t>
      </w:r>
      <w:r>
        <w:rPr>
          <w:rFonts w:hint="eastAsia" w:ascii="Times New Roman" w:hAnsi="Times New Roman" w:eastAsia="黑体" w:cs="Times New Roman"/>
          <w:bCs/>
          <w:sz w:val="24"/>
          <w:lang w:val="en-US" w:eastAsia="zh-CN"/>
        </w:rPr>
        <w:t>The s</w:t>
      </w:r>
      <w:r>
        <w:rPr>
          <w:rFonts w:ascii="Times New Roman" w:hAnsi="Times New Roman" w:eastAsia="黑体" w:cs="Times New Roman"/>
          <w:bCs/>
          <w:sz w:val="24"/>
        </w:rPr>
        <w:t>ections were then washed under running tap water for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w:t>
      </w:r>
      <w:r>
        <w:rPr>
          <w:rFonts w:hint="eastAsia" w:ascii="Times New Roman" w:hAnsi="Times New Roman" w:eastAsia="黑体" w:cs="Times New Roman"/>
          <w:bCs/>
          <w:sz w:val="24"/>
        </w:rPr>
        <w:t>until a blue hue was achieved</w:t>
      </w:r>
      <w:r>
        <w:rPr>
          <w:rFonts w:ascii="Times New Roman" w:hAnsi="Times New Roman" w:eastAsia="黑体" w:cs="Times New Roman"/>
          <w:bCs/>
          <w:sz w:val="24"/>
        </w:rPr>
        <w:t>, and counterstained with eosin</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Cat.#C0109)</w:t>
      </w:r>
      <w:r>
        <w:rPr>
          <w:rFonts w:ascii="Times New Roman" w:hAnsi="Times New Roman" w:eastAsia="黑体" w:cs="Times New Roman"/>
          <w:bCs/>
          <w:sz w:val="24"/>
        </w:rPr>
        <w:t xml:space="preserve"> for approximately 5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Excess eosin was removed by gentle rinsing, and cytoplasmic pinkish-red staining was confirmed under the microscope. Following dehydration through a reverse ethanol series and clearing in xylene, the sections were air-dried, mounted with 30 μL of neutral balsam under coverslips, and imaged using </w:t>
      </w:r>
      <w:r>
        <w:rPr>
          <w:rFonts w:hint="default" w:ascii="Times New Roman" w:hAnsi="Times New Roman" w:eastAsia="宋体" w:cs="Times New Roman"/>
          <w:color w:val="000000"/>
          <w:kern w:val="0"/>
          <w:sz w:val="24"/>
          <w:szCs w:val="24"/>
          <w:lang w:val="en-US" w:eastAsia="zh-CN" w:bidi="ar"/>
          <w14:ligatures w14:val="none"/>
        </w:rPr>
        <w:t>an Olympus light microscope</w:t>
      </w:r>
      <w:r>
        <w:rPr>
          <w:rFonts w:ascii="Times New Roman" w:hAnsi="Times New Roman" w:eastAsia="黑体" w:cs="Times New Roman"/>
          <w:bCs/>
          <w:sz w:val="24"/>
        </w:rPr>
        <w:t>.</w:t>
      </w:r>
    </w:p>
    <w:p w14:paraId="41745443">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bCs/>
          <w:i w:val="0"/>
          <w:iCs w:val="0"/>
          <w:sz w:val="24"/>
          <w:lang w:val="en-US" w:eastAsia="zh-CN"/>
        </w:rPr>
      </w:pPr>
      <w:r>
        <w:rPr>
          <w:rFonts w:ascii="Times New Roman" w:hAnsi="Times New Roman" w:cs="Times New Roman"/>
          <w:b/>
          <w:bCs/>
          <w:i w:val="0"/>
          <w:iCs w:val="0"/>
          <w:sz w:val="24"/>
        </w:rPr>
        <w:t>Immunohistochemistry (IHC)</w:t>
      </w:r>
    </w:p>
    <w:p w14:paraId="0A08F580">
      <w:pPr>
        <w:keepNext w:val="0"/>
        <w:keepLines w:val="0"/>
        <w:pageBreakBefore w:val="0"/>
        <w:kinsoku/>
        <w:wordWrap/>
        <w:overflowPunct/>
        <w:topLinePunct w:val="0"/>
        <w:autoSpaceDE/>
        <w:autoSpaceDN/>
        <w:bidi w:val="0"/>
        <w:adjustRightInd/>
        <w:snapToGrid/>
        <w:spacing w:line="360" w:lineRule="auto"/>
        <w:jc w:val="both"/>
        <w:textAlignment w:val="auto"/>
        <w:rPr>
          <w:rFonts w:ascii="Times New Roman" w:hAnsi="Times New Roman" w:cs="Times New Roman"/>
          <w:sz w:val="24"/>
        </w:rPr>
      </w:pPr>
      <w:r>
        <w:rPr>
          <w:rFonts w:hint="eastAsia" w:ascii="Times New Roman" w:hAnsi="Times New Roman" w:cs="Times New Roman"/>
          <w:sz w:val="24"/>
        </w:rPr>
        <w:t>Sections of human glioma or mouse brain tissues embedded in paraffin (5</w:t>
      </w:r>
      <w:r>
        <w:rPr>
          <w:rFonts w:hint="default" w:ascii="Times New Roman" w:hAnsi="Times New Roman" w:cs="Times New Roman"/>
          <w:sz w:val="24"/>
          <w:lang w:val="en-US" w:eastAsia="zh-CN"/>
        </w:rPr>
        <w:t>μm</w:t>
      </w:r>
      <w:r>
        <w:rPr>
          <w:rFonts w:hint="eastAsia" w:ascii="Times New Roman" w:hAnsi="Times New Roman" w:cs="Times New Roman"/>
          <w:sz w:val="24"/>
        </w:rPr>
        <w:t xml:space="preserve"> thick) were mounted on slides coated with poly-lysine</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(Solarbio, Cat.#P8990)</w:t>
      </w:r>
      <w:r>
        <w:rPr>
          <w:rFonts w:ascii="Times New Roman" w:hAnsi="Times New Roman" w:cs="Times New Roman"/>
          <w:sz w:val="24"/>
        </w:rPr>
        <w:t>. After baking at 60°C for 40 min</w:t>
      </w:r>
      <w:r>
        <w:rPr>
          <w:rFonts w:hint="eastAsia" w:ascii="Times New Roman" w:hAnsi="Times New Roman" w:cs="Times New Roman"/>
          <w:sz w:val="24"/>
          <w:lang w:val="en-US" w:eastAsia="zh-CN"/>
        </w:rPr>
        <w:t>utes</w:t>
      </w:r>
      <w:r>
        <w:rPr>
          <w:rFonts w:ascii="Times New Roman" w:hAnsi="Times New Roman" w:cs="Times New Roman"/>
          <w:sz w:val="24"/>
        </w:rPr>
        <w:t xml:space="preserve">, the sections were deparaffinized in xylene and rehydrated through a graded </w:t>
      </w:r>
      <w:r>
        <w:rPr>
          <w:rFonts w:hint="eastAsia" w:ascii="Times New Roman" w:hAnsi="Times New Roman" w:cs="Times New Roman"/>
          <w:sz w:val="24"/>
        </w:rPr>
        <w:t>series of</w:t>
      </w:r>
      <w:r>
        <w:rPr>
          <w:rFonts w:hint="eastAsia" w:ascii="Times New Roman" w:hAnsi="Times New Roman" w:cs="Times New Roman"/>
          <w:sz w:val="24"/>
          <w:lang w:val="en-US" w:eastAsia="zh-CN"/>
        </w:rPr>
        <w:t xml:space="preserve"> </w:t>
      </w:r>
      <w:r>
        <w:rPr>
          <w:rFonts w:ascii="Times New Roman" w:hAnsi="Times New Roman" w:cs="Times New Roman"/>
          <w:sz w:val="24"/>
        </w:rPr>
        <w:t>ethanol. Heat-induced antigen retrieval was performed by pressure cooking in citrate buffer</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(Solarbio, Cat.#C1032)</w:t>
      </w:r>
      <w:r>
        <w:rPr>
          <w:rFonts w:ascii="Times New Roman" w:hAnsi="Times New Roman" w:cs="Times New Roman"/>
          <w:sz w:val="24"/>
        </w:rPr>
        <w:t xml:space="preserve"> </w:t>
      </w:r>
      <w:r>
        <w:rPr>
          <w:rFonts w:hint="eastAsia" w:ascii="Times New Roman" w:hAnsi="Times New Roman" w:cs="Times New Roman"/>
          <w:sz w:val="24"/>
          <w:lang w:val="en-US" w:eastAsia="zh-CN"/>
        </w:rPr>
        <w:t>for</w:t>
      </w:r>
      <w:r>
        <w:rPr>
          <w:rFonts w:ascii="Times New Roman" w:hAnsi="Times New Roman" w:cs="Times New Roman"/>
          <w:sz w:val="24"/>
        </w:rPr>
        <w:t xml:space="preserve"> two cycles of 3</w:t>
      </w:r>
      <w:r>
        <w:rPr>
          <w:rFonts w:hint="eastAsia" w:ascii="Times New Roman" w:hAnsi="Times New Roman" w:cs="Times New Roman"/>
          <w:sz w:val="24"/>
          <w:lang w:val="en-US" w:eastAsia="zh-CN"/>
        </w:rPr>
        <w:t xml:space="preserve"> </w:t>
      </w:r>
      <w:r>
        <w:rPr>
          <w:rFonts w:ascii="Times New Roman" w:hAnsi="Times New Roman" w:cs="Times New Roman"/>
          <w:sz w:val="24"/>
        </w:rPr>
        <w:t>min</w:t>
      </w:r>
      <w:r>
        <w:rPr>
          <w:rFonts w:hint="eastAsia" w:ascii="Times New Roman" w:hAnsi="Times New Roman" w:cs="Times New Roman"/>
          <w:sz w:val="24"/>
          <w:lang w:val="en-US" w:eastAsia="zh-CN"/>
        </w:rPr>
        <w:t>utes</w:t>
      </w:r>
      <w:r>
        <w:rPr>
          <w:rFonts w:ascii="Times New Roman" w:hAnsi="Times New Roman" w:cs="Times New Roman"/>
          <w:sz w:val="24"/>
        </w:rPr>
        <w:t xml:space="preserve"> boiling, separated by a cooling interval. </w:t>
      </w:r>
      <w:r>
        <w:rPr>
          <w:rFonts w:hint="eastAsia" w:ascii="Times New Roman" w:hAnsi="Times New Roman" w:cs="Times New Roman"/>
          <w:sz w:val="24"/>
          <w:lang w:val="en-US" w:eastAsia="zh-CN"/>
        </w:rPr>
        <w:t>The s</w:t>
      </w:r>
      <w:r>
        <w:rPr>
          <w:rFonts w:ascii="Times New Roman" w:hAnsi="Times New Roman" w:cs="Times New Roman"/>
          <w:sz w:val="24"/>
        </w:rPr>
        <w:t xml:space="preserve">ections were </w:t>
      </w:r>
      <w:r>
        <w:rPr>
          <w:rFonts w:hint="eastAsia" w:ascii="Times New Roman" w:hAnsi="Times New Roman" w:cs="Times New Roman"/>
          <w:sz w:val="24"/>
          <w:lang w:val="en-US" w:eastAsia="zh-CN"/>
        </w:rPr>
        <w:t xml:space="preserve">then </w:t>
      </w:r>
      <w:r>
        <w:rPr>
          <w:rFonts w:ascii="Times New Roman" w:hAnsi="Times New Roman" w:cs="Times New Roman"/>
          <w:sz w:val="24"/>
        </w:rPr>
        <w:t>blocked with 10% normal goat serum</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(Solarbio, Cat.#SL038)</w:t>
      </w:r>
      <w:r>
        <w:rPr>
          <w:rFonts w:ascii="Times New Roman" w:hAnsi="Times New Roman" w:cs="Times New Roman"/>
          <w:sz w:val="24"/>
        </w:rPr>
        <w:t xml:space="preserve"> for 1 h at room temperature and </w:t>
      </w:r>
      <w:r>
        <w:rPr>
          <w:rFonts w:hint="eastAsia" w:ascii="Times New Roman" w:hAnsi="Times New Roman" w:cs="Times New Roman"/>
          <w:sz w:val="24"/>
        </w:rPr>
        <w:t>incubated overnight at 4</w:t>
      </w:r>
      <w:r>
        <w:rPr>
          <w:rFonts w:ascii="Times New Roman" w:hAnsi="Times New Roman" w:cs="Times New Roman"/>
          <w:sz w:val="24"/>
        </w:rPr>
        <w:t>°C</w:t>
      </w:r>
      <w:r>
        <w:rPr>
          <w:rFonts w:hint="eastAsia" w:ascii="Times New Roman" w:hAnsi="Times New Roman" w:cs="Times New Roman"/>
          <w:sz w:val="24"/>
        </w:rPr>
        <w:t xml:space="preserve"> in a humidified chamber with appropriately diluted primary antibodies. Following three washes with PBS for 5 minutes each</w:t>
      </w:r>
      <w:r>
        <w:rPr>
          <w:rFonts w:ascii="Times New Roman" w:hAnsi="Times New Roman" w:cs="Times New Roman"/>
          <w:sz w:val="24"/>
        </w:rPr>
        <w:t>, the sections were incubated with corresponding secondary antibodies for 30 min</w:t>
      </w:r>
      <w:r>
        <w:rPr>
          <w:rFonts w:hint="eastAsia" w:ascii="Times New Roman" w:hAnsi="Times New Roman" w:cs="Times New Roman"/>
          <w:sz w:val="24"/>
          <w:lang w:val="en-US" w:eastAsia="zh-CN"/>
        </w:rPr>
        <w:t>utes</w:t>
      </w:r>
      <w:r>
        <w:rPr>
          <w:rFonts w:ascii="Times New Roman" w:hAnsi="Times New Roman" w:cs="Times New Roman"/>
          <w:sz w:val="24"/>
        </w:rPr>
        <w:t xml:space="preserve"> at 37°C. After additional PBS washes, the sections were treated with Streptavidin</w:t>
      </w:r>
      <w:r>
        <w:rPr>
          <w:rFonts w:ascii="Times New Roman" w:hAnsi="Times New Roman" w:cs="Times New Roman"/>
          <w:sz w:val="24"/>
        </w:rPr>
        <w:noBreakHyphen/>
      </w:r>
      <w:r>
        <w:rPr>
          <w:rFonts w:ascii="Times New Roman" w:hAnsi="Times New Roman" w:cs="Times New Roman"/>
          <w:sz w:val="24"/>
        </w:rPr>
        <w:t>Biotin Complex (SABC</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Boster, Cat.#SA1022</w:t>
      </w:r>
      <w:r>
        <w:rPr>
          <w:rFonts w:ascii="Times New Roman" w:hAnsi="Times New Roman" w:cs="Times New Roman"/>
          <w:sz w:val="24"/>
        </w:rPr>
        <w:t>) for 30 min</w:t>
      </w:r>
      <w:r>
        <w:rPr>
          <w:rFonts w:hint="eastAsia" w:ascii="Times New Roman" w:hAnsi="Times New Roman" w:cs="Times New Roman"/>
          <w:sz w:val="24"/>
          <w:lang w:val="en-US" w:eastAsia="zh-CN"/>
        </w:rPr>
        <w:t>utes</w:t>
      </w:r>
      <w:r>
        <w:rPr>
          <w:rFonts w:ascii="Times New Roman" w:hAnsi="Times New Roman" w:cs="Times New Roman"/>
          <w:sz w:val="24"/>
        </w:rPr>
        <w:t xml:space="preserve"> at room temperature. Immunoreactivity was visualized using DAB</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(Boster, Cat.#AR1022)</w:t>
      </w:r>
      <w:r>
        <w:rPr>
          <w:rFonts w:ascii="Times New Roman" w:hAnsi="Times New Roman" w:cs="Times New Roman"/>
          <w:sz w:val="24"/>
        </w:rPr>
        <w:t xml:space="preserve"> substrate for 1</w:t>
      </w:r>
      <w:r>
        <w:rPr>
          <w:rFonts w:hint="eastAsia" w:ascii="Times New Roman" w:hAnsi="Times New Roman" w:cs="Times New Roman"/>
          <w:sz w:val="24"/>
          <w:lang w:val="en-US" w:eastAsia="zh-CN"/>
        </w:rPr>
        <w:t xml:space="preserve"> to </w:t>
      </w:r>
      <w:r>
        <w:rPr>
          <w:rFonts w:ascii="Times New Roman" w:hAnsi="Times New Roman" w:cs="Times New Roman"/>
          <w:sz w:val="24"/>
        </w:rPr>
        <w:t>3 min</w:t>
      </w:r>
      <w:r>
        <w:rPr>
          <w:rFonts w:hint="eastAsia" w:ascii="Times New Roman" w:hAnsi="Times New Roman" w:cs="Times New Roman"/>
          <w:sz w:val="24"/>
          <w:lang w:val="en-US" w:eastAsia="zh-CN"/>
        </w:rPr>
        <w:t>utes</w:t>
      </w:r>
      <w:r>
        <w:rPr>
          <w:rFonts w:ascii="Times New Roman" w:hAnsi="Times New Roman" w:cs="Times New Roman"/>
          <w:sz w:val="24"/>
        </w:rPr>
        <w:t xml:space="preserve"> under microscopic monitoring, </w:t>
      </w:r>
      <w:r>
        <w:rPr>
          <w:rFonts w:hint="eastAsia" w:ascii="Times New Roman" w:hAnsi="Times New Roman" w:cs="Times New Roman"/>
          <w:sz w:val="24"/>
          <w:lang w:val="en-US" w:eastAsia="zh-CN"/>
        </w:rPr>
        <w:t>with</w:t>
      </w:r>
      <w:r>
        <w:rPr>
          <w:rFonts w:ascii="Times New Roman" w:hAnsi="Times New Roman" w:cs="Times New Roman"/>
          <w:sz w:val="24"/>
        </w:rPr>
        <w:t xml:space="preserve"> the reaction terminated by rinsing with distilled water. Counterstaining was performed </w:t>
      </w:r>
      <w:r>
        <w:rPr>
          <w:rFonts w:hint="eastAsia" w:ascii="Times New Roman" w:hAnsi="Times New Roman" w:cs="Times New Roman"/>
          <w:sz w:val="24"/>
          <w:lang w:val="en-US" w:eastAsia="zh-CN"/>
        </w:rPr>
        <w:t>using</w:t>
      </w:r>
      <w:r>
        <w:rPr>
          <w:rFonts w:ascii="Times New Roman" w:hAnsi="Times New Roman" w:cs="Times New Roman"/>
          <w:sz w:val="24"/>
        </w:rPr>
        <w:t xml:space="preserve"> hematoxylin</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Cat.#C0107)</w:t>
      </w:r>
      <w:r>
        <w:rPr>
          <w:rFonts w:ascii="Times New Roman" w:hAnsi="Times New Roman" w:cs="Times New Roman"/>
          <w:sz w:val="24"/>
        </w:rPr>
        <w:t xml:space="preserve"> for 2 min</w:t>
      </w:r>
      <w:r>
        <w:rPr>
          <w:rFonts w:hint="eastAsia" w:ascii="Times New Roman" w:hAnsi="Times New Roman" w:cs="Times New Roman"/>
          <w:sz w:val="24"/>
          <w:lang w:val="en-US" w:eastAsia="zh-CN"/>
        </w:rPr>
        <w:t>utes</w:t>
      </w:r>
      <w:r>
        <w:rPr>
          <w:rFonts w:ascii="Times New Roman" w:hAnsi="Times New Roman" w:cs="Times New Roman"/>
          <w:sz w:val="24"/>
        </w:rPr>
        <w:t xml:space="preserve">, followed by differentiation in 1% acid alcohol and bluing under running tap water. Finally, the sections were dehydrated through a graded ethanol series, cleared in xylene, and mounted with neutral balsam. Images were captured using a microscope, and positive signals were quantified </w:t>
      </w:r>
      <w:r>
        <w:rPr>
          <w:rFonts w:hint="eastAsia" w:ascii="Times New Roman" w:hAnsi="Times New Roman" w:cs="Times New Roman"/>
          <w:sz w:val="24"/>
          <w:lang w:val="en-US" w:eastAsia="zh-CN"/>
        </w:rPr>
        <w:t>using</w:t>
      </w:r>
      <w:r>
        <w:rPr>
          <w:rFonts w:ascii="Times New Roman" w:hAnsi="Times New Roman" w:cs="Times New Roman"/>
          <w:sz w:val="24"/>
        </w:rPr>
        <w:t xml:space="preserve"> ImageJ software</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(NIH, Rockville, USA). All IHC quantification was performed in a single-blinded manner by two independent researchers.</w:t>
      </w:r>
    </w:p>
    <w:p w14:paraId="4914EEBA">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bCs/>
          <w:i w:val="0"/>
          <w:iCs w:val="0"/>
          <w:sz w:val="24"/>
          <w:lang w:val="en-US" w:eastAsia="zh-CN"/>
        </w:rPr>
      </w:pPr>
      <w:r>
        <w:rPr>
          <w:rFonts w:ascii="Times New Roman" w:hAnsi="Times New Roman" w:cs="Times New Roman"/>
          <w:b/>
          <w:bCs/>
          <w:i w:val="0"/>
          <w:iCs w:val="0"/>
          <w:sz w:val="24"/>
        </w:rPr>
        <w:t xml:space="preserve">EdU </w:t>
      </w:r>
      <w:r>
        <w:rPr>
          <w:rFonts w:hint="eastAsia" w:ascii="Times New Roman" w:hAnsi="Times New Roman" w:cs="Times New Roman"/>
          <w:b/>
          <w:bCs/>
          <w:i w:val="0"/>
          <w:iCs w:val="0"/>
          <w:sz w:val="24"/>
          <w:lang w:val="en-US" w:eastAsia="zh-CN"/>
        </w:rPr>
        <w:t>a</w:t>
      </w:r>
      <w:r>
        <w:rPr>
          <w:rFonts w:ascii="Times New Roman" w:hAnsi="Times New Roman" w:cs="Times New Roman"/>
          <w:b/>
          <w:bCs/>
          <w:i w:val="0"/>
          <w:iCs w:val="0"/>
          <w:sz w:val="24"/>
        </w:rPr>
        <w:t>ssay</w:t>
      </w:r>
    </w:p>
    <w:p w14:paraId="206E9D81">
      <w:pPr>
        <w:keepNext w:val="0"/>
        <w:keepLines w:val="0"/>
        <w:pageBreakBefore w:val="0"/>
        <w:widowControl/>
        <w:shd w:val="clear" w:color="auto" w:fill="FFFFFF"/>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eastAsiaTheme="minorEastAsia"/>
          <w:sz w:val="24"/>
          <w:lang w:val="en-US" w:eastAsia="zh-CN"/>
        </w:rPr>
      </w:pPr>
      <w:r>
        <w:rPr>
          <w:rFonts w:ascii="Times New Roman" w:hAnsi="Times New Roman" w:cs="Times New Roman"/>
          <w:sz w:val="24"/>
        </w:rPr>
        <w:t>Cell proliferation was assessed using an EdU incorporation kit (</w:t>
      </w:r>
      <w:r>
        <w:rPr>
          <w:rFonts w:hint="default" w:ascii="Times New Roman" w:hAnsi="Times New Roman" w:eastAsia="宋体" w:cs="Times New Roman"/>
          <w:color w:val="000000"/>
          <w:kern w:val="0"/>
          <w:sz w:val="24"/>
          <w:szCs w:val="24"/>
          <w:lang w:val="en-US" w:eastAsia="zh-CN" w:bidi="ar"/>
          <w14:ligatures w14:val="none"/>
        </w:rPr>
        <w:t>RiboBio, Cat.#C10310-1</w:t>
      </w:r>
      <w:r>
        <w:rPr>
          <w:rFonts w:ascii="Times New Roman" w:hAnsi="Times New Roman" w:cs="Times New Roman"/>
          <w:sz w:val="24"/>
        </w:rPr>
        <w:t xml:space="preserve">) </w:t>
      </w:r>
      <w:r>
        <w:rPr>
          <w:rFonts w:hint="eastAsia" w:ascii="Times New Roman" w:hAnsi="Times New Roman" w:cs="Times New Roman"/>
          <w:sz w:val="24"/>
        </w:rPr>
        <w:t>according to</w:t>
      </w:r>
      <w:r>
        <w:rPr>
          <w:rFonts w:ascii="Times New Roman" w:hAnsi="Times New Roman" w:cs="Times New Roman"/>
          <w:sz w:val="24"/>
        </w:rPr>
        <w:t xml:space="preserve"> the manufacturer’s instructions. </w:t>
      </w:r>
      <w:r>
        <w:rPr>
          <w:rFonts w:hint="eastAsia" w:ascii="Times New Roman" w:hAnsi="Times New Roman" w:cs="Times New Roman"/>
          <w:sz w:val="24"/>
          <w:lang w:val="en-US" w:eastAsia="zh-CN"/>
        </w:rPr>
        <w:t>In b</w:t>
      </w:r>
      <w:r>
        <w:rPr>
          <w:rFonts w:ascii="Times New Roman" w:hAnsi="Times New Roman" w:cs="Times New Roman"/>
          <w:sz w:val="24"/>
        </w:rPr>
        <w:t>rief, cells were seeded on</w:t>
      </w:r>
      <w:r>
        <w:rPr>
          <w:rFonts w:hint="eastAsia" w:ascii="Times New Roman" w:hAnsi="Times New Roman" w:cs="Times New Roman"/>
          <w:sz w:val="24"/>
          <w:lang w:val="en-US" w:eastAsia="zh-CN"/>
        </w:rPr>
        <w:t>to</w:t>
      </w:r>
      <w:r>
        <w:rPr>
          <w:rFonts w:ascii="Times New Roman" w:hAnsi="Times New Roman" w:cs="Times New Roman"/>
          <w:sz w:val="24"/>
        </w:rPr>
        <w:t xml:space="preserve"> 35 mm glass-bottom dishes (</w:t>
      </w:r>
      <w:r>
        <w:rPr>
          <w:rFonts w:hint="default" w:ascii="Times New Roman" w:hAnsi="Times New Roman" w:eastAsia="宋体" w:cs="Times New Roman"/>
          <w:color w:val="000000"/>
          <w:kern w:val="0"/>
          <w:sz w:val="24"/>
          <w:szCs w:val="24"/>
          <w:lang w:val="en-US" w:eastAsia="zh-CN" w:bidi="ar"/>
          <w14:ligatures w14:val="none"/>
        </w:rPr>
        <w:t>Cellvis, Cat.#D35-20-1-N</w:t>
      </w:r>
      <w:r>
        <w:rPr>
          <w:rFonts w:ascii="Times New Roman" w:hAnsi="Times New Roman" w:cs="Times New Roman"/>
          <w:sz w:val="24"/>
        </w:rPr>
        <w:t xml:space="preserve">) and incubated with EdU-containing medium (diluted at 1:1000) for 4 h at 37°C. </w:t>
      </w:r>
      <w:r>
        <w:rPr>
          <w:rFonts w:hint="eastAsia" w:ascii="Times New Roman" w:hAnsi="Times New Roman" w:cs="Times New Roman"/>
          <w:sz w:val="24"/>
          <w:lang w:val="en-US" w:eastAsia="zh-CN"/>
        </w:rPr>
        <w:t>Following</w:t>
      </w:r>
      <w:r>
        <w:rPr>
          <w:rFonts w:ascii="Times New Roman" w:hAnsi="Times New Roman" w:cs="Times New Roman"/>
          <w:sz w:val="24"/>
        </w:rPr>
        <w:t xml:space="preserve"> fixation with 4% paraformaldehyde</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(PFA, Solarbio, Cat.#P1110)</w:t>
      </w:r>
      <w:r>
        <w:rPr>
          <w:rFonts w:ascii="Times New Roman" w:hAnsi="Times New Roman" w:cs="Times New Roman"/>
          <w:sz w:val="24"/>
        </w:rPr>
        <w:t>, the cells were stained with Apollo Dye solution for 30 min</w:t>
      </w:r>
      <w:r>
        <w:rPr>
          <w:rFonts w:hint="eastAsia" w:ascii="Times New Roman" w:hAnsi="Times New Roman" w:cs="Times New Roman"/>
          <w:sz w:val="24"/>
          <w:lang w:val="en-US" w:eastAsia="zh-CN"/>
        </w:rPr>
        <w:t>utes</w:t>
      </w:r>
      <w:r>
        <w:rPr>
          <w:rFonts w:ascii="Times New Roman" w:hAnsi="Times New Roman" w:cs="Times New Roman"/>
          <w:sz w:val="24"/>
        </w:rPr>
        <w:t xml:space="preserve"> at room temperature in the dark. Nuclei were counterstained with DAPI</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Cat.#C1002)</w:t>
      </w:r>
      <w:r>
        <w:rPr>
          <w:rFonts w:ascii="Times New Roman" w:hAnsi="Times New Roman" w:cs="Times New Roman"/>
          <w:sz w:val="24"/>
        </w:rPr>
        <w:t xml:space="preserve">, and images were acquired </w:t>
      </w:r>
      <w:r>
        <w:rPr>
          <w:rFonts w:hint="eastAsia" w:ascii="Times New Roman" w:hAnsi="Times New Roman" w:cs="Times New Roman"/>
          <w:sz w:val="24"/>
          <w:lang w:val="en-US" w:eastAsia="zh-CN"/>
        </w:rPr>
        <w:t>using</w:t>
      </w:r>
      <w:r>
        <w:rPr>
          <w:rFonts w:ascii="Times New Roman" w:hAnsi="Times New Roman" w:cs="Times New Roman"/>
          <w:sz w:val="24"/>
        </w:rPr>
        <w:t xml:space="preserve"> </w:t>
      </w:r>
      <w:r>
        <w:rPr>
          <w:rFonts w:hint="default" w:ascii="Times New Roman" w:hAnsi="Times New Roman" w:eastAsia="宋体" w:cs="Times New Roman"/>
          <w:color w:val="000000"/>
          <w:kern w:val="0"/>
          <w:sz w:val="24"/>
          <w:szCs w:val="24"/>
          <w:lang w:val="en-US" w:eastAsia="zh-CN" w:bidi="ar"/>
          <w14:ligatures w14:val="none"/>
        </w:rPr>
        <w:t>a Zeiss LSM880 confocal microscope</w:t>
      </w:r>
      <w:r>
        <w:rPr>
          <w:rFonts w:hint="eastAsia" w:ascii="Times New Roman" w:hAnsi="Times New Roman" w:eastAsia="宋体" w:cs="Times New Roman"/>
          <w:color w:val="000000"/>
          <w:kern w:val="0"/>
          <w:sz w:val="24"/>
          <w:szCs w:val="24"/>
          <w:lang w:val="en-US" w:eastAsia="zh-CN" w:bidi="ar"/>
          <w14:ligatures w14:val="none"/>
        </w:rPr>
        <w:t xml:space="preserve"> </w:t>
      </w:r>
      <w:r>
        <w:rPr>
          <w:rFonts w:hint="default" w:ascii="Times New Roman" w:hAnsi="Times New Roman" w:eastAsia="宋体" w:cs="Times New Roman"/>
          <w:color w:val="000000"/>
          <w:kern w:val="0"/>
          <w:sz w:val="24"/>
          <w:szCs w:val="24"/>
          <w:lang w:val="en-US" w:eastAsia="zh-CN" w:bidi="ar"/>
          <w14:ligatures w14:val="none"/>
        </w:rPr>
        <w:t>(Zeiss, Germany)</w:t>
      </w:r>
      <w:r>
        <w:rPr>
          <w:rFonts w:ascii="Times New Roman" w:hAnsi="Times New Roman" w:cs="Times New Roman"/>
          <w:sz w:val="24"/>
        </w:rPr>
        <w:t>. The proportion of EdU</w:t>
      </w:r>
      <w:r>
        <w:rPr>
          <w:rFonts w:ascii="Times New Roman" w:hAnsi="Times New Roman" w:cs="Times New Roman"/>
          <w:sz w:val="24"/>
        </w:rPr>
        <w:noBreakHyphen/>
      </w:r>
      <w:r>
        <w:rPr>
          <w:rFonts w:ascii="Times New Roman" w:hAnsi="Times New Roman" w:cs="Times New Roman"/>
          <w:sz w:val="24"/>
        </w:rPr>
        <w:t xml:space="preserve">positive cells was quantified </w:t>
      </w:r>
      <w:r>
        <w:rPr>
          <w:rFonts w:hint="eastAsia" w:ascii="Times New Roman" w:hAnsi="Times New Roman" w:cs="Times New Roman"/>
          <w:sz w:val="24"/>
          <w:lang w:val="en-US" w:eastAsia="zh-CN"/>
        </w:rPr>
        <w:t>with</w:t>
      </w:r>
      <w:r>
        <w:rPr>
          <w:rFonts w:ascii="Times New Roman" w:hAnsi="Times New Roman" w:cs="Times New Roman"/>
          <w:sz w:val="24"/>
        </w:rPr>
        <w:t xml:space="preserve"> ImageJ software (NIH, Rockville, USA), and the proliferation rate was calculated as (EdU</w:t>
      </w:r>
      <w:r>
        <w:rPr>
          <w:rFonts w:ascii="Times New Roman" w:hAnsi="Times New Roman" w:cs="Times New Roman"/>
          <w:sz w:val="24"/>
        </w:rPr>
        <w:noBreakHyphen/>
      </w:r>
      <w:r>
        <w:rPr>
          <w:rFonts w:ascii="Times New Roman" w:hAnsi="Times New Roman" w:cs="Times New Roman"/>
          <w:sz w:val="24"/>
        </w:rPr>
        <w:t>positive cell count / total cell count) × 100%.</w:t>
      </w:r>
      <w:r>
        <w:rPr>
          <w:rFonts w:hint="eastAsia" w:ascii="Times New Roman" w:hAnsi="Times New Roman"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Three independent biological replicates were performed for each group.</w:t>
      </w:r>
    </w:p>
    <w:p w14:paraId="2C49A4E3">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宋体" w:cs="Times New Roman"/>
          <w:b/>
          <w:bCs/>
          <w:i w:val="0"/>
          <w:iCs w:val="0"/>
          <w:sz w:val="24"/>
        </w:rPr>
      </w:pPr>
      <w:r>
        <w:rPr>
          <w:rFonts w:ascii="Times New Roman" w:hAnsi="Times New Roman" w:eastAsia="宋体" w:cs="Times New Roman"/>
          <w:b/>
          <w:bCs/>
          <w:i w:val="0"/>
          <w:iCs w:val="0"/>
          <w:sz w:val="24"/>
        </w:rPr>
        <w:t>CCK</w:t>
      </w:r>
      <w:r>
        <w:rPr>
          <w:rFonts w:ascii="Times New Roman" w:hAnsi="Times New Roman" w:eastAsia="宋体" w:cs="Times New Roman"/>
          <w:b/>
          <w:bCs/>
          <w:i w:val="0"/>
          <w:iCs w:val="0"/>
          <w:sz w:val="24"/>
        </w:rPr>
        <w:noBreakHyphen/>
      </w:r>
      <w:r>
        <w:rPr>
          <w:rFonts w:ascii="Times New Roman" w:hAnsi="Times New Roman" w:eastAsia="宋体" w:cs="Times New Roman"/>
          <w:b/>
          <w:bCs/>
          <w:i w:val="0"/>
          <w:iCs w:val="0"/>
          <w:sz w:val="24"/>
        </w:rPr>
        <w:t xml:space="preserve">8 </w:t>
      </w:r>
      <w:r>
        <w:rPr>
          <w:rFonts w:hint="eastAsia" w:ascii="Times New Roman" w:hAnsi="Times New Roman" w:eastAsia="宋体" w:cs="Times New Roman"/>
          <w:b/>
          <w:bCs/>
          <w:i w:val="0"/>
          <w:iCs w:val="0"/>
          <w:sz w:val="24"/>
          <w:lang w:val="en-US" w:eastAsia="zh-CN"/>
        </w:rPr>
        <w:t>a</w:t>
      </w:r>
      <w:r>
        <w:rPr>
          <w:rFonts w:ascii="Times New Roman" w:hAnsi="Times New Roman" w:eastAsia="宋体" w:cs="Times New Roman"/>
          <w:b/>
          <w:bCs/>
          <w:i w:val="0"/>
          <w:iCs w:val="0"/>
          <w:sz w:val="24"/>
        </w:rPr>
        <w:t>ssay</w:t>
      </w:r>
    </w:p>
    <w:p w14:paraId="62D172D0">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To assess the</w:t>
      </w:r>
      <w:r>
        <w:rPr>
          <w:rFonts w:hint="eastAsia" w:ascii="Times New Roman" w:hAnsi="Times New Roman" w:eastAsia="宋体" w:cs="Times New Roman"/>
          <w:sz w:val="24"/>
        </w:rPr>
        <w:t xml:space="preserve"> </w:t>
      </w:r>
      <w:r>
        <w:rPr>
          <w:rFonts w:ascii="Times New Roman" w:hAnsi="Times New Roman" w:eastAsia="宋体" w:cs="Times New Roman"/>
          <w:sz w:val="24"/>
        </w:rPr>
        <w:t xml:space="preserve">proliferation </w:t>
      </w:r>
      <w:r>
        <w:rPr>
          <w:rFonts w:hint="eastAsia" w:ascii="Times New Roman" w:hAnsi="Times New Roman" w:eastAsia="宋体" w:cs="Times New Roman"/>
          <w:sz w:val="24"/>
          <w:lang w:val="en-US" w:eastAsia="zh-CN"/>
        </w:rPr>
        <w:t xml:space="preserve">of </w:t>
      </w:r>
      <w:r>
        <w:rPr>
          <w:rFonts w:ascii="Times New Roman" w:hAnsi="Times New Roman" w:eastAsia="宋体" w:cs="Times New Roman"/>
          <w:sz w:val="24"/>
        </w:rPr>
        <w:t xml:space="preserve">engineered </w:t>
      </w:r>
      <w:r>
        <w:rPr>
          <w:rFonts w:hint="eastAsia" w:ascii="Times New Roman" w:hAnsi="Times New Roman" w:eastAsia="宋体" w:cs="Times New Roman"/>
          <w:sz w:val="24"/>
          <w:lang w:val="en-US" w:eastAsia="zh-CN"/>
        </w:rPr>
        <w:t xml:space="preserve">GSCs, specifically </w:t>
      </w:r>
      <w:r>
        <w:rPr>
          <w:rFonts w:ascii="Times New Roman" w:hAnsi="Times New Roman" w:eastAsia="宋体" w:cs="Times New Roman"/>
          <w:sz w:val="24"/>
        </w:rPr>
        <w:t>GSC23</w:t>
      </w:r>
      <w:r>
        <w:rPr>
          <w:rFonts w:hint="eastAsia" w:ascii="Times New Roman" w:hAnsi="Times New Roman" w:eastAsia="宋体" w:cs="Times New Roman"/>
          <w:sz w:val="24"/>
        </w:rPr>
        <w:t>,</w:t>
      </w:r>
      <w:r>
        <w:rPr>
          <w:rFonts w:ascii="Times New Roman" w:hAnsi="Times New Roman" w:eastAsia="宋体" w:cs="Times New Roman"/>
          <w:sz w:val="24"/>
        </w:rPr>
        <w:t xml:space="preserve"> GSC11, and GSC464 cells were seeded into 96-well plates </w:t>
      </w:r>
      <w:r>
        <w:rPr>
          <w:rFonts w:hint="eastAsia" w:ascii="Times New Roman" w:hAnsi="Times New Roman" w:eastAsia="宋体" w:cs="Times New Roman"/>
          <w:sz w:val="24"/>
        </w:rPr>
        <w:t>pre-coated with Matrigel</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(Corning, Cat.#356234</w:t>
      </w:r>
      <w:r>
        <w:rPr>
          <w:rFonts w:hint="eastAsia" w:ascii="Times New Roman" w:hAnsi="Times New Roman" w:eastAsia="宋体" w:cs="Times New Roman"/>
          <w:color w:val="000000"/>
          <w:kern w:val="0"/>
          <w:sz w:val="24"/>
          <w:szCs w:val="24"/>
          <w:lang w:val="en-US" w:eastAsia="zh-CN" w:bidi="ar"/>
          <w14:ligatures w14:val="none"/>
        </w:rPr>
        <w:t>)</w:t>
      </w:r>
      <w:r>
        <w:rPr>
          <w:rFonts w:hint="eastAsia" w:ascii="Times New Roman" w:hAnsi="Times New Roman" w:eastAsia="宋体" w:cs="Times New Roman"/>
          <w:sz w:val="24"/>
        </w:rPr>
        <w:t xml:space="preserve"> at a density of 2</w:t>
      </w:r>
      <w:r>
        <w:rPr>
          <w:rFonts w:ascii="Times New Roman" w:hAnsi="Times New Roman" w:eastAsia="黑体" w:cs="Times New Roman"/>
          <w:bCs/>
          <w:sz w:val="24"/>
        </w:rPr>
        <w:t>×</w:t>
      </w:r>
      <w:r>
        <w:rPr>
          <w:rFonts w:hint="eastAsia" w:ascii="Times New Roman" w:hAnsi="Times New Roman" w:eastAsia="宋体" w:cs="Times New Roman"/>
          <w:sz w:val="24"/>
        </w:rPr>
        <w:t>10³cells per well</w:t>
      </w:r>
      <w:r>
        <w:rPr>
          <w:rFonts w:ascii="Times New Roman" w:hAnsi="Times New Roman" w:eastAsia="宋体" w:cs="Times New Roman"/>
          <w:sz w:val="24"/>
        </w:rPr>
        <w:t xml:space="preserve">. At each </w:t>
      </w:r>
      <w:r>
        <w:rPr>
          <w:rFonts w:hint="eastAsia" w:ascii="Times New Roman" w:hAnsi="Times New Roman" w:eastAsia="宋体" w:cs="Times New Roman"/>
          <w:sz w:val="24"/>
        </w:rPr>
        <w:t>specified</w:t>
      </w:r>
      <w:r>
        <w:rPr>
          <w:rFonts w:ascii="Times New Roman" w:hAnsi="Times New Roman" w:eastAsia="宋体" w:cs="Times New Roman"/>
          <w:sz w:val="24"/>
        </w:rPr>
        <w:t xml:space="preserve"> time point over a </w:t>
      </w:r>
      <w:r>
        <w:rPr>
          <w:rFonts w:hint="eastAsia" w:ascii="Times New Roman" w:hAnsi="Times New Roman" w:eastAsia="宋体" w:cs="Times New Roman"/>
          <w:sz w:val="24"/>
        </w:rPr>
        <w:t>5</w:t>
      </w:r>
      <w:r>
        <w:rPr>
          <w:rFonts w:ascii="Times New Roman" w:hAnsi="Times New Roman" w:eastAsia="宋体" w:cs="Times New Roman"/>
          <w:sz w:val="24"/>
        </w:rPr>
        <w:noBreakHyphen/>
      </w:r>
      <w:r>
        <w:rPr>
          <w:rFonts w:ascii="Times New Roman" w:hAnsi="Times New Roman" w:eastAsia="宋体" w:cs="Times New Roman"/>
          <w:sz w:val="24"/>
        </w:rPr>
        <w:t>day period, CCK</w:t>
      </w:r>
      <w:r>
        <w:rPr>
          <w:rFonts w:ascii="Times New Roman" w:hAnsi="Times New Roman" w:eastAsia="宋体" w:cs="Times New Roman"/>
          <w:sz w:val="24"/>
        </w:rPr>
        <w:noBreakHyphen/>
      </w:r>
      <w:r>
        <w:rPr>
          <w:rFonts w:ascii="Times New Roman" w:hAnsi="Times New Roman" w:eastAsia="宋体" w:cs="Times New Roman"/>
          <w:sz w:val="24"/>
        </w:rPr>
        <w:t>8 reagent</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(Dojindo, Cat.#CK04-05)</w:t>
      </w:r>
      <w:r>
        <w:rPr>
          <w:rFonts w:ascii="Times New Roman" w:hAnsi="Times New Roman" w:eastAsia="宋体" w:cs="Times New Roman"/>
          <w:sz w:val="24"/>
        </w:rPr>
        <w:t xml:space="preserve"> was added to </w:t>
      </w:r>
      <w:r>
        <w:rPr>
          <w:rFonts w:hint="eastAsia" w:ascii="Times New Roman" w:hAnsi="Times New Roman" w:eastAsia="宋体" w:cs="Times New Roman"/>
          <w:sz w:val="24"/>
          <w:lang w:val="en-US" w:eastAsia="zh-CN"/>
        </w:rPr>
        <w:t xml:space="preserve">achieve </w:t>
      </w:r>
      <w:r>
        <w:rPr>
          <w:rFonts w:ascii="Times New Roman" w:hAnsi="Times New Roman" w:eastAsia="宋体" w:cs="Times New Roman"/>
          <w:sz w:val="24"/>
        </w:rPr>
        <w:t>a final concentration of 10%</w:t>
      </w:r>
      <w:r>
        <w:rPr>
          <w:rFonts w:hint="eastAsia" w:ascii="Times New Roman" w:hAnsi="Times New Roman" w:eastAsia="宋体" w:cs="Times New Roman"/>
          <w:sz w:val="24"/>
          <w:lang w:val="en-US" w:eastAsia="zh-CN"/>
        </w:rPr>
        <w:t>.T</w:t>
      </w:r>
      <w:r>
        <w:rPr>
          <w:rFonts w:ascii="Times New Roman" w:hAnsi="Times New Roman" w:eastAsia="宋体" w:cs="Times New Roman"/>
          <w:sz w:val="24"/>
        </w:rPr>
        <w:t xml:space="preserve">he plates were </w:t>
      </w:r>
      <w:r>
        <w:rPr>
          <w:rFonts w:hint="eastAsia" w:ascii="Times New Roman" w:hAnsi="Times New Roman" w:eastAsia="宋体" w:cs="Times New Roman"/>
          <w:sz w:val="24"/>
          <w:lang w:val="en-US" w:eastAsia="zh-CN"/>
        </w:rPr>
        <w:t xml:space="preserve">then </w:t>
      </w:r>
      <w:r>
        <w:rPr>
          <w:rFonts w:ascii="Times New Roman" w:hAnsi="Times New Roman" w:eastAsia="宋体" w:cs="Times New Roman"/>
          <w:sz w:val="24"/>
        </w:rPr>
        <w:t xml:space="preserve">incubated for 1 h at 37°C in the dark. </w:t>
      </w:r>
      <w:r>
        <w:rPr>
          <w:rFonts w:hint="eastAsia" w:ascii="Times New Roman" w:hAnsi="Times New Roman" w:eastAsia="宋体" w:cs="Times New Roman"/>
          <w:sz w:val="24"/>
        </w:rPr>
        <w:t>Subsequently,</w:t>
      </w:r>
      <w:r>
        <w:rPr>
          <w:rFonts w:hint="eastAsia" w:ascii="Times New Roman" w:hAnsi="Times New Roman" w:eastAsia="宋体" w:cs="Times New Roman"/>
          <w:sz w:val="24"/>
          <w:lang w:val="en-US" w:eastAsia="zh-CN"/>
        </w:rPr>
        <w:t xml:space="preserve"> t</w:t>
      </w:r>
      <w:r>
        <w:rPr>
          <w:rFonts w:ascii="Times New Roman" w:hAnsi="Times New Roman" w:eastAsia="宋体" w:cs="Times New Roman"/>
          <w:sz w:val="24"/>
        </w:rPr>
        <w:t>he absorbance was measured at 450 nm using a multifunctional microplate reader (Berthold Technology, USA).</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 xml:space="preserve">Each time point included </w:t>
      </w:r>
      <w:r>
        <w:rPr>
          <w:rFonts w:hint="eastAsia" w:ascii="Times New Roman" w:hAnsi="Times New Roman" w:eastAsia="宋体" w:cs="Times New Roman"/>
          <w:color w:val="000000"/>
          <w:kern w:val="0"/>
          <w:sz w:val="24"/>
          <w:szCs w:val="24"/>
          <w:lang w:val="en-US" w:eastAsia="zh-CN" w:bidi="ar"/>
          <w14:ligatures w14:val="none"/>
        </w:rPr>
        <w:t>five</w:t>
      </w:r>
      <w:r>
        <w:rPr>
          <w:rFonts w:hint="default" w:ascii="Times New Roman" w:hAnsi="Times New Roman" w:eastAsia="宋体" w:cs="Times New Roman"/>
          <w:color w:val="000000"/>
          <w:kern w:val="0"/>
          <w:sz w:val="24"/>
          <w:szCs w:val="24"/>
          <w:lang w:val="en-US" w:eastAsia="zh-CN" w:bidi="ar"/>
          <w14:ligatures w14:val="none"/>
        </w:rPr>
        <w:t xml:space="preserve"> technical replicates, and the full experiment was repeated three times independently.</w:t>
      </w:r>
    </w:p>
    <w:p w14:paraId="1EBC50A1">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
          <w:bCs/>
          <w:i w:val="0"/>
          <w:iCs w:val="0"/>
          <w:sz w:val="24"/>
        </w:rPr>
      </w:pPr>
      <w:r>
        <w:rPr>
          <w:rFonts w:ascii="Times New Roman" w:hAnsi="Times New Roman" w:eastAsia="黑体" w:cs="Times New Roman"/>
          <w:b/>
          <w:bCs/>
          <w:i w:val="0"/>
          <w:iCs w:val="0"/>
          <w:sz w:val="24"/>
        </w:rPr>
        <w:t xml:space="preserve">Immunofluorescence </w:t>
      </w:r>
      <w:r>
        <w:rPr>
          <w:rFonts w:hint="eastAsia" w:ascii="Times New Roman" w:hAnsi="Times New Roman" w:eastAsia="黑体" w:cs="Times New Roman"/>
          <w:b/>
          <w:bCs/>
          <w:i w:val="0"/>
          <w:iCs w:val="0"/>
          <w:sz w:val="24"/>
          <w:lang w:val="en-US" w:eastAsia="zh-CN"/>
        </w:rPr>
        <w:t>s</w:t>
      </w:r>
      <w:r>
        <w:rPr>
          <w:rFonts w:ascii="Times New Roman" w:hAnsi="Times New Roman" w:eastAsia="黑体" w:cs="Times New Roman"/>
          <w:b/>
          <w:bCs/>
          <w:i w:val="0"/>
          <w:iCs w:val="0"/>
          <w:sz w:val="24"/>
        </w:rPr>
        <w:t>taining</w:t>
      </w:r>
    </w:p>
    <w:p w14:paraId="15B3233D">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宋体" w:cs="Times New Roman"/>
          <w:sz w:val="24"/>
        </w:rPr>
      </w:pPr>
      <w:r>
        <w:rPr>
          <w:rFonts w:ascii="Times New Roman" w:hAnsi="Times New Roman" w:eastAsia="宋体" w:cs="Times New Roman"/>
          <w:sz w:val="24"/>
        </w:rPr>
        <w:t>GSC23</w:t>
      </w:r>
      <w:r>
        <w:rPr>
          <w:rFonts w:hint="eastAsia" w:ascii="Times New Roman" w:hAnsi="Times New Roman" w:eastAsia="宋体" w:cs="Times New Roman"/>
          <w:sz w:val="24"/>
        </w:rPr>
        <w:t xml:space="preserve"> </w:t>
      </w:r>
      <w:r>
        <w:rPr>
          <w:rFonts w:ascii="Times New Roman" w:hAnsi="Times New Roman" w:eastAsia="宋体" w:cs="Times New Roman"/>
          <w:sz w:val="24"/>
        </w:rPr>
        <w:t>and GSC</w:t>
      </w:r>
      <w:r>
        <w:rPr>
          <w:rFonts w:hint="eastAsia" w:ascii="Times New Roman" w:hAnsi="Times New Roman" w:eastAsia="宋体" w:cs="Times New Roman"/>
          <w:sz w:val="24"/>
        </w:rPr>
        <w:t>11</w:t>
      </w:r>
      <w:r>
        <w:rPr>
          <w:rFonts w:ascii="Times New Roman" w:hAnsi="Times New Roman" w:eastAsia="宋体" w:cs="Times New Roman"/>
          <w:sz w:val="24"/>
        </w:rPr>
        <w:t xml:space="preserve"> cells </w:t>
      </w:r>
      <w:r>
        <w:rPr>
          <w:rFonts w:hint="eastAsia" w:ascii="Times New Roman" w:hAnsi="Times New Roman" w:eastAsia="宋体" w:cs="Times New Roman"/>
          <w:sz w:val="24"/>
          <w:lang w:val="en-US" w:eastAsia="zh-CN"/>
        </w:rPr>
        <w:t>cultured</w:t>
      </w:r>
      <w:r>
        <w:rPr>
          <w:rFonts w:ascii="Times New Roman" w:hAnsi="Times New Roman" w:eastAsia="宋体" w:cs="Times New Roman"/>
          <w:sz w:val="24"/>
        </w:rPr>
        <w:t xml:space="preserve"> on 35 mm glass coverslips were fixed with 4% paraformaldehyde at room temperature and </w:t>
      </w:r>
      <w:r>
        <w:rPr>
          <w:rFonts w:hint="eastAsia" w:ascii="Times New Roman" w:hAnsi="Times New Roman" w:eastAsia="宋体" w:cs="Times New Roman"/>
          <w:sz w:val="24"/>
        </w:rPr>
        <w:t>subsequently</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permeabilized with 0.5% Triton X-100 for 10 min</w:t>
      </w:r>
      <w:r>
        <w:rPr>
          <w:rFonts w:hint="eastAsia" w:ascii="Times New Roman" w:hAnsi="Times New Roman" w:eastAsia="宋体" w:cs="Times New Roman"/>
          <w:sz w:val="24"/>
          <w:lang w:val="en-US" w:eastAsia="zh-CN"/>
        </w:rPr>
        <w:t>utes</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To block n</w:t>
      </w:r>
      <w:r>
        <w:rPr>
          <w:rFonts w:ascii="Times New Roman" w:hAnsi="Times New Roman" w:eastAsia="宋体" w:cs="Times New Roman"/>
          <w:sz w:val="24"/>
        </w:rPr>
        <w:t>on-specific binding</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 xml:space="preserve"> </w:t>
      </w:r>
      <w:r>
        <w:rPr>
          <w:rFonts w:hint="eastAsia" w:ascii="Times New Roman" w:hAnsi="Times New Roman" w:eastAsia="宋体" w:cs="Times New Roman"/>
          <w:sz w:val="24"/>
        </w:rPr>
        <w:t>the cells were treated</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with 10% bovine serum albumin (</w:t>
      </w:r>
      <w:r>
        <w:rPr>
          <w:rFonts w:hint="default" w:ascii="Times New Roman" w:hAnsi="Times New Roman" w:eastAsia="宋体" w:cs="Times New Roman"/>
          <w:color w:val="000000"/>
          <w:kern w:val="0"/>
          <w:sz w:val="24"/>
          <w:szCs w:val="24"/>
          <w:lang w:val="en-US" w:eastAsia="zh-CN" w:bidi="ar"/>
          <w14:ligatures w14:val="none"/>
        </w:rPr>
        <w:t>BSA, Solarbio, Cat.#A8020</w:t>
      </w:r>
      <w:r>
        <w:rPr>
          <w:rFonts w:ascii="Times New Roman" w:hAnsi="Times New Roman" w:eastAsia="宋体" w:cs="Times New Roman"/>
          <w:sz w:val="24"/>
        </w:rPr>
        <w:t>) for 1 h at room temperature. The cells were then incubated overnight at 4°C in a humidified chamber with primary antibodies against PRMT1 (</w:t>
      </w:r>
      <w:r>
        <w:rPr>
          <w:rFonts w:hint="default" w:ascii="Times New Roman" w:hAnsi="Times New Roman" w:eastAsia="宋体" w:cs="Times New Roman"/>
          <w:color w:val="000000"/>
          <w:kern w:val="0"/>
          <w:sz w:val="24"/>
          <w:szCs w:val="24"/>
          <w:lang w:val="en-US" w:eastAsia="zh-CN" w:bidi="ar"/>
          <w14:ligatures w14:val="none"/>
        </w:rPr>
        <w:t>Abcam, Cat.#ab73246, 1:1000</w:t>
      </w:r>
      <w:r>
        <w:rPr>
          <w:rFonts w:ascii="Times New Roman" w:hAnsi="Times New Roman" w:eastAsia="宋体" w:cs="Times New Roman"/>
          <w:sz w:val="24"/>
        </w:rPr>
        <w:t>) and YBX1 (</w:t>
      </w:r>
      <w:r>
        <w:rPr>
          <w:rFonts w:hint="default" w:ascii="Times New Roman" w:hAnsi="Times New Roman" w:eastAsia="宋体" w:cs="Times New Roman"/>
          <w:color w:val="000000"/>
          <w:kern w:val="0"/>
          <w:sz w:val="24"/>
          <w:szCs w:val="24"/>
          <w:lang w:val="en-US" w:eastAsia="zh-CN" w:bidi="ar"/>
          <w14:ligatures w14:val="none"/>
        </w:rPr>
        <w:t>Santa Cruz, Cat.#sc-101198, 1:100</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After</w:t>
      </w:r>
      <w:r>
        <w:rPr>
          <w:rFonts w:ascii="Times New Roman" w:hAnsi="Times New Roman" w:eastAsia="宋体" w:cs="Times New Roman"/>
          <w:sz w:val="24"/>
        </w:rPr>
        <w:t xml:space="preserve"> three washes with PBS containing 0.1% Tween-20 (PBST), the cells were incubated with fluorochrome-conjugated secondary antibodies</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(Invitrogen, Cat.#A11008/A11001)</w:t>
      </w:r>
      <w:r>
        <w:rPr>
          <w:rFonts w:ascii="Times New Roman" w:hAnsi="Times New Roman" w:eastAsia="宋体" w:cs="Times New Roman"/>
          <w:sz w:val="24"/>
        </w:rPr>
        <w:t xml:space="preserve"> for 1 h at room temperature, </w:t>
      </w:r>
      <w:r>
        <w:rPr>
          <w:rFonts w:hint="eastAsia" w:ascii="Times New Roman" w:hAnsi="Times New Roman" w:eastAsia="宋体" w:cs="Times New Roman"/>
          <w:sz w:val="24"/>
          <w:lang w:val="en-US" w:eastAsia="zh-CN"/>
        </w:rPr>
        <w:t xml:space="preserve">while being </w:t>
      </w:r>
      <w:r>
        <w:rPr>
          <w:rFonts w:ascii="Times New Roman" w:hAnsi="Times New Roman" w:eastAsia="宋体" w:cs="Times New Roman"/>
          <w:sz w:val="24"/>
        </w:rPr>
        <w:t xml:space="preserve">protected from light. </w:t>
      </w:r>
      <w:r>
        <w:rPr>
          <w:rFonts w:hint="eastAsia" w:ascii="Times New Roman" w:hAnsi="Times New Roman" w:eastAsia="宋体" w:cs="Times New Roman"/>
          <w:sz w:val="24"/>
          <w:lang w:val="en-US" w:eastAsia="zh-CN"/>
        </w:rPr>
        <w:t>Following</w:t>
      </w:r>
      <w:r>
        <w:rPr>
          <w:rFonts w:ascii="Times New Roman" w:hAnsi="Times New Roman" w:eastAsia="宋体" w:cs="Times New Roman"/>
          <w:sz w:val="24"/>
        </w:rPr>
        <w:t xml:space="preserve"> three additional </w:t>
      </w:r>
      <w:r>
        <w:rPr>
          <w:rFonts w:hint="eastAsia" w:ascii="Times New Roman" w:hAnsi="Times New Roman" w:eastAsia="宋体" w:cs="Times New Roman"/>
          <w:sz w:val="24"/>
        </w:rPr>
        <w:t>washes with PBST, the</w:t>
      </w:r>
      <w:r>
        <w:rPr>
          <w:rFonts w:ascii="Times New Roman" w:hAnsi="Times New Roman" w:eastAsia="宋体" w:cs="Times New Roman"/>
          <w:sz w:val="24"/>
        </w:rPr>
        <w:t xml:space="preserve"> nuclei were counterstained with DAPI</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Cat.#C1002)</w:t>
      </w:r>
      <w:r>
        <w:rPr>
          <w:rFonts w:ascii="Times New Roman" w:hAnsi="Times New Roman" w:eastAsia="宋体" w:cs="Times New Roman"/>
          <w:sz w:val="24"/>
        </w:rPr>
        <w:t xml:space="preserve">, and fluorescence images were acquired using </w:t>
      </w:r>
      <w:r>
        <w:rPr>
          <w:rFonts w:hint="default" w:ascii="Times New Roman" w:hAnsi="Times New Roman" w:eastAsia="宋体" w:cs="Times New Roman"/>
          <w:color w:val="000000"/>
          <w:kern w:val="0"/>
          <w:sz w:val="24"/>
          <w:szCs w:val="24"/>
          <w:lang w:val="en-US" w:eastAsia="zh-CN" w:bidi="ar"/>
          <w14:ligatures w14:val="none"/>
        </w:rPr>
        <w:t>a Zeiss LSM880 confocal microscope (Zeiss, Germany)</w:t>
      </w:r>
      <w:r>
        <w:rPr>
          <w:rFonts w:ascii="Times New Roman" w:hAnsi="Times New Roman" w:eastAsia="宋体" w:cs="Times New Roman"/>
          <w:sz w:val="24"/>
        </w:rPr>
        <w:t>.</w:t>
      </w:r>
    </w:p>
    <w:p w14:paraId="335D0D76">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hint="eastAsia" w:ascii="Times New Roman" w:hAnsi="Times New Roman" w:eastAsia="黑体" w:cs="Times New Roman"/>
          <w:b w:val="0"/>
          <w:bCs/>
          <w:i/>
          <w:iCs/>
          <w:sz w:val="24"/>
        </w:rPr>
      </w:pPr>
      <w:r>
        <w:rPr>
          <w:rFonts w:hint="eastAsia" w:ascii="Times New Roman" w:hAnsi="Times New Roman" w:eastAsia="黑体" w:cs="Times New Roman"/>
          <w:b/>
          <w:bCs/>
          <w:i w:val="0"/>
          <w:iCs w:val="0"/>
          <w:sz w:val="24"/>
        </w:rPr>
        <w:t xml:space="preserve">Nuclear and </w:t>
      </w:r>
      <w:r>
        <w:rPr>
          <w:rFonts w:hint="eastAsia" w:ascii="Times New Roman" w:hAnsi="Times New Roman" w:eastAsia="黑体" w:cs="Times New Roman"/>
          <w:b/>
          <w:bCs/>
          <w:i w:val="0"/>
          <w:iCs w:val="0"/>
          <w:sz w:val="24"/>
          <w:lang w:val="en-US" w:eastAsia="zh-CN"/>
        </w:rPr>
        <w:t>c</w:t>
      </w:r>
      <w:r>
        <w:rPr>
          <w:rFonts w:hint="eastAsia" w:ascii="Times New Roman" w:hAnsi="Times New Roman" w:eastAsia="黑体" w:cs="Times New Roman"/>
          <w:b/>
          <w:bCs/>
          <w:i w:val="0"/>
          <w:iCs w:val="0"/>
          <w:sz w:val="24"/>
        </w:rPr>
        <w:t xml:space="preserve">ytoplasmic </w:t>
      </w:r>
      <w:r>
        <w:rPr>
          <w:rFonts w:hint="eastAsia" w:ascii="Times New Roman" w:hAnsi="Times New Roman" w:eastAsia="黑体" w:cs="Times New Roman"/>
          <w:b/>
          <w:bCs/>
          <w:i w:val="0"/>
          <w:iCs w:val="0"/>
          <w:sz w:val="24"/>
          <w:lang w:val="en-US" w:eastAsia="zh-CN"/>
        </w:rPr>
        <w:t>p</w:t>
      </w:r>
      <w:r>
        <w:rPr>
          <w:rFonts w:hint="eastAsia" w:ascii="Times New Roman" w:hAnsi="Times New Roman" w:eastAsia="黑体" w:cs="Times New Roman"/>
          <w:b/>
          <w:bCs/>
          <w:i w:val="0"/>
          <w:iCs w:val="0"/>
          <w:sz w:val="24"/>
        </w:rPr>
        <w:t xml:space="preserve">rotein </w:t>
      </w:r>
      <w:r>
        <w:rPr>
          <w:rFonts w:hint="eastAsia" w:ascii="Times New Roman" w:hAnsi="Times New Roman" w:eastAsia="黑体" w:cs="Times New Roman"/>
          <w:b/>
          <w:bCs/>
          <w:i w:val="0"/>
          <w:iCs w:val="0"/>
          <w:sz w:val="24"/>
          <w:lang w:val="en-US" w:eastAsia="zh-CN"/>
        </w:rPr>
        <w:t>e</w:t>
      </w:r>
      <w:r>
        <w:rPr>
          <w:rFonts w:hint="eastAsia" w:ascii="Times New Roman" w:hAnsi="Times New Roman" w:eastAsia="黑体" w:cs="Times New Roman"/>
          <w:b/>
          <w:bCs/>
          <w:i w:val="0"/>
          <w:iCs w:val="0"/>
          <w:sz w:val="24"/>
        </w:rPr>
        <w:t>xtraction</w:t>
      </w:r>
    </w:p>
    <w:p w14:paraId="6CB05073">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Cs/>
          <w:sz w:val="24"/>
        </w:rPr>
      </w:pPr>
      <w:r>
        <w:rPr>
          <w:rFonts w:ascii="Times New Roman" w:hAnsi="Times New Roman" w:eastAsia="黑体" w:cs="Times New Roman"/>
          <w:bCs/>
          <w:sz w:val="24"/>
        </w:rPr>
        <w:t>GSC23, GSC11, and HEK293T cells were harvested by centrifugation at 500 × g for 5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at 4 °C</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 xml:space="preserve">The cells were </w:t>
      </w:r>
      <w:r>
        <w:rPr>
          <w:rFonts w:ascii="Times New Roman" w:hAnsi="Times New Roman" w:eastAsia="黑体" w:cs="Times New Roman"/>
          <w:bCs/>
          <w:sz w:val="24"/>
        </w:rPr>
        <w:t xml:space="preserve">washed once with ice-cold PBS, and </w:t>
      </w:r>
      <w:r>
        <w:rPr>
          <w:rFonts w:hint="eastAsia" w:ascii="Times New Roman" w:hAnsi="Times New Roman" w:eastAsia="黑体" w:cs="Times New Roman"/>
          <w:bCs/>
          <w:sz w:val="24"/>
        </w:rPr>
        <w:t>subsequently</w:t>
      </w:r>
      <w:r>
        <w:rPr>
          <w:rFonts w:hint="eastAsia" w:ascii="Times New Roman" w:hAnsi="Times New Roman" w:eastAsia="黑体" w:cs="Times New Roman"/>
          <w:bCs/>
          <w:sz w:val="24"/>
          <w:lang w:val="en-US" w:eastAsia="zh-CN"/>
        </w:rPr>
        <w:t xml:space="preserve"> </w:t>
      </w:r>
      <w:r>
        <w:rPr>
          <w:rFonts w:ascii="Times New Roman" w:hAnsi="Times New Roman" w:eastAsia="黑体" w:cs="Times New Roman"/>
          <w:bCs/>
          <w:sz w:val="24"/>
        </w:rPr>
        <w:t>pelleted again</w:t>
      </w:r>
      <w:r>
        <w:rPr>
          <w:rFonts w:hint="eastAsia" w:ascii="Times New Roman" w:hAnsi="Times New Roman" w:eastAsia="黑体" w:cs="Times New Roman"/>
          <w:bCs/>
          <w:sz w:val="24"/>
          <w:lang w:val="en-US" w:eastAsia="zh-CN"/>
        </w:rPr>
        <w:t>, after which t</w:t>
      </w:r>
      <w:r>
        <w:rPr>
          <w:rFonts w:ascii="Times New Roman" w:hAnsi="Times New Roman" w:eastAsia="黑体" w:cs="Times New Roman"/>
          <w:bCs/>
          <w:sz w:val="24"/>
        </w:rPr>
        <w:t>he supernatant was carefully removed. Nuclear and cytoplasmic extracts were prepared using the NE‑PER Nuclear and Cytoplasmic Extraction Kit (</w:t>
      </w:r>
      <w:r>
        <w:rPr>
          <w:rFonts w:hint="default" w:ascii="Times New Roman" w:hAnsi="Times New Roman" w:eastAsia="宋体" w:cs="Times New Roman"/>
          <w:color w:val="000000"/>
          <w:kern w:val="0"/>
          <w:sz w:val="24"/>
          <w:szCs w:val="24"/>
          <w:lang w:val="en-US" w:eastAsia="zh-CN" w:bidi="ar"/>
          <w14:ligatures w14:val="none"/>
        </w:rPr>
        <w:t>Thermo Scientific, Cat.#78835</w:t>
      </w:r>
      <w:r>
        <w:rPr>
          <w:rFonts w:ascii="Times New Roman" w:hAnsi="Times New Roman" w:eastAsia="黑体" w:cs="Times New Roman"/>
          <w:bCs/>
          <w:sz w:val="24"/>
        </w:rPr>
        <w:t>) according to the manufacturer’s instructions. Briefly, the cell pellet was resuspended in ice‑cold CER I buffer supplemented with protease inhibitors</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(Beyotime, Cat.#ST507)</w:t>
      </w:r>
      <w:r>
        <w:rPr>
          <w:rFonts w:ascii="Times New Roman" w:hAnsi="Times New Roman" w:eastAsia="黑体" w:cs="Times New Roman"/>
          <w:bCs/>
          <w:sz w:val="24"/>
        </w:rPr>
        <w:t>, vortexed vigorously for 15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and incubated on ice for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Ice‑cold CER II was </w:t>
      </w:r>
      <w:r>
        <w:rPr>
          <w:rFonts w:hint="eastAsia" w:ascii="Times New Roman" w:hAnsi="Times New Roman" w:eastAsia="黑体" w:cs="Times New Roman"/>
          <w:bCs/>
          <w:sz w:val="24"/>
          <w:lang w:val="en-US" w:eastAsia="zh-CN"/>
        </w:rPr>
        <w:t xml:space="preserve">then </w:t>
      </w:r>
      <w:r>
        <w:rPr>
          <w:rFonts w:ascii="Times New Roman" w:hAnsi="Times New Roman" w:eastAsia="黑体" w:cs="Times New Roman"/>
          <w:bCs/>
          <w:sz w:val="24"/>
        </w:rPr>
        <w:t>added, and the mixture was vortexed for 5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 xml:space="preserve">followed by a 1 minute </w:t>
      </w:r>
      <w:r>
        <w:rPr>
          <w:rFonts w:ascii="Times New Roman" w:hAnsi="Times New Roman" w:eastAsia="黑体" w:cs="Times New Roman"/>
          <w:bCs/>
          <w:sz w:val="24"/>
        </w:rPr>
        <w:t>incubat</w:t>
      </w:r>
      <w:r>
        <w:rPr>
          <w:rFonts w:hint="eastAsia" w:ascii="Times New Roman" w:hAnsi="Times New Roman" w:eastAsia="黑体" w:cs="Times New Roman"/>
          <w:bCs/>
          <w:sz w:val="24"/>
          <w:lang w:val="en-US" w:eastAsia="zh-CN"/>
        </w:rPr>
        <w:t>ion</w:t>
      </w:r>
      <w:r>
        <w:rPr>
          <w:rFonts w:ascii="Times New Roman" w:hAnsi="Times New Roman" w:eastAsia="黑体" w:cs="Times New Roman"/>
          <w:bCs/>
          <w:sz w:val="24"/>
        </w:rPr>
        <w:t xml:space="preserve"> on ice</w:t>
      </w:r>
      <w:r>
        <w:rPr>
          <w:rFonts w:hint="eastAsia" w:ascii="Times New Roman" w:hAnsi="Times New Roman" w:eastAsia="黑体" w:cs="Times New Roman"/>
          <w:bCs/>
          <w:sz w:val="24"/>
          <w:lang w:val="en-US" w:eastAsia="zh-CN"/>
        </w:rPr>
        <w:t>. The mixture was</w:t>
      </w:r>
      <w:r>
        <w:rPr>
          <w:rFonts w:ascii="Times New Roman" w:hAnsi="Times New Roman" w:eastAsia="黑体" w:cs="Times New Roman"/>
          <w:bCs/>
          <w:sz w:val="24"/>
        </w:rPr>
        <w:t xml:space="preserve"> vortexed again for 5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xml:space="preserve"> and centrifuged at 16,000 × g for 5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at 4 °C. The supernatant</w:t>
      </w:r>
      <w:r>
        <w:rPr>
          <w:rFonts w:hint="eastAsia" w:ascii="Times New Roman" w:hAnsi="Times New Roman" w:eastAsia="黑体" w:cs="Times New Roman"/>
          <w:bCs/>
          <w:sz w:val="24"/>
          <w:lang w:val="en-US" w:eastAsia="zh-CN"/>
        </w:rPr>
        <w:t>, representing the</w:t>
      </w:r>
      <w:r>
        <w:rPr>
          <w:rFonts w:ascii="Times New Roman" w:hAnsi="Times New Roman" w:eastAsia="黑体" w:cs="Times New Roman"/>
          <w:bCs/>
          <w:sz w:val="24"/>
        </w:rPr>
        <w:t xml:space="preserve"> cytoplasmic fraction</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was transferred to a fresh tube. The insoluble pellet was resuspended in ice‑cold NER supplemented with protease inhibitors, vortexed for 15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and incubated on ice for 40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with intermittent vortexing for 15 s</w:t>
      </w:r>
      <w:r>
        <w:rPr>
          <w:rFonts w:hint="eastAsia" w:ascii="Times New Roman" w:hAnsi="Times New Roman" w:eastAsia="黑体" w:cs="Times New Roman"/>
          <w:bCs/>
          <w:sz w:val="24"/>
          <w:lang w:val="en-US" w:eastAsia="zh-CN"/>
        </w:rPr>
        <w:t>econds</w:t>
      </w:r>
      <w:r>
        <w:rPr>
          <w:rFonts w:ascii="Times New Roman" w:hAnsi="Times New Roman" w:eastAsia="黑体" w:cs="Times New Roman"/>
          <w:bCs/>
          <w:sz w:val="24"/>
        </w:rPr>
        <w:t xml:space="preserve"> every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After centrifugation at 16,000 × g for 10 min</w:t>
      </w:r>
      <w:r>
        <w:rPr>
          <w:rFonts w:hint="eastAsia" w:ascii="Times New Roman" w:hAnsi="Times New Roman" w:eastAsia="黑体" w:cs="Times New Roman"/>
          <w:bCs/>
          <w:sz w:val="24"/>
          <w:lang w:val="en-US" w:eastAsia="zh-CN"/>
        </w:rPr>
        <w:t>utes</w:t>
      </w:r>
      <w:r>
        <w:rPr>
          <w:rFonts w:ascii="Times New Roman" w:hAnsi="Times New Roman" w:eastAsia="黑体" w:cs="Times New Roman"/>
          <w:bCs/>
          <w:sz w:val="24"/>
        </w:rPr>
        <w:t xml:space="preserve"> at 4 °C, the supernatant</w:t>
      </w:r>
      <w:r>
        <w:rPr>
          <w:rFonts w:hint="eastAsia" w:ascii="Times New Roman" w:hAnsi="Times New Roman" w:eastAsia="黑体" w:cs="Times New Roman"/>
          <w:bCs/>
          <w:sz w:val="24"/>
          <w:lang w:val="en-US" w:eastAsia="zh-CN"/>
        </w:rPr>
        <w:t>, which constituted the</w:t>
      </w:r>
      <w:r>
        <w:rPr>
          <w:rFonts w:ascii="Times New Roman" w:hAnsi="Times New Roman" w:eastAsia="黑体" w:cs="Times New Roman"/>
          <w:bCs/>
          <w:sz w:val="24"/>
        </w:rPr>
        <w:t xml:space="preserve"> nuclear fraction</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was collected. Protein extracts were resolved by SDS‑PAGE and analyzed by western blotting</w:t>
      </w:r>
      <w:r>
        <w:rPr>
          <w:rFonts w:hint="eastAsia" w:ascii="Times New Roman" w:hAnsi="Times New Roman" w:eastAsia="黑体" w:cs="Times New Roman"/>
          <w:bCs/>
          <w:sz w:val="24"/>
          <w:lang w:val="en-US" w:eastAsia="zh-CN"/>
        </w:rPr>
        <w:t>, using</w:t>
      </w:r>
      <w:r>
        <w:rPr>
          <w:rFonts w:ascii="Times New Roman" w:hAnsi="Times New Roman" w:eastAsia="黑体" w:cs="Times New Roman"/>
          <w:bCs/>
          <w:sz w:val="24"/>
        </w:rPr>
        <w:t xml:space="preserve"> GAPDH as a cytoplasmic loading control and Lamin B1 as a nuclear loading control.</w:t>
      </w:r>
    </w:p>
    <w:p w14:paraId="430771E3">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 w:val="0"/>
          <w:bCs/>
          <w:i/>
          <w:iCs/>
          <w:sz w:val="24"/>
        </w:rPr>
      </w:pPr>
      <w:r>
        <w:rPr>
          <w:rFonts w:ascii="Times New Roman" w:hAnsi="Times New Roman" w:eastAsia="黑体" w:cs="Times New Roman"/>
          <w:b/>
          <w:bCs/>
          <w:i w:val="0"/>
          <w:iCs w:val="0"/>
          <w:sz w:val="24"/>
        </w:rPr>
        <w:t xml:space="preserve">TAT-tagged </w:t>
      </w:r>
      <w:r>
        <w:rPr>
          <w:rFonts w:hint="eastAsia" w:ascii="Times New Roman" w:hAnsi="Times New Roman" w:eastAsia="黑体" w:cs="Times New Roman"/>
          <w:b/>
          <w:bCs/>
          <w:i w:val="0"/>
          <w:iCs w:val="0"/>
          <w:sz w:val="24"/>
          <w:lang w:val="en-US" w:eastAsia="zh-CN"/>
        </w:rPr>
        <w:t>p</w:t>
      </w:r>
      <w:r>
        <w:rPr>
          <w:rFonts w:ascii="Times New Roman" w:hAnsi="Times New Roman" w:eastAsia="黑体" w:cs="Times New Roman"/>
          <w:b/>
          <w:bCs/>
          <w:i w:val="0"/>
          <w:iCs w:val="0"/>
          <w:sz w:val="24"/>
        </w:rPr>
        <w:t xml:space="preserve">eptide </w:t>
      </w:r>
      <w:r>
        <w:rPr>
          <w:rFonts w:hint="eastAsia" w:ascii="Times New Roman" w:hAnsi="Times New Roman" w:eastAsia="黑体" w:cs="Times New Roman"/>
          <w:b/>
          <w:bCs/>
          <w:i w:val="0"/>
          <w:iCs w:val="0"/>
          <w:sz w:val="24"/>
          <w:lang w:val="en-US" w:eastAsia="zh-CN"/>
        </w:rPr>
        <w:t>s</w:t>
      </w:r>
      <w:r>
        <w:rPr>
          <w:rFonts w:ascii="Times New Roman" w:hAnsi="Times New Roman" w:eastAsia="黑体" w:cs="Times New Roman"/>
          <w:b/>
          <w:bCs/>
          <w:i w:val="0"/>
          <w:iCs w:val="0"/>
          <w:sz w:val="24"/>
        </w:rPr>
        <w:t>ynthesis</w:t>
      </w:r>
    </w:p>
    <w:p w14:paraId="2972CC1A">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Cs/>
          <w:sz w:val="24"/>
        </w:rPr>
      </w:pPr>
      <w:r>
        <w:rPr>
          <w:rFonts w:ascii="Times New Roman" w:hAnsi="Times New Roman" w:eastAsia="黑体" w:cs="Times New Roman"/>
          <w:bCs/>
          <w:sz w:val="24"/>
        </w:rPr>
        <w:t>The synthetic peptide KWFNVRNGYGFINR</w:t>
      </w:r>
      <w:r>
        <w:rPr>
          <w:rFonts w:hint="eastAsia" w:ascii="Times New Roman" w:hAnsi="Times New Roman" w:eastAsia="黑体" w:cs="Times New Roman"/>
          <w:bCs/>
          <w:sz w:val="24"/>
          <w:lang w:val="en-US" w:eastAsia="zh-CN"/>
        </w:rPr>
        <w:t>, corresponding to</w:t>
      </w:r>
      <w:r>
        <w:rPr>
          <w:rFonts w:ascii="Times New Roman" w:hAnsi="Times New Roman" w:eastAsia="黑体" w:cs="Times New Roman"/>
          <w:bCs/>
          <w:sz w:val="24"/>
        </w:rPr>
        <w:t xml:space="preserve"> residues 64</w:t>
      </w:r>
      <w:r>
        <w:rPr>
          <w:rFonts w:hint="eastAsia" w:ascii="Times New Roman" w:hAnsi="Times New Roman" w:eastAsia="黑体" w:cs="Times New Roman"/>
          <w:bCs/>
          <w:sz w:val="24"/>
        </w:rPr>
        <w:t>-</w:t>
      </w:r>
      <w:r>
        <w:rPr>
          <w:rFonts w:ascii="Times New Roman" w:hAnsi="Times New Roman" w:eastAsia="黑体" w:cs="Times New Roman"/>
          <w:bCs/>
          <w:sz w:val="24"/>
        </w:rPr>
        <w:t>77 of YBX1</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t>
      </w:r>
      <w:r>
        <w:rPr>
          <w:rFonts w:hint="eastAsia" w:ascii="Times New Roman" w:hAnsi="Times New Roman" w:eastAsia="黑体" w:cs="Times New Roman"/>
          <w:bCs/>
          <w:sz w:val="24"/>
        </w:rPr>
        <w:t>contains</w:t>
      </w:r>
      <w:r>
        <w:rPr>
          <w:rFonts w:ascii="Times New Roman" w:hAnsi="Times New Roman" w:eastAsia="黑体" w:cs="Times New Roman"/>
          <w:bCs/>
          <w:sz w:val="24"/>
        </w:rPr>
        <w:t xml:space="preserve"> the R69 methylation site and is </w:t>
      </w:r>
      <w:r>
        <w:rPr>
          <w:rFonts w:hint="eastAsia" w:ascii="Times New Roman" w:hAnsi="Times New Roman" w:eastAsia="黑体" w:cs="Times New Roman"/>
          <w:bCs/>
          <w:sz w:val="24"/>
        </w:rPr>
        <w:t>linked at the N-terminus</w:t>
      </w:r>
      <w:r>
        <w:rPr>
          <w:rFonts w:ascii="Times New Roman" w:hAnsi="Times New Roman" w:eastAsia="黑体" w:cs="Times New Roman"/>
          <w:bCs/>
          <w:sz w:val="24"/>
        </w:rPr>
        <w:t xml:space="preserve"> to a cell‑penetrating TAT peptide to enhance </w:t>
      </w:r>
      <w:r>
        <w:rPr>
          <w:rFonts w:hint="eastAsia" w:ascii="Times New Roman" w:hAnsi="Times New Roman" w:eastAsia="黑体" w:cs="Times New Roman"/>
          <w:bCs/>
          <w:sz w:val="24"/>
        </w:rPr>
        <w:t>cellular delivery</w:t>
      </w:r>
      <w:r>
        <w:rPr>
          <w:rFonts w:ascii="Times New Roman" w:hAnsi="Times New Roman" w:eastAsia="黑体" w:cs="Times New Roman"/>
          <w:bCs/>
          <w:sz w:val="24"/>
        </w:rPr>
        <w:t>. In the methylated v</w:t>
      </w:r>
      <w:r>
        <w:rPr>
          <w:rFonts w:hint="eastAsia" w:ascii="Times New Roman" w:hAnsi="Times New Roman" w:eastAsia="黑体" w:cs="Times New Roman"/>
          <w:bCs/>
          <w:sz w:val="24"/>
          <w:lang w:val="en-US" w:eastAsia="zh-CN"/>
        </w:rPr>
        <w:t>a</w:t>
      </w:r>
      <w:r>
        <w:rPr>
          <w:rFonts w:ascii="Times New Roman" w:hAnsi="Times New Roman" w:eastAsia="黑体" w:cs="Times New Roman"/>
          <w:bCs/>
          <w:sz w:val="24"/>
        </w:rPr>
        <w:t>r</w:t>
      </w:r>
      <w:r>
        <w:rPr>
          <w:rFonts w:hint="eastAsia" w:ascii="Times New Roman" w:hAnsi="Times New Roman" w:eastAsia="黑体" w:cs="Times New Roman"/>
          <w:bCs/>
          <w:sz w:val="24"/>
          <w:lang w:val="en-US" w:eastAsia="zh-CN"/>
        </w:rPr>
        <w:t>iant</w:t>
      </w:r>
      <w:r>
        <w:rPr>
          <w:rFonts w:ascii="Times New Roman" w:hAnsi="Times New Roman" w:eastAsia="黑体" w:cs="Times New Roman"/>
          <w:bCs/>
          <w:sz w:val="24"/>
        </w:rPr>
        <w:t xml:space="preserve">, the R69 residue </w:t>
      </w:r>
      <w:r>
        <w:rPr>
          <w:rFonts w:hint="eastAsia" w:ascii="Times New Roman" w:hAnsi="Times New Roman" w:eastAsia="黑体" w:cs="Times New Roman"/>
          <w:bCs/>
          <w:sz w:val="24"/>
        </w:rPr>
        <w:t>is modified by</w:t>
      </w:r>
      <w:r>
        <w:rPr>
          <w:rFonts w:ascii="Times New Roman" w:hAnsi="Times New Roman" w:eastAsia="黑体" w:cs="Times New Roman"/>
          <w:bCs/>
          <w:sz w:val="24"/>
        </w:rPr>
        <w:t xml:space="preserve"> dimethylation, wh</w:t>
      </w:r>
      <w:r>
        <w:rPr>
          <w:rFonts w:hint="eastAsia" w:ascii="Times New Roman" w:hAnsi="Times New Roman" w:eastAsia="黑体" w:cs="Times New Roman"/>
          <w:bCs/>
          <w:sz w:val="24"/>
          <w:lang w:val="en-US" w:eastAsia="zh-CN"/>
        </w:rPr>
        <w:t>ile</w:t>
      </w:r>
      <w:r>
        <w:rPr>
          <w:rFonts w:ascii="Times New Roman" w:hAnsi="Times New Roman" w:eastAsia="黑体" w:cs="Times New Roman"/>
          <w:bCs/>
          <w:sz w:val="24"/>
        </w:rPr>
        <w:t xml:space="preserve"> it remains unmodified in the non‑methylated counterpart. For</w:t>
      </w:r>
      <w:r>
        <w:rPr>
          <w:rFonts w:hint="eastAsia" w:ascii="Times New Roman" w:hAnsi="Times New Roman" w:eastAsia="黑体" w:cs="Times New Roman"/>
          <w:bCs/>
          <w:sz w:val="24"/>
          <w:lang w:val="en-US" w:eastAsia="zh-CN"/>
        </w:rPr>
        <w:t xml:space="preserve"> the </w:t>
      </w:r>
      <w:r>
        <w:rPr>
          <w:rFonts w:ascii="Times New Roman" w:hAnsi="Times New Roman" w:eastAsia="黑体" w:cs="Times New Roman"/>
          <w:bCs/>
          <w:sz w:val="24"/>
        </w:rPr>
        <w:t xml:space="preserve">biotinylated peptides, the biotin moiety was conjugated to the N‑terminus of the TAT peptide. All peptides were custom‑synthesized by GL Biochem (Shanghai) Ltd., purified to </w:t>
      </w:r>
      <w:r>
        <w:rPr>
          <w:rFonts w:hint="eastAsia" w:ascii="Times New Roman" w:hAnsi="Times New Roman" w:eastAsia="黑体" w:cs="Times New Roman"/>
          <w:bCs/>
          <w:sz w:val="24"/>
          <w:lang w:val="en-US" w:eastAsia="zh-CN"/>
        </w:rPr>
        <w:t xml:space="preserve">over </w:t>
      </w:r>
      <w:r>
        <w:rPr>
          <w:rFonts w:ascii="Times New Roman" w:hAnsi="Times New Roman" w:eastAsia="黑体" w:cs="Times New Roman"/>
          <w:bCs/>
          <w:sz w:val="24"/>
        </w:rPr>
        <w:t>95% purity by HPLC, and confirmed by LC‑MS.</w:t>
      </w:r>
    </w:p>
    <w:p w14:paraId="520C47A4">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 w:val="0"/>
          <w:bCs/>
          <w:i/>
          <w:iCs/>
          <w:sz w:val="24"/>
        </w:rPr>
      </w:pPr>
      <w:r>
        <w:rPr>
          <w:rFonts w:ascii="Times New Roman" w:hAnsi="Times New Roman" w:eastAsia="黑体" w:cs="Times New Roman"/>
          <w:b/>
          <w:bCs/>
          <w:i w:val="0"/>
          <w:iCs w:val="0"/>
          <w:sz w:val="24"/>
        </w:rPr>
        <w:t xml:space="preserve">Animal </w:t>
      </w:r>
      <w:r>
        <w:rPr>
          <w:rFonts w:hint="eastAsia" w:ascii="Times New Roman" w:hAnsi="Times New Roman" w:eastAsia="黑体" w:cs="Times New Roman"/>
          <w:b/>
          <w:bCs/>
          <w:i w:val="0"/>
          <w:iCs w:val="0"/>
          <w:sz w:val="24"/>
          <w:lang w:val="en-US" w:eastAsia="zh-CN"/>
        </w:rPr>
        <w:t>e</w:t>
      </w:r>
      <w:r>
        <w:rPr>
          <w:rFonts w:ascii="Times New Roman" w:hAnsi="Times New Roman" w:eastAsia="黑体" w:cs="Times New Roman"/>
          <w:b/>
          <w:bCs/>
          <w:i w:val="0"/>
          <w:iCs w:val="0"/>
          <w:sz w:val="24"/>
        </w:rPr>
        <w:t>xperiments</w:t>
      </w:r>
    </w:p>
    <w:p w14:paraId="3783C3EA">
      <w:pPr>
        <w:keepNext w:val="0"/>
        <w:keepLines w:val="0"/>
        <w:pageBreakBefore w:val="0"/>
        <w:kinsoku/>
        <w:wordWrap/>
        <w:overflowPunct/>
        <w:topLinePunct w:val="0"/>
        <w:autoSpaceDE/>
        <w:autoSpaceDN/>
        <w:bidi w:val="0"/>
        <w:adjustRightInd/>
        <w:snapToGrid/>
        <w:spacing w:after="156" w:afterLines="50" w:line="360" w:lineRule="auto"/>
        <w:jc w:val="both"/>
        <w:textAlignment w:val="auto"/>
        <w:rPr>
          <w:rFonts w:ascii="Times New Roman" w:hAnsi="Times New Roman" w:eastAsia="黑体" w:cs="Times New Roman"/>
          <w:bCs/>
          <w:sz w:val="24"/>
        </w:rPr>
      </w:pPr>
      <w:r>
        <w:rPr>
          <w:rFonts w:hint="default" w:ascii="Times New Roman" w:hAnsi="Times New Roman" w:eastAsia="宋体" w:cs="Times New Roman"/>
          <w:color w:val="000000"/>
          <w:kern w:val="0"/>
          <w:sz w:val="24"/>
          <w:szCs w:val="24"/>
          <w:lang w:val="en-US" w:eastAsia="zh-CN" w:bidi="ar"/>
          <w14:ligatures w14:val="none"/>
        </w:rPr>
        <w:t>All animal procedures were approved by the Animal Ethics Committee of The First Affiliated Hospital of USTC, Division of Life Sciences and Medicine (Animal Ethics Approval No. USTC</w:t>
      </w:r>
      <w:r>
        <w:rPr>
          <w:rFonts w:hint="eastAsia" w:ascii="Times New Roman" w:hAnsi="Times New Roman" w:eastAsia="宋体" w:cs="Times New Roman"/>
          <w:color w:val="000000"/>
          <w:kern w:val="0"/>
          <w:sz w:val="24"/>
          <w:szCs w:val="24"/>
          <w:lang w:val="en-US" w:eastAsia="zh-CN" w:bidi="ar"/>
          <w14:ligatures w14:val="none"/>
        </w:rPr>
        <w:t>ACUC</w:t>
      </w:r>
      <w:r>
        <w:rPr>
          <w:rFonts w:hint="default" w:ascii="Times New Roman" w:hAnsi="Times New Roman" w:eastAsia="宋体" w:cs="Times New Roman"/>
          <w:color w:val="000000"/>
          <w:kern w:val="0"/>
          <w:sz w:val="24"/>
          <w:szCs w:val="24"/>
          <w:lang w:val="en-US" w:eastAsia="zh-CN" w:bidi="ar"/>
          <w14:ligatures w14:val="none"/>
        </w:rPr>
        <w:t>2</w:t>
      </w:r>
      <w:r>
        <w:rPr>
          <w:rFonts w:hint="eastAsia" w:ascii="Times New Roman" w:hAnsi="Times New Roman" w:eastAsia="宋体" w:cs="Times New Roman"/>
          <w:color w:val="000000"/>
          <w:kern w:val="0"/>
          <w:sz w:val="24"/>
          <w:szCs w:val="24"/>
          <w:lang w:val="en-US" w:eastAsia="zh-CN" w:bidi="ar"/>
          <w14:ligatures w14:val="none"/>
        </w:rPr>
        <w:t>6060125038</w:t>
      </w:r>
      <w:r>
        <w:rPr>
          <w:rFonts w:hint="default" w:ascii="Times New Roman" w:hAnsi="Times New Roman" w:eastAsia="宋体" w:cs="Times New Roman"/>
          <w:color w:val="000000"/>
          <w:kern w:val="0"/>
          <w:sz w:val="24"/>
          <w:szCs w:val="24"/>
          <w:lang w:val="en-US" w:eastAsia="zh-CN" w:bidi="ar"/>
          <w14:ligatures w14:val="none"/>
        </w:rPr>
        <w:t>)</w:t>
      </w:r>
      <w:r>
        <w:rPr>
          <w:rFonts w:ascii="Times New Roman" w:hAnsi="Times New Roman" w:eastAsia="黑体" w:cs="Times New Roman"/>
          <w:bCs/>
          <w:sz w:val="24"/>
        </w:rPr>
        <w:t>. For</w:t>
      </w:r>
      <w:r>
        <w:rPr>
          <w:rFonts w:hint="eastAsia" w:ascii="Times New Roman" w:hAnsi="Times New Roman" w:eastAsia="黑体" w:cs="Times New Roman"/>
          <w:bCs/>
          <w:sz w:val="24"/>
          <w:lang w:val="en-US" w:eastAsia="zh-CN"/>
        </w:rPr>
        <w:t xml:space="preserve"> the</w:t>
      </w:r>
      <w:r>
        <w:rPr>
          <w:rFonts w:ascii="Times New Roman" w:hAnsi="Times New Roman" w:eastAsia="黑体" w:cs="Times New Roman"/>
          <w:bCs/>
          <w:sz w:val="24"/>
        </w:rPr>
        <w:t xml:space="preserve"> intracranial orthotopic xenografts, four</w:t>
      </w:r>
      <w:r>
        <w:rPr>
          <w:rFonts w:ascii="Times New Roman" w:hAnsi="Times New Roman" w:eastAsia="黑体" w:cs="Times New Roman"/>
          <w:bCs/>
          <w:sz w:val="24"/>
        </w:rPr>
        <w:noBreakHyphen/>
      </w:r>
      <w:r>
        <w:rPr>
          <w:rFonts w:ascii="Times New Roman" w:hAnsi="Times New Roman" w:eastAsia="黑体" w:cs="Times New Roman"/>
          <w:bCs/>
          <w:sz w:val="24"/>
        </w:rPr>
        <w:t>week</w:t>
      </w:r>
      <w:r>
        <w:rPr>
          <w:rFonts w:ascii="Times New Roman" w:hAnsi="Times New Roman" w:eastAsia="黑体" w:cs="Times New Roman"/>
          <w:bCs/>
          <w:sz w:val="24"/>
        </w:rPr>
        <w:noBreakHyphen/>
      </w:r>
      <w:r>
        <w:rPr>
          <w:rFonts w:ascii="Times New Roman" w:hAnsi="Times New Roman" w:eastAsia="黑体" w:cs="Times New Roman"/>
          <w:bCs/>
          <w:sz w:val="24"/>
        </w:rPr>
        <w:t>old female BALB/c</w:t>
      </w:r>
      <w:r>
        <w:rPr>
          <w:rFonts w:ascii="Times New Roman" w:hAnsi="Times New Roman" w:eastAsia="黑体" w:cs="Times New Roman"/>
          <w:bCs/>
          <w:sz w:val="24"/>
        </w:rPr>
        <w:noBreakHyphen/>
      </w:r>
      <w:r>
        <w:rPr>
          <w:rFonts w:ascii="Times New Roman" w:hAnsi="Times New Roman" w:eastAsia="黑体" w:cs="Times New Roman"/>
          <w:bCs/>
          <w:sz w:val="24"/>
        </w:rPr>
        <w:t>nu nude mice</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(SLAC Laboratory Animal Company, Shanghai, China)</w:t>
      </w:r>
      <w:r>
        <w:rPr>
          <w:rFonts w:ascii="Times New Roman" w:hAnsi="Times New Roman" w:eastAsia="黑体" w:cs="Times New Roman"/>
          <w:bCs/>
          <w:sz w:val="24"/>
        </w:rPr>
        <w:t xml:space="preserve"> were anesthetized via intraperitoneal injection of sodium pentobarbital (</w:t>
      </w:r>
      <w:r>
        <w:rPr>
          <w:rFonts w:hint="default" w:ascii="Times New Roman" w:hAnsi="Times New Roman" w:eastAsia="宋体" w:cs="Times New Roman"/>
          <w:color w:val="000000"/>
          <w:kern w:val="0"/>
          <w:sz w:val="24"/>
          <w:szCs w:val="24"/>
          <w:lang w:val="en-US" w:eastAsia="zh-CN" w:bidi="ar"/>
          <w14:ligatures w14:val="none"/>
        </w:rPr>
        <w:t>40 mg/kg, Sigma, Cat.#P3761</w:t>
      </w:r>
      <w:r>
        <w:rPr>
          <w:rFonts w:ascii="Times New Roman" w:hAnsi="Times New Roman" w:eastAsia="黑体" w:cs="Times New Roman"/>
          <w:bCs/>
          <w:sz w:val="24"/>
        </w:rPr>
        <w:t xml:space="preserve">). After confirming steady respiration and </w:t>
      </w:r>
      <w:r>
        <w:rPr>
          <w:rFonts w:hint="eastAsia" w:ascii="Times New Roman" w:hAnsi="Times New Roman" w:eastAsia="黑体" w:cs="Times New Roman"/>
          <w:bCs/>
          <w:sz w:val="24"/>
          <w:lang w:val="en-US" w:eastAsia="zh-CN"/>
        </w:rPr>
        <w:t xml:space="preserve">the </w:t>
      </w:r>
      <w:r>
        <w:rPr>
          <w:rFonts w:ascii="Times New Roman" w:hAnsi="Times New Roman" w:eastAsia="黑体" w:cs="Times New Roman"/>
          <w:bCs/>
          <w:sz w:val="24"/>
        </w:rPr>
        <w:t xml:space="preserve">loss of </w:t>
      </w:r>
      <w:r>
        <w:rPr>
          <w:rFonts w:hint="eastAsia" w:ascii="Times New Roman" w:hAnsi="Times New Roman" w:eastAsia="黑体" w:cs="Times New Roman"/>
          <w:bCs/>
          <w:sz w:val="24"/>
          <w:lang w:val="en-US" w:eastAsia="zh-CN"/>
        </w:rPr>
        <w:t xml:space="preserve">the </w:t>
      </w:r>
      <w:r>
        <w:rPr>
          <w:rFonts w:ascii="Times New Roman" w:hAnsi="Times New Roman" w:eastAsia="黑体" w:cs="Times New Roman"/>
          <w:bCs/>
          <w:sz w:val="24"/>
        </w:rPr>
        <w:t xml:space="preserve">pedal withdrawal reflex, the animals were </w:t>
      </w:r>
      <w:r>
        <w:rPr>
          <w:rFonts w:hint="eastAsia" w:ascii="Times New Roman" w:hAnsi="Times New Roman" w:eastAsia="黑体" w:cs="Times New Roman"/>
          <w:bCs/>
          <w:sz w:val="24"/>
        </w:rPr>
        <w:t>secured</w:t>
      </w:r>
      <w:r>
        <w:rPr>
          <w:rFonts w:ascii="Times New Roman" w:hAnsi="Times New Roman" w:eastAsia="黑体" w:cs="Times New Roman"/>
          <w:bCs/>
          <w:sz w:val="24"/>
        </w:rPr>
        <w:t xml:space="preserve"> in a stereotactic frame</w:t>
      </w:r>
      <w:r>
        <w:rPr>
          <w:rFonts w:hint="eastAsia" w:ascii="Times New Roman" w:hAnsi="Times New Roman" w:eastAsia="黑体" w:cs="Times New Roman"/>
          <w:bCs/>
          <w:sz w:val="24"/>
          <w:lang w:val="en-US" w:eastAsia="zh-CN"/>
        </w:rPr>
        <w:t xml:space="preserve"> </w:t>
      </w:r>
      <w:r>
        <w:rPr>
          <w:rFonts w:hint="default" w:ascii="Times New Roman" w:hAnsi="Times New Roman" w:eastAsia="宋体" w:cs="Times New Roman"/>
          <w:color w:val="000000"/>
          <w:kern w:val="0"/>
          <w:sz w:val="24"/>
          <w:szCs w:val="24"/>
          <w:lang w:val="en-US" w:eastAsia="zh-CN" w:bidi="ar"/>
          <w14:ligatures w14:val="none"/>
        </w:rPr>
        <w:t>(RWD Life Science, Cat.#68001)</w:t>
      </w:r>
      <w:r>
        <w:rPr>
          <w:rFonts w:ascii="Times New Roman" w:hAnsi="Times New Roman" w:eastAsia="黑体" w:cs="Times New Roman"/>
          <w:bCs/>
          <w:sz w:val="24"/>
        </w:rPr>
        <w:t xml:space="preserve">. A cranial injection site was </w:t>
      </w:r>
      <w:r>
        <w:rPr>
          <w:rFonts w:hint="eastAsia" w:ascii="Times New Roman" w:hAnsi="Times New Roman" w:eastAsia="黑体" w:cs="Times New Roman"/>
          <w:bCs/>
          <w:sz w:val="24"/>
        </w:rPr>
        <w:t>identified</w:t>
      </w:r>
      <w:r>
        <w:rPr>
          <w:rFonts w:ascii="Times New Roman" w:hAnsi="Times New Roman" w:eastAsia="黑体" w:cs="Times New Roman"/>
          <w:bCs/>
          <w:sz w:val="24"/>
        </w:rPr>
        <w:t xml:space="preserve"> 0.5 mm posterior to the bregma and 2.5 mm lateral to the midline. A </w:t>
      </w:r>
      <w:r>
        <w:rPr>
          <w:rFonts w:hint="eastAsia" w:ascii="Times New Roman" w:hAnsi="Times New Roman" w:eastAsia="黑体" w:cs="Times New Roman"/>
          <w:bCs/>
          <w:sz w:val="24"/>
          <w:lang w:val="en-US" w:eastAsia="zh-CN"/>
        </w:rPr>
        <w:t>small</w:t>
      </w:r>
      <w:r>
        <w:rPr>
          <w:rFonts w:ascii="Times New Roman" w:hAnsi="Times New Roman" w:eastAsia="黑体" w:cs="Times New Roman"/>
          <w:bCs/>
          <w:sz w:val="24"/>
        </w:rPr>
        <w:t xml:space="preserve"> burr hole (0.8</w:t>
      </w:r>
      <w:r>
        <w:rPr>
          <w:rFonts w:hint="eastAsia" w:ascii="Times New Roman" w:hAnsi="Times New Roman" w:eastAsia="黑体" w:cs="Times New Roman"/>
          <w:bCs/>
          <w:sz w:val="24"/>
        </w:rPr>
        <w:t>-</w:t>
      </w:r>
      <w:r>
        <w:rPr>
          <w:rFonts w:ascii="Times New Roman" w:hAnsi="Times New Roman" w:eastAsia="黑体" w:cs="Times New Roman"/>
          <w:bCs/>
          <w:sz w:val="24"/>
        </w:rPr>
        <w:t xml:space="preserve">1.0 mm in diameter) was </w:t>
      </w:r>
      <w:r>
        <w:rPr>
          <w:rFonts w:hint="eastAsia" w:ascii="Times New Roman" w:hAnsi="Times New Roman" w:eastAsia="黑体" w:cs="Times New Roman"/>
          <w:bCs/>
          <w:sz w:val="24"/>
        </w:rPr>
        <w:t>meticulously</w:t>
      </w:r>
      <w:r>
        <w:rPr>
          <w:rFonts w:ascii="Times New Roman" w:hAnsi="Times New Roman" w:eastAsia="黑体" w:cs="Times New Roman"/>
          <w:bCs/>
          <w:sz w:val="24"/>
        </w:rPr>
        <w:t xml:space="preserve"> drilled </w:t>
      </w:r>
      <w:r>
        <w:rPr>
          <w:rFonts w:hint="eastAsia" w:ascii="Times New Roman" w:hAnsi="Times New Roman" w:eastAsia="黑体" w:cs="Times New Roman"/>
          <w:bCs/>
          <w:sz w:val="24"/>
          <w:lang w:val="en-US" w:eastAsia="zh-CN"/>
        </w:rPr>
        <w:t>using</w:t>
      </w:r>
      <w:r>
        <w:rPr>
          <w:rFonts w:ascii="Times New Roman" w:hAnsi="Times New Roman" w:eastAsia="黑体" w:cs="Times New Roman"/>
          <w:bCs/>
          <w:sz w:val="24"/>
        </w:rPr>
        <w:t xml:space="preserve"> a micro</w:t>
      </w:r>
      <w:r>
        <w:rPr>
          <w:rFonts w:ascii="Times New Roman" w:hAnsi="Times New Roman" w:eastAsia="黑体" w:cs="Times New Roman"/>
          <w:bCs/>
          <w:sz w:val="24"/>
        </w:rPr>
        <w:noBreakHyphen/>
      </w:r>
      <w:r>
        <w:rPr>
          <w:rFonts w:ascii="Times New Roman" w:hAnsi="Times New Roman" w:eastAsia="黑体" w:cs="Times New Roman"/>
          <w:bCs/>
          <w:sz w:val="24"/>
        </w:rPr>
        <w:t xml:space="preserve">drill, </w:t>
      </w:r>
      <w:r>
        <w:rPr>
          <w:rFonts w:hint="eastAsia" w:ascii="Times New Roman" w:hAnsi="Times New Roman" w:eastAsia="黑体" w:cs="Times New Roman"/>
          <w:bCs/>
          <w:sz w:val="24"/>
        </w:rPr>
        <w:t>taking care to</w:t>
      </w:r>
      <w:r>
        <w:rPr>
          <w:rFonts w:hint="eastAsia" w:ascii="Times New Roman" w:hAnsi="Times New Roman" w:eastAsia="黑体" w:cs="Times New Roman"/>
          <w:bCs/>
          <w:sz w:val="24"/>
          <w:lang w:val="en-US" w:eastAsia="zh-CN"/>
        </w:rPr>
        <w:t xml:space="preserve"> </w:t>
      </w:r>
      <w:r>
        <w:rPr>
          <w:rFonts w:ascii="Times New Roman" w:hAnsi="Times New Roman" w:eastAsia="黑体" w:cs="Times New Roman"/>
          <w:bCs/>
          <w:sz w:val="24"/>
        </w:rPr>
        <w:t xml:space="preserve">avoid damage to the meninges and </w:t>
      </w:r>
      <w:r>
        <w:rPr>
          <w:rFonts w:hint="eastAsia" w:ascii="Times New Roman" w:hAnsi="Times New Roman" w:eastAsia="黑体" w:cs="Times New Roman"/>
          <w:bCs/>
          <w:sz w:val="24"/>
          <w:lang w:val="en-US" w:eastAsia="zh-CN"/>
        </w:rPr>
        <w:t xml:space="preserve">blood </w:t>
      </w:r>
      <w:r>
        <w:rPr>
          <w:rFonts w:ascii="Times New Roman" w:hAnsi="Times New Roman" w:eastAsia="黑体" w:cs="Times New Roman"/>
          <w:bCs/>
          <w:sz w:val="24"/>
        </w:rPr>
        <w:t>vessels. GSC23 cells transduced with control shGFP or shPRMT1 lentiviral vectors were harvested, resuspended, and slowly injected through the burr hole using a micro</w:t>
      </w:r>
      <w:r>
        <w:rPr>
          <w:rFonts w:ascii="Times New Roman" w:hAnsi="Times New Roman" w:eastAsia="黑体" w:cs="Times New Roman"/>
          <w:bCs/>
          <w:sz w:val="24"/>
        </w:rPr>
        <w:noBreakHyphen/>
      </w:r>
      <w:r>
        <w:rPr>
          <w:rFonts w:ascii="Times New Roman" w:hAnsi="Times New Roman" w:eastAsia="黑体" w:cs="Times New Roman"/>
          <w:bCs/>
          <w:sz w:val="24"/>
        </w:rPr>
        <w:t xml:space="preserve">syringe </w:t>
      </w:r>
      <w:r>
        <w:rPr>
          <w:rFonts w:hint="eastAsia" w:ascii="Times New Roman" w:hAnsi="Times New Roman" w:eastAsia="黑体" w:cs="Times New Roman"/>
          <w:bCs/>
          <w:sz w:val="24"/>
          <w:lang w:val="en-US" w:eastAsia="zh-CN"/>
        </w:rPr>
        <w:t>to</w:t>
      </w:r>
      <w:r>
        <w:rPr>
          <w:rFonts w:ascii="Times New Roman" w:hAnsi="Times New Roman" w:eastAsia="黑体" w:cs="Times New Roman"/>
          <w:bCs/>
          <w:sz w:val="24"/>
        </w:rPr>
        <w:t xml:space="preserve"> a depth of 2.5 mm below the dura, at a rate of 2 μL/min (total volume 10 μL). Postoperative body weight was closely monitored</w:t>
      </w:r>
      <w:r>
        <w:rPr>
          <w:rFonts w:hint="eastAsia" w:ascii="Times New Roman" w:hAnsi="Times New Roman" w:eastAsia="黑体" w:cs="Times New Roman"/>
          <w:bCs/>
          <w:sz w:val="24"/>
          <w:lang w:val="en-US" w:eastAsia="zh-CN"/>
        </w:rPr>
        <w:t>,</w:t>
      </w:r>
      <w:r>
        <w:rPr>
          <w:rFonts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with s</w:t>
      </w:r>
      <w:r>
        <w:rPr>
          <w:rFonts w:ascii="Times New Roman" w:hAnsi="Times New Roman" w:eastAsia="黑体" w:cs="Times New Roman"/>
          <w:bCs/>
          <w:sz w:val="24"/>
        </w:rPr>
        <w:t>ignificant weight loss or neurological deficits</w:t>
      </w:r>
      <w:r>
        <w:rPr>
          <w:rFonts w:hint="eastAsia" w:ascii="Times New Roman" w:hAnsi="Times New Roman" w:eastAsia="黑体" w:cs="Times New Roman"/>
          <w:bCs/>
          <w:sz w:val="24"/>
          <w:lang w:val="en-US" w:eastAsia="zh-CN"/>
        </w:rPr>
        <w:t xml:space="preserve">, </w:t>
      </w:r>
      <w:r>
        <w:rPr>
          <w:rFonts w:ascii="Times New Roman" w:hAnsi="Times New Roman" w:eastAsia="黑体" w:cs="Times New Roman"/>
          <w:bCs/>
          <w:sz w:val="24"/>
        </w:rPr>
        <w:t xml:space="preserve">indicative of compromised welfare </w:t>
      </w:r>
      <w:r>
        <w:rPr>
          <w:rFonts w:hint="eastAsia" w:ascii="Times New Roman" w:hAnsi="Times New Roman" w:eastAsia="黑体" w:cs="Times New Roman"/>
          <w:bCs/>
          <w:sz w:val="24"/>
          <w:lang w:val="en-US" w:eastAsia="zh-CN"/>
        </w:rPr>
        <w:t>due to</w:t>
      </w:r>
      <w:r>
        <w:rPr>
          <w:rFonts w:ascii="Times New Roman" w:hAnsi="Times New Roman" w:eastAsia="黑体" w:cs="Times New Roman"/>
          <w:bCs/>
          <w:sz w:val="24"/>
        </w:rPr>
        <w:t xml:space="preserve"> intracranial tumor growth, were predefined as humane endpoints. At th</w:t>
      </w:r>
      <w:r>
        <w:rPr>
          <w:rFonts w:hint="eastAsia" w:ascii="Times New Roman" w:hAnsi="Times New Roman" w:eastAsia="黑体" w:cs="Times New Roman"/>
          <w:bCs/>
          <w:sz w:val="24"/>
          <w:lang w:val="en-US" w:eastAsia="zh-CN"/>
        </w:rPr>
        <w:t>is</w:t>
      </w:r>
      <w:r>
        <w:rPr>
          <w:rFonts w:ascii="Times New Roman" w:hAnsi="Times New Roman" w:eastAsia="黑体" w:cs="Times New Roman"/>
          <w:bCs/>
          <w:sz w:val="24"/>
        </w:rPr>
        <w:t xml:space="preserve"> stage, survival time was recorded, and the mice were deeply anesthetized for transcardial perfusion and brain extraction. The brains were fixed in 4% paraformaldehyde, then processed through graded ethanol dehydration, paraffin embedding, and sectioning. Tumor volume was assessed by identifying the largest cross</w:t>
      </w:r>
      <w:r>
        <w:rPr>
          <w:rFonts w:ascii="Times New Roman" w:hAnsi="Times New Roman" w:eastAsia="黑体" w:cs="Times New Roman"/>
          <w:bCs/>
          <w:sz w:val="24"/>
        </w:rPr>
        <w:noBreakHyphen/>
      </w:r>
      <w:r>
        <w:rPr>
          <w:rFonts w:ascii="Times New Roman" w:hAnsi="Times New Roman" w:eastAsia="黑体" w:cs="Times New Roman"/>
          <w:bCs/>
          <w:sz w:val="24"/>
        </w:rPr>
        <w:t xml:space="preserve">sectional area, measuring the longest (a) and shortest (b) diameters </w:t>
      </w:r>
      <w:r>
        <w:rPr>
          <w:rFonts w:hint="eastAsia" w:ascii="Times New Roman" w:hAnsi="Times New Roman" w:eastAsia="黑体" w:cs="Times New Roman"/>
          <w:bCs/>
          <w:sz w:val="24"/>
          <w:lang w:val="en-US" w:eastAsia="zh-CN"/>
        </w:rPr>
        <w:t>using</w:t>
      </w:r>
      <w:r>
        <w:rPr>
          <w:rFonts w:ascii="Times New Roman" w:hAnsi="Times New Roman" w:eastAsia="黑体" w:cs="Times New Roman"/>
          <w:bCs/>
          <w:sz w:val="24"/>
        </w:rPr>
        <w:t xml:space="preserve"> ImageJ, and applying the formula V = (a × b²) / 2.</w:t>
      </w:r>
    </w:p>
    <w:p w14:paraId="7512683D">
      <w:pPr>
        <w:keepNext w:val="0"/>
        <w:keepLines w:val="0"/>
        <w:pageBreakBefore w:val="0"/>
        <w:kinsoku/>
        <w:wordWrap/>
        <w:overflowPunct/>
        <w:topLinePunct w:val="0"/>
        <w:autoSpaceDE/>
        <w:autoSpaceDN/>
        <w:bidi w:val="0"/>
        <w:adjustRightInd/>
        <w:snapToGrid/>
        <w:spacing w:after="156" w:afterLines="50" w:line="360" w:lineRule="auto"/>
        <w:ind w:firstLine="240" w:firstLineChars="100"/>
        <w:jc w:val="both"/>
        <w:textAlignment w:val="auto"/>
        <w:rPr>
          <w:rFonts w:hint="eastAsia" w:ascii="Times New Roman" w:hAnsi="Times New Roman" w:eastAsia="微软雅黑" w:cs="Times New Roman"/>
          <w:color w:val="111111"/>
          <w:sz w:val="24"/>
          <w:szCs w:val="24"/>
          <w:shd w:val="clear" w:color="auto" w:fill="FFFFFF"/>
          <w:lang w:val="en-US" w:eastAsia="zh-CN"/>
        </w:rPr>
      </w:pPr>
      <w:r>
        <w:rPr>
          <w:rFonts w:ascii="Times New Roman" w:hAnsi="Times New Roman" w:eastAsia="黑体" w:cs="Times New Roman"/>
          <w:bCs/>
          <w:sz w:val="24"/>
        </w:rPr>
        <w:t xml:space="preserve">For </w:t>
      </w:r>
      <w:r>
        <w:rPr>
          <w:rFonts w:hint="eastAsia" w:ascii="Times New Roman" w:hAnsi="Times New Roman" w:eastAsia="黑体" w:cs="Times New Roman"/>
          <w:bCs/>
          <w:sz w:val="24"/>
          <w:lang w:val="en-US" w:eastAsia="zh-CN"/>
        </w:rPr>
        <w:t xml:space="preserve">the </w:t>
      </w:r>
      <w:r>
        <w:rPr>
          <w:rFonts w:ascii="Times New Roman" w:hAnsi="Times New Roman" w:eastAsia="黑体" w:cs="Times New Roman"/>
          <w:bCs/>
          <w:sz w:val="24"/>
        </w:rPr>
        <w:t>subcutaneous xenograft</w:t>
      </w:r>
      <w:r>
        <w:rPr>
          <w:rFonts w:hint="eastAsia" w:ascii="Times New Roman" w:hAnsi="Times New Roman" w:eastAsia="黑体" w:cs="Times New Roman"/>
          <w:bCs/>
          <w:sz w:val="24"/>
          <w:lang w:val="en-US" w:eastAsia="zh-CN"/>
        </w:rPr>
        <w:t xml:space="preserve"> experiments</w:t>
      </w:r>
      <w:r>
        <w:rPr>
          <w:rFonts w:ascii="Times New Roman" w:hAnsi="Times New Roman" w:eastAsia="黑体" w:cs="Times New Roman"/>
          <w:bCs/>
          <w:sz w:val="24"/>
        </w:rPr>
        <w:t>, GSC23 cells (1×10⁷ cells) were suspended in 100 μL of a 1:1 PBS/Matrigel mixture and injected subcutaneously into female BALB/c nude mice</w:t>
      </w:r>
      <w:r>
        <w:rPr>
          <w:rFonts w:hint="eastAsia" w:ascii="Times New Roman" w:hAnsi="Times New Roman" w:eastAsia="黑体" w:cs="Times New Roman"/>
          <w:bCs/>
          <w:sz w:val="24"/>
          <w:lang w:val="en-US" w:eastAsia="zh-CN"/>
        </w:rPr>
        <w:t xml:space="preserve"> under optimal growth conditions</w:t>
      </w:r>
      <w:r>
        <w:rPr>
          <w:rFonts w:ascii="Times New Roman" w:hAnsi="Times New Roman" w:eastAsia="黑体" w:cs="Times New Roman"/>
          <w:bCs/>
          <w:sz w:val="24"/>
        </w:rPr>
        <w:t>. Starting on day 5 post</w:t>
      </w:r>
      <w:r>
        <w:rPr>
          <w:rFonts w:ascii="Times New Roman" w:hAnsi="Times New Roman" w:eastAsia="黑体" w:cs="Times New Roman"/>
          <w:bCs/>
          <w:sz w:val="24"/>
        </w:rPr>
        <w:noBreakHyphen/>
      </w:r>
      <w:r>
        <w:rPr>
          <w:rFonts w:ascii="Times New Roman" w:hAnsi="Times New Roman" w:eastAsia="黑体" w:cs="Times New Roman"/>
          <w:bCs/>
          <w:sz w:val="24"/>
        </w:rPr>
        <w:t xml:space="preserve">implantation, </w:t>
      </w:r>
      <w:r>
        <w:rPr>
          <w:rFonts w:hint="eastAsia" w:ascii="Times New Roman" w:hAnsi="Times New Roman" w:eastAsia="黑体" w:cs="Times New Roman"/>
          <w:bCs/>
          <w:sz w:val="24"/>
          <w:lang w:val="en-US" w:eastAsia="zh-CN"/>
        </w:rPr>
        <w:t>a</w:t>
      </w:r>
      <w:r>
        <w:rPr>
          <w:rFonts w:ascii="Times New Roman" w:hAnsi="Times New Roman" w:eastAsia="黑体" w:cs="Times New Roman"/>
          <w:bCs/>
          <w:sz w:val="24"/>
        </w:rPr>
        <w:t xml:space="preserve"> peptide solution (10 mg/kg) was administered intraperitoneally every other day for </w:t>
      </w:r>
      <w:r>
        <w:rPr>
          <w:rFonts w:hint="eastAsia" w:ascii="Times New Roman" w:hAnsi="Times New Roman" w:eastAsia="黑体" w:cs="Times New Roman"/>
          <w:bCs/>
          <w:sz w:val="24"/>
          <w:lang w:val="en-US" w:eastAsia="zh-CN"/>
        </w:rPr>
        <w:t xml:space="preserve">a duration of </w:t>
      </w:r>
      <w:r>
        <w:rPr>
          <w:rFonts w:ascii="Times New Roman" w:hAnsi="Times New Roman" w:eastAsia="黑体" w:cs="Times New Roman"/>
          <w:bCs/>
          <w:sz w:val="24"/>
        </w:rPr>
        <w:t xml:space="preserve">2 weeks. Tumor size was monitored </w:t>
      </w:r>
      <w:r>
        <w:rPr>
          <w:rFonts w:hint="eastAsia" w:ascii="Times New Roman" w:hAnsi="Times New Roman" w:eastAsia="黑体" w:cs="Times New Roman"/>
          <w:bCs/>
          <w:sz w:val="24"/>
          <w:lang w:val="en-US" w:eastAsia="zh-CN"/>
        </w:rPr>
        <w:t>bi-daily</w:t>
      </w:r>
      <w:r>
        <w:rPr>
          <w:rFonts w:ascii="Times New Roman" w:hAnsi="Times New Roman" w:eastAsia="黑体" w:cs="Times New Roman"/>
          <w:bCs/>
          <w:sz w:val="24"/>
        </w:rPr>
        <w:t xml:space="preserve"> from day 5 onward using a vernier caliper to measure two perpendicular diameters, </w:t>
      </w:r>
      <w:r>
        <w:rPr>
          <w:rFonts w:hint="eastAsia" w:ascii="Times New Roman" w:hAnsi="Times New Roman" w:eastAsia="黑体" w:cs="Times New Roman"/>
          <w:bCs/>
          <w:sz w:val="24"/>
          <w:lang w:val="en-US" w:eastAsia="zh-CN"/>
        </w:rPr>
        <w:t>with</w:t>
      </w:r>
      <w:r>
        <w:rPr>
          <w:rFonts w:ascii="Times New Roman" w:hAnsi="Times New Roman" w:eastAsia="黑体" w:cs="Times New Roman"/>
          <w:bCs/>
          <w:sz w:val="24"/>
        </w:rPr>
        <w:t xml:space="preserve"> tumor volume (mm³) calculated </w:t>
      </w:r>
      <w:r>
        <w:rPr>
          <w:rFonts w:hint="eastAsia" w:ascii="Times New Roman" w:hAnsi="Times New Roman" w:eastAsia="黑体" w:cs="Times New Roman"/>
          <w:bCs/>
          <w:sz w:val="24"/>
          <w:lang w:val="en-US" w:eastAsia="zh-CN"/>
        </w:rPr>
        <w:t>using the formula</w:t>
      </w:r>
      <w:r>
        <w:rPr>
          <w:rFonts w:ascii="Times New Roman" w:hAnsi="Times New Roman" w:eastAsia="黑体" w:cs="Times New Roman"/>
          <w:bCs/>
          <w:sz w:val="24"/>
        </w:rPr>
        <w:t xml:space="preserve"> 1/2 × length × width². All mice were observed daily and euthanized at week 3. The subcutaneous tumor tissues were </w:t>
      </w:r>
      <w:r>
        <w:rPr>
          <w:rFonts w:hint="eastAsia" w:ascii="Times New Roman" w:hAnsi="Times New Roman" w:eastAsia="黑体" w:cs="Times New Roman"/>
          <w:bCs/>
          <w:sz w:val="24"/>
        </w:rPr>
        <w:t>subsequently</w:t>
      </w:r>
      <w:r>
        <w:rPr>
          <w:rFonts w:hint="eastAsia" w:ascii="Times New Roman" w:hAnsi="Times New Roman" w:eastAsia="黑体" w:cs="Times New Roman"/>
          <w:bCs/>
          <w:sz w:val="24"/>
          <w:lang w:val="en-US" w:eastAsia="zh-CN"/>
        </w:rPr>
        <w:t xml:space="preserve"> </w:t>
      </w:r>
      <w:r>
        <w:rPr>
          <w:rFonts w:ascii="Times New Roman" w:hAnsi="Times New Roman" w:eastAsia="黑体" w:cs="Times New Roman"/>
          <w:bCs/>
          <w:sz w:val="24"/>
        </w:rPr>
        <w:t xml:space="preserve">photographed and </w:t>
      </w:r>
      <w:r>
        <w:rPr>
          <w:rFonts w:hint="eastAsia" w:ascii="Times New Roman" w:hAnsi="Times New Roman" w:eastAsia="黑体" w:cs="Times New Roman"/>
          <w:bCs/>
          <w:sz w:val="24"/>
        </w:rPr>
        <w:t>subjected to</w:t>
      </w:r>
      <w:r>
        <w:rPr>
          <w:rFonts w:ascii="Times New Roman" w:hAnsi="Times New Roman" w:eastAsia="黑体" w:cs="Times New Roman"/>
          <w:bCs/>
          <w:sz w:val="24"/>
        </w:rPr>
        <w:t xml:space="preserve"> IHC analysis.</w:t>
      </w:r>
    </w:p>
    <w:p w14:paraId="43F45F86">
      <w:pPr>
        <w:jc w:val="both"/>
        <w:rPr>
          <w:rFonts w:ascii="Times New Roman" w:hAnsi="Times New Roman"/>
          <w:b/>
          <w:bCs/>
          <w:sz w:val="28"/>
          <w:szCs w:val="28"/>
        </w:rPr>
      </w:pPr>
    </w:p>
    <w:p w14:paraId="4FF29C10">
      <w:pPr>
        <w:jc w:val="both"/>
        <w:rPr>
          <w:rFonts w:ascii="Times New Roman" w:hAnsi="Times New Roman"/>
          <w:b/>
          <w:bCs/>
          <w:sz w:val="28"/>
          <w:szCs w:val="28"/>
        </w:rPr>
      </w:pPr>
    </w:p>
    <w:p w14:paraId="7D0F5D9C">
      <w:pPr>
        <w:jc w:val="both"/>
        <w:rPr>
          <w:rFonts w:ascii="Times New Roman" w:hAnsi="Times New Roman"/>
          <w:b/>
          <w:bCs/>
          <w:sz w:val="28"/>
          <w:szCs w:val="28"/>
        </w:rPr>
      </w:pPr>
    </w:p>
    <w:p w14:paraId="4F102B43">
      <w:pPr>
        <w:jc w:val="both"/>
        <w:rPr>
          <w:rFonts w:ascii="Times New Roman" w:hAnsi="Times New Roman"/>
          <w:b/>
          <w:bCs/>
          <w:sz w:val="28"/>
          <w:szCs w:val="28"/>
        </w:rPr>
      </w:pPr>
    </w:p>
    <w:p w14:paraId="084DB392">
      <w:pPr>
        <w:jc w:val="both"/>
        <w:rPr>
          <w:rFonts w:ascii="Times New Roman" w:hAnsi="Times New Roman"/>
          <w:b/>
          <w:bCs/>
          <w:sz w:val="28"/>
          <w:szCs w:val="28"/>
        </w:rPr>
      </w:pPr>
    </w:p>
    <w:p w14:paraId="33FE13B9">
      <w:pPr>
        <w:jc w:val="both"/>
        <w:rPr>
          <w:rFonts w:ascii="Times New Roman" w:hAnsi="Times New Roman"/>
          <w:b/>
          <w:bCs/>
          <w:sz w:val="28"/>
          <w:szCs w:val="28"/>
        </w:rPr>
      </w:pPr>
    </w:p>
    <w:p w14:paraId="7611D842">
      <w:pPr>
        <w:jc w:val="both"/>
        <w:rPr>
          <w:rFonts w:ascii="Times New Roman" w:hAnsi="Times New Roman"/>
          <w:b/>
          <w:bCs/>
          <w:sz w:val="28"/>
          <w:szCs w:val="28"/>
        </w:rPr>
      </w:pPr>
    </w:p>
    <w:p w14:paraId="6FAF323A">
      <w:pPr>
        <w:spacing w:line="360" w:lineRule="auto"/>
        <w:rPr>
          <w:rFonts w:ascii="Times New Roman" w:hAnsi="Times New Roman" w:cs="Times New Roman"/>
          <w:b/>
          <w:bCs/>
          <w:sz w:val="28"/>
          <w:szCs w:val="28"/>
        </w:rPr>
      </w:pPr>
    </w:p>
    <w:p w14:paraId="00F32C7B">
      <w:pPr>
        <w:spacing w:line="360" w:lineRule="auto"/>
        <w:rPr>
          <w:rFonts w:ascii="Times New Roman" w:hAnsi="Times New Roman" w:cs="Times New Roman"/>
          <w:b/>
          <w:bCs/>
          <w:sz w:val="28"/>
          <w:szCs w:val="28"/>
        </w:rPr>
      </w:pPr>
    </w:p>
    <w:p w14:paraId="42936730">
      <w:pPr>
        <w:spacing w:line="360" w:lineRule="auto"/>
        <w:rPr>
          <w:rFonts w:ascii="Times New Roman" w:hAnsi="Times New Roman" w:cs="Times New Roman"/>
          <w:b/>
          <w:bCs/>
          <w:sz w:val="28"/>
          <w:szCs w:val="28"/>
        </w:rPr>
      </w:pPr>
    </w:p>
    <w:p w14:paraId="7BCB2F57">
      <w:pPr>
        <w:spacing w:line="360" w:lineRule="auto"/>
        <w:rPr>
          <w:rFonts w:ascii="Times New Roman" w:hAnsi="Times New Roman" w:cs="Times New Roman"/>
          <w:b/>
          <w:bCs/>
          <w:sz w:val="28"/>
          <w:szCs w:val="28"/>
        </w:rPr>
      </w:pPr>
    </w:p>
    <w:p w14:paraId="01779F6D">
      <w:pPr>
        <w:spacing w:line="360" w:lineRule="auto"/>
        <w:rPr>
          <w:rFonts w:ascii="Times New Roman" w:hAnsi="Times New Roman" w:cs="Times New Roman"/>
          <w:b/>
          <w:bCs/>
          <w:sz w:val="28"/>
          <w:szCs w:val="28"/>
        </w:rPr>
      </w:pPr>
    </w:p>
    <w:p w14:paraId="03F18D40">
      <w:pPr>
        <w:spacing w:line="360" w:lineRule="auto"/>
        <w:rPr>
          <w:rFonts w:ascii="Times New Roman" w:hAnsi="Times New Roman" w:cs="Times New Roman"/>
          <w:b/>
          <w:bCs/>
          <w:sz w:val="28"/>
          <w:szCs w:val="28"/>
        </w:rPr>
      </w:pPr>
    </w:p>
    <w:p w14:paraId="39C6783A">
      <w:pPr>
        <w:spacing w:line="360" w:lineRule="auto"/>
        <w:rPr>
          <w:rFonts w:ascii="Times New Roman" w:hAnsi="Times New Roman" w:cs="Times New Roman"/>
          <w:b/>
          <w:bCs/>
          <w:sz w:val="28"/>
          <w:szCs w:val="28"/>
        </w:rPr>
      </w:pPr>
    </w:p>
    <w:p w14:paraId="1E96164F">
      <w:pPr>
        <w:spacing w:line="360" w:lineRule="auto"/>
        <w:rPr>
          <w:rFonts w:ascii="Times New Roman" w:hAnsi="Times New Roman" w:cs="Times New Roman"/>
          <w:b/>
          <w:bCs/>
          <w:sz w:val="28"/>
          <w:szCs w:val="28"/>
        </w:rPr>
      </w:pPr>
    </w:p>
    <w:p w14:paraId="7C47BCDD">
      <w:pPr>
        <w:spacing w:line="360" w:lineRule="auto"/>
        <w:rPr>
          <w:rFonts w:ascii="Times New Roman" w:hAnsi="Times New Roman" w:cs="Times New Roman"/>
          <w:b/>
          <w:bCs/>
          <w:sz w:val="28"/>
          <w:szCs w:val="28"/>
        </w:rPr>
      </w:pPr>
    </w:p>
    <w:p w14:paraId="03207882">
      <w:pPr>
        <w:spacing w:line="360" w:lineRule="auto"/>
        <w:rPr>
          <w:rFonts w:ascii="Times New Roman" w:hAnsi="Times New Roman" w:cs="Times New Roman"/>
          <w:b/>
          <w:bCs/>
          <w:sz w:val="28"/>
          <w:szCs w:val="28"/>
        </w:rPr>
      </w:pPr>
    </w:p>
    <w:p w14:paraId="16993A8D">
      <w:pPr>
        <w:spacing w:line="360" w:lineRule="auto"/>
        <w:rPr>
          <w:rFonts w:ascii="Times New Roman" w:hAnsi="Times New Roman"/>
          <w:b/>
          <w:bCs/>
          <w:sz w:val="28"/>
          <w:szCs w:val="28"/>
        </w:rPr>
      </w:pPr>
      <w:r>
        <w:rPr>
          <w:rFonts w:ascii="Times New Roman" w:hAnsi="Times New Roman" w:cs="Times New Roman"/>
          <w:b/>
          <w:bCs/>
          <w:sz w:val="28"/>
          <w:szCs w:val="28"/>
        </w:rPr>
        <w:t>Supplementary figures</w:t>
      </w:r>
    </w:p>
    <w:p w14:paraId="5C99830F">
      <w:pPr>
        <w:rPr>
          <w:rFonts w:ascii="Times New Roman" w:hAnsi="Times New Roman" w:cs="Times New Roman"/>
          <w:b/>
          <w:bCs/>
          <w:sz w:val="24"/>
        </w:rPr>
      </w:pPr>
      <w:r>
        <w:drawing>
          <wp:inline distT="0" distB="0" distL="0" distR="0">
            <wp:extent cx="5274310" cy="3215005"/>
            <wp:effectExtent l="0" t="0" r="2540" b="4445"/>
            <wp:docPr id="1435691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91246"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215005"/>
                    </a:xfrm>
                    <a:prstGeom prst="rect">
                      <a:avLst/>
                    </a:prstGeom>
                    <a:noFill/>
                    <a:ln>
                      <a:noFill/>
                    </a:ln>
                  </pic:spPr>
                </pic:pic>
              </a:graphicData>
            </a:graphic>
          </wp:inline>
        </w:drawing>
      </w:r>
    </w:p>
    <w:p w14:paraId="75CEF083">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 xml:space="preserve">PRMT1 expression and functional validation in </w:t>
      </w:r>
      <w:r>
        <w:rPr>
          <w:rFonts w:hint="eastAsia" w:ascii="Times New Roman" w:hAnsi="Times New Roman" w:eastAsia="宋体" w:cs="Times New Roman"/>
          <w:b/>
          <w:bCs/>
          <w:sz w:val="24"/>
          <w:szCs w:val="24"/>
        </w:rPr>
        <w:t>GSCs.</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Western blotting analysis of PRMT1 expression in normal human astrocytes (NHA) and glioma stem cell lines (GSC267, GSC91, GSC23, GSC11, and GSC464).</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B</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Western blotting analysis of PRMT1 and H4R3me2a levels in GSC23 and GSC11 cells treated with the PRMT1 inhibitor AMI-1.</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C</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Quantification of neurosphere size in GSC23 and GSC11 cells following PRMT1 knockdown (</w:t>
      </w:r>
      <w:r>
        <w:rPr>
          <w:rFonts w:ascii="Times New Roman" w:hAnsi="Times New Roman" w:eastAsia="宋体" w:cs="Times New Roman"/>
          <w:b/>
          <w:bCs/>
          <w:sz w:val="24"/>
          <w:szCs w:val="24"/>
        </w:rPr>
        <w:t>C</w:t>
      </w:r>
      <w:r>
        <w:rPr>
          <w:rFonts w:ascii="Times New Roman" w:hAnsi="Times New Roman" w:eastAsia="宋体" w:cs="Times New Roman"/>
          <w:sz w:val="24"/>
          <w:szCs w:val="24"/>
        </w:rPr>
        <w:t xml:space="preserve">) and in GSC464 cells </w:t>
      </w:r>
      <w:r>
        <w:rPr>
          <w:rFonts w:ascii="Times New Roman" w:hAnsi="Times New Roman" w:eastAsia="宋体" w:cs="Times New Roman"/>
          <w:bCs/>
          <w:sz w:val="24"/>
          <w:szCs w:val="24"/>
        </w:rPr>
        <w:t>following overexpression of PRMT1-WT or PRMT1-G80R</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D</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Quantification of extreme limiting dilution analysis (ELDA) showing sphere-forming frequency in GSC23 and GSC11 cells following PRMT1 knockdown and in GSC464 cells following </w:t>
      </w:r>
      <w:r>
        <w:rPr>
          <w:rFonts w:ascii="Times New Roman" w:hAnsi="Times New Roman" w:eastAsia="宋体" w:cs="Times New Roman"/>
          <w:bCs/>
          <w:sz w:val="24"/>
          <w:szCs w:val="24"/>
        </w:rPr>
        <w:t>overexpression of PRMT1-WT or PRMT1-G80R</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F</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G</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Quantification of EdU-positive cells in GSC23 and GSC11 cells following PRMT1 knockdown (</w:t>
      </w:r>
      <w:r>
        <w:rPr>
          <w:rFonts w:ascii="Times New Roman" w:hAnsi="Times New Roman" w:eastAsia="宋体" w:cs="Times New Roman"/>
          <w:b/>
          <w:bCs/>
          <w:sz w:val="24"/>
          <w:szCs w:val="24"/>
        </w:rPr>
        <w:t>F</w:t>
      </w:r>
      <w:r>
        <w:rPr>
          <w:rFonts w:ascii="Times New Roman" w:hAnsi="Times New Roman" w:eastAsia="宋体" w:cs="Times New Roman"/>
          <w:sz w:val="24"/>
          <w:szCs w:val="24"/>
        </w:rPr>
        <w:t xml:space="preserve">) and in GSC464 cells following </w:t>
      </w:r>
      <w:r>
        <w:rPr>
          <w:rFonts w:ascii="Times New Roman" w:hAnsi="Times New Roman" w:eastAsia="宋体" w:cs="Times New Roman"/>
          <w:bCs/>
          <w:sz w:val="24"/>
          <w:szCs w:val="24"/>
        </w:rPr>
        <w:t>overexpression of PRMT1-WT or PRMT1-G80R</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G</w:t>
      </w:r>
      <w:r>
        <w:rPr>
          <w:rFonts w:ascii="Times New Roman" w:hAnsi="Times New Roman" w:eastAsia="宋体" w:cs="Times New Roman"/>
          <w:sz w:val="24"/>
          <w:szCs w:val="24"/>
        </w:rPr>
        <w:t>).</w:t>
      </w:r>
      <w:r>
        <w:rPr>
          <w:rFonts w:hint="eastAsia" w:ascii="Times New Roman" w:hAnsi="Times New Roman" w:eastAsia="宋体" w:cs="Times New Roman"/>
          <w:b/>
          <w:bCs/>
          <w:sz w:val="24"/>
          <w:szCs w:val="24"/>
        </w:rPr>
        <w:t xml:space="preserve"> </w:t>
      </w:r>
      <w:r>
        <w:rPr>
          <w:rFonts w:ascii="Times New Roman" w:hAnsi="Times New Roman" w:eastAsia="宋体" w:cs="Times New Roman"/>
          <w:sz w:val="24"/>
          <w:szCs w:val="24"/>
        </w:rPr>
        <w:t>*P &lt; 0.05, **P &lt; 0.01, ***P &lt; 0.001, ****P &lt; 0.0001</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n.s, not significant.</w:t>
      </w:r>
    </w:p>
    <w:p w14:paraId="07D95B57">
      <w:pPr>
        <w:rPr>
          <w:rFonts w:ascii="Times New Roman" w:hAnsi="Times New Roman" w:cs="Times New Roman"/>
          <w:b/>
          <w:bCs/>
          <w:sz w:val="24"/>
        </w:rPr>
      </w:pPr>
      <w:r>
        <w:drawing>
          <wp:inline distT="0" distB="0" distL="0" distR="0">
            <wp:extent cx="5274310" cy="2444750"/>
            <wp:effectExtent l="0" t="0" r="2540" b="0"/>
            <wp:docPr id="2290279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7914"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444750"/>
                    </a:xfrm>
                    <a:prstGeom prst="rect">
                      <a:avLst/>
                    </a:prstGeom>
                    <a:noFill/>
                    <a:ln>
                      <a:noFill/>
                    </a:ln>
                  </pic:spPr>
                </pic:pic>
              </a:graphicData>
            </a:graphic>
          </wp:inline>
        </w:drawing>
      </w:r>
    </w:p>
    <w:p w14:paraId="5A2828E1">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 xml:space="preserve">PRMT1 </w:t>
      </w:r>
      <w:r>
        <w:rPr>
          <w:rFonts w:hint="eastAsia" w:ascii="Times New Roman" w:hAnsi="Times New Roman" w:eastAsia="宋体" w:cs="Times New Roman"/>
          <w:b/>
          <w:bCs/>
          <w:sz w:val="24"/>
          <w:szCs w:val="24"/>
        </w:rPr>
        <w:t>promotes</w:t>
      </w:r>
      <w:r>
        <w:rPr>
          <w:rFonts w:ascii="Times New Roman" w:hAnsi="Times New Roman" w:eastAsia="宋体" w:cs="Times New Roman"/>
          <w:b/>
          <w:bCs/>
          <w:sz w:val="24"/>
          <w:szCs w:val="24"/>
        </w:rPr>
        <w:t xml:space="preserve"> YBX1 phosphorylation</w:t>
      </w:r>
      <w:r>
        <w:rPr>
          <w:rFonts w:hint="eastAsia" w:ascii="Times New Roman" w:hAnsi="Times New Roman" w:eastAsia="宋体" w:cs="Times New Roman"/>
          <w:b/>
          <w:bCs/>
          <w:sz w:val="24"/>
          <w:szCs w:val="24"/>
        </w:rPr>
        <w:t xml:space="preserve"> in GSCs</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qPCR analysis of </w:t>
      </w:r>
      <w:r>
        <w:rPr>
          <w:rFonts w:hint="eastAsia" w:ascii="Times New Roman" w:hAnsi="Times New Roman" w:eastAsia="宋体" w:cs="Times New Roman"/>
          <w:sz w:val="24"/>
          <w:szCs w:val="24"/>
        </w:rPr>
        <w:t xml:space="preserve">PRMT1 and </w:t>
      </w:r>
      <w:r>
        <w:rPr>
          <w:rFonts w:ascii="Times New Roman" w:hAnsi="Times New Roman" w:eastAsia="宋体" w:cs="Times New Roman"/>
          <w:sz w:val="24"/>
          <w:szCs w:val="24"/>
        </w:rPr>
        <w:t xml:space="preserve">YBX1 expression in GSC23 and GSC11 cells treated with AMI-1.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B</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Western blotting analysis of total YBX1 and phospho-YBX1 (Ser102) in GSC23 and GSC11 cells treated with AMI-1.</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C</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qPCR (</w:t>
      </w:r>
      <w:r>
        <w:rPr>
          <w:rFonts w:ascii="Times New Roman" w:hAnsi="Times New Roman" w:eastAsia="宋体" w:cs="Times New Roman"/>
          <w:b/>
          <w:bCs/>
          <w:sz w:val="24"/>
          <w:szCs w:val="24"/>
        </w:rPr>
        <w:t>C</w:t>
      </w:r>
      <w:r>
        <w:rPr>
          <w:rFonts w:ascii="Times New Roman" w:hAnsi="Times New Roman" w:eastAsia="宋体" w:cs="Times New Roman"/>
          <w:sz w:val="24"/>
          <w:szCs w:val="24"/>
        </w:rPr>
        <w:t>) and immunoblot (</w:t>
      </w:r>
      <w:r>
        <w:rPr>
          <w:rFonts w:ascii="Times New Roman" w:hAnsi="Times New Roman" w:eastAsia="宋体" w:cs="Times New Roman"/>
          <w:b/>
          <w:bCs/>
          <w:sz w:val="24"/>
          <w:szCs w:val="24"/>
        </w:rPr>
        <w:t>D</w:t>
      </w:r>
      <w:r>
        <w:rPr>
          <w:rFonts w:ascii="Times New Roman" w:hAnsi="Times New Roman" w:eastAsia="宋体" w:cs="Times New Roman"/>
          <w:sz w:val="24"/>
          <w:szCs w:val="24"/>
        </w:rPr>
        <w:t xml:space="preserve">) analyses of YBX1 and PRMT1 expression in GSC23 and GSC11 cells following YBX1 knockdown.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E</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F</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qPCR (</w:t>
      </w:r>
      <w:r>
        <w:rPr>
          <w:rFonts w:ascii="Times New Roman" w:hAnsi="Times New Roman" w:eastAsia="宋体" w:cs="Times New Roman"/>
          <w:b/>
          <w:bCs/>
          <w:sz w:val="24"/>
          <w:szCs w:val="24"/>
        </w:rPr>
        <w:t>E</w:t>
      </w:r>
      <w:r>
        <w:rPr>
          <w:rFonts w:ascii="Times New Roman" w:hAnsi="Times New Roman" w:eastAsia="宋体" w:cs="Times New Roman"/>
          <w:sz w:val="24"/>
          <w:szCs w:val="24"/>
        </w:rPr>
        <w:t>) and immunoblot (</w:t>
      </w:r>
      <w:r>
        <w:rPr>
          <w:rFonts w:ascii="Times New Roman" w:hAnsi="Times New Roman" w:eastAsia="宋体" w:cs="Times New Roman"/>
          <w:b/>
          <w:bCs/>
          <w:sz w:val="24"/>
          <w:szCs w:val="24"/>
        </w:rPr>
        <w:t>F</w:t>
      </w:r>
      <w:r>
        <w:rPr>
          <w:rFonts w:ascii="Times New Roman" w:hAnsi="Times New Roman" w:eastAsia="宋体" w:cs="Times New Roman"/>
          <w:sz w:val="24"/>
          <w:szCs w:val="24"/>
        </w:rPr>
        <w:t>) analyses of YBX1 and PRMT1 expression in GSC464 cells following YBX1 overexpression.</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****P &lt; 0.0001; n.s</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not significant.</w:t>
      </w:r>
    </w:p>
    <w:p w14:paraId="4D5A6746">
      <w:pPr>
        <w:rPr>
          <w:rFonts w:ascii="Times New Roman" w:hAnsi="Times New Roman" w:cs="Times New Roman"/>
          <w:b/>
          <w:bCs/>
          <w:sz w:val="24"/>
        </w:rPr>
      </w:pPr>
      <w:r>
        <w:drawing>
          <wp:inline distT="0" distB="0" distL="0" distR="0">
            <wp:extent cx="5274310" cy="1923415"/>
            <wp:effectExtent l="0" t="0" r="2540" b="635"/>
            <wp:docPr id="9308425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42567"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923415"/>
                    </a:xfrm>
                    <a:prstGeom prst="rect">
                      <a:avLst/>
                    </a:prstGeom>
                    <a:noFill/>
                    <a:ln>
                      <a:noFill/>
                    </a:ln>
                  </pic:spPr>
                </pic:pic>
              </a:graphicData>
            </a:graphic>
          </wp:inline>
        </w:drawing>
      </w:r>
    </w:p>
    <w:p w14:paraId="25EC0872">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3</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PRMT1 depletion alters YBX1 subcellular localization in GSCs.</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Representative immunofluorescence images showing YBX1 (red) localization in GSC11 cells following PRMT1 knockdown. Nuclei were counterstained with DAPI (blue). Scale bars, 5</w:t>
      </w:r>
      <w:r>
        <w:rPr>
          <w:rFonts w:hint="eastAsia" w:ascii="Times New Roman" w:hAnsi="Times New Roman" w:eastAsia="宋体" w:cs="Times New Roman"/>
          <w:sz w:val="24"/>
          <w:szCs w:val="24"/>
        </w:rPr>
        <w:t>00</w:t>
      </w:r>
      <w:r>
        <w:rPr>
          <w:rFonts w:ascii="Times New Roman" w:hAnsi="Times New Roman" w:eastAsia="宋体" w:cs="Times New Roman"/>
          <w:sz w:val="24"/>
          <w:szCs w:val="24"/>
        </w:rPr>
        <w:t xml:space="preserve"> μm.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B</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Immunoblot analysis of YBX1 in cytoplasmic and nuclear fractions of GSC11 cells following PRMT1 knockdown. GAPDH and Lamin B1 served as cytoplasmic and nuclear fraction controls, respectively.</w:t>
      </w:r>
    </w:p>
    <w:p w14:paraId="2ED961A1">
      <w:pPr>
        <w:rPr>
          <w:rFonts w:ascii="Times New Roman" w:hAnsi="Times New Roman" w:cs="Times New Roman"/>
          <w:b/>
          <w:bCs/>
          <w:sz w:val="24"/>
        </w:rPr>
      </w:pPr>
      <w:r>
        <w:drawing>
          <wp:inline distT="0" distB="0" distL="0" distR="0">
            <wp:extent cx="5274310" cy="7456805"/>
            <wp:effectExtent l="0" t="0" r="2540" b="0"/>
            <wp:docPr id="3605162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6228"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456805"/>
                    </a:xfrm>
                    <a:prstGeom prst="rect">
                      <a:avLst/>
                    </a:prstGeom>
                    <a:noFill/>
                    <a:ln>
                      <a:noFill/>
                    </a:ln>
                  </pic:spPr>
                </pic:pic>
              </a:graphicData>
            </a:graphic>
          </wp:inline>
        </w:drawing>
      </w:r>
    </w:p>
    <w:p w14:paraId="3A36A9F5">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PRMT1 mediates YBX1 Arg69 methylation</w:t>
      </w:r>
      <w:r>
        <w:rPr>
          <w:rFonts w:hint="eastAsia" w:ascii="Times New Roman" w:hAnsi="Times New Roman" w:eastAsia="宋体" w:cs="Times New Roman"/>
          <w:b/>
          <w:bCs/>
          <w:sz w:val="24"/>
          <w:szCs w:val="24"/>
        </w:rPr>
        <w:t xml:space="preserve"> in GSCs.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Co-IP assays in GSC23 and GSC11 cells treated with AMI-1 or AdOx, using an anti-YBX1 antibody, followed by immunoblotting with anti-aDMA and anti-YBX1 antibodies.</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B</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C</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Co-IP and methylation analysis of exogenous PRMT1 and YBX1 in HEK293T cells co-transfected with F</w:t>
      </w:r>
      <w:r>
        <w:rPr>
          <w:rFonts w:hint="eastAsia" w:ascii="Times New Roman" w:hAnsi="Times New Roman" w:eastAsia="宋体" w:cs="Times New Roman"/>
          <w:sz w:val="24"/>
          <w:szCs w:val="24"/>
        </w:rPr>
        <w:t>LAG</w:t>
      </w:r>
      <w:r>
        <w:rPr>
          <w:rFonts w:ascii="Times New Roman" w:hAnsi="Times New Roman" w:eastAsia="宋体" w:cs="Times New Roman"/>
          <w:sz w:val="24"/>
          <w:szCs w:val="24"/>
        </w:rPr>
        <w:t>-tagged PRMT1 and HA-tagged YBX1. Reciprocal immunoprecipitation was performed using anti-</w:t>
      </w:r>
      <w:r>
        <w:rPr>
          <w:rFonts w:hint="eastAsia" w:ascii="Times New Roman" w:hAnsi="Times New Roman" w:eastAsia="宋体" w:cs="Times New Roman"/>
          <w:sz w:val="24"/>
          <w:szCs w:val="24"/>
        </w:rPr>
        <w:t>HA</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B</w:t>
      </w:r>
      <w:r>
        <w:rPr>
          <w:rFonts w:ascii="Times New Roman" w:hAnsi="Times New Roman" w:eastAsia="宋体" w:cs="Times New Roman"/>
          <w:sz w:val="24"/>
          <w:szCs w:val="24"/>
        </w:rPr>
        <w:t>) or anti-</w:t>
      </w:r>
      <w:r>
        <w:rPr>
          <w:rFonts w:hint="eastAsia" w:ascii="Times New Roman" w:hAnsi="Times New Roman" w:eastAsia="宋体" w:cs="Times New Roman"/>
          <w:sz w:val="24"/>
          <w:szCs w:val="24"/>
        </w:rPr>
        <w:t>FLAG</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C</w:t>
      </w:r>
      <w:r>
        <w:rPr>
          <w:rFonts w:ascii="Times New Roman" w:hAnsi="Times New Roman" w:eastAsia="宋体" w:cs="Times New Roman"/>
          <w:sz w:val="24"/>
          <w:szCs w:val="24"/>
        </w:rPr>
        <w:t>) magnetic beads, followed by immunoblot analysis.</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Co-IP and methylation analysis in GSC464 cells following PRMT1 overexpression using an anti-YBX1 antibody, followed by immunoblotting with anti-aDMA and anti-YBX1 antibodies.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Co-IP and methylation analysis in HEK293T cells co-transfected with HA-tagged YBX1 and either wild-type or mutant F</w:t>
      </w:r>
      <w:r>
        <w:rPr>
          <w:rFonts w:hint="eastAsia" w:ascii="Times New Roman" w:hAnsi="Times New Roman" w:eastAsia="宋体" w:cs="Times New Roman"/>
          <w:sz w:val="24"/>
          <w:szCs w:val="24"/>
        </w:rPr>
        <w:t>LAG</w:t>
      </w:r>
      <w:r>
        <w:rPr>
          <w:rFonts w:ascii="Times New Roman" w:hAnsi="Times New Roman" w:eastAsia="宋体" w:cs="Times New Roman"/>
          <w:sz w:val="24"/>
          <w:szCs w:val="24"/>
        </w:rPr>
        <w:t>-tagged PRMT1 (PRMT1-WT or PRMT1-G80R), followed by anti-HA immunoprecipitation and immunoblot analysis.</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F</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Protein sequence alignment of the YBX1 cold-shock domain (CSD) from the indicated species showing conservation of Arg69, together with a schematic of the R69K point mutant generated for functional analysis.</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G</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Co-IP assay in GSC23 cells co-transfected with F</w:t>
      </w:r>
      <w:r>
        <w:rPr>
          <w:rFonts w:hint="eastAsia" w:ascii="Times New Roman" w:hAnsi="Times New Roman" w:eastAsia="宋体" w:cs="Times New Roman"/>
          <w:sz w:val="24"/>
          <w:szCs w:val="24"/>
        </w:rPr>
        <w:t>LAG</w:t>
      </w:r>
      <w:r>
        <w:rPr>
          <w:rFonts w:ascii="Times New Roman" w:hAnsi="Times New Roman" w:eastAsia="宋体" w:cs="Times New Roman"/>
          <w:sz w:val="24"/>
          <w:szCs w:val="24"/>
        </w:rPr>
        <w:t>-tagged PRMT1 and HA-tagged full-length or CSD-deletion YBX1 constructs. PRMT1 complexes were immunoprecipitated with anti-FLAG beads and analyzed by immunoblotting with an anti-HA antibody.</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H</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I</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Endogenous YBX1 was immunoprecipitated from GSC11 (</w:t>
      </w:r>
      <w:r>
        <w:rPr>
          <w:rFonts w:ascii="Times New Roman" w:hAnsi="Times New Roman" w:eastAsia="宋体" w:cs="Times New Roman"/>
          <w:b/>
          <w:bCs/>
          <w:sz w:val="24"/>
          <w:szCs w:val="24"/>
        </w:rPr>
        <w:t>H</w:t>
      </w:r>
      <w:r>
        <w:rPr>
          <w:rFonts w:ascii="Times New Roman" w:hAnsi="Times New Roman" w:eastAsia="宋体" w:cs="Times New Roman"/>
          <w:sz w:val="24"/>
          <w:szCs w:val="24"/>
        </w:rPr>
        <w:t>) and HEK293T (</w:t>
      </w:r>
      <w:r>
        <w:rPr>
          <w:rFonts w:ascii="Times New Roman" w:hAnsi="Times New Roman" w:eastAsia="宋体" w:cs="Times New Roman"/>
          <w:b/>
          <w:bCs/>
          <w:sz w:val="24"/>
          <w:szCs w:val="24"/>
        </w:rPr>
        <w:t>I</w:t>
      </w:r>
      <w:r>
        <w:rPr>
          <w:rFonts w:ascii="Times New Roman" w:hAnsi="Times New Roman" w:eastAsia="宋体" w:cs="Times New Roman"/>
          <w:sz w:val="24"/>
          <w:szCs w:val="24"/>
        </w:rPr>
        <w:t xml:space="preserve">) cells treated with AMI-1 or AdOx, followed by immunoblot analysis of aDMA and YBX1-R69me2a.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J</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HEK293T cells expressing HA-tagged YBX1-R69K were treated with or without AdOx, followed by anti-HA immunoprecipitation and immunoblot analysis of aDMA and YBX1-R69 methylation.</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K</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HEK293T cells expressing HA-tagged YBX1-WT or YBX1-R69K were subjected to PRMT1 knockdown or control treatment, followed by anti-HA immunoprecipitation and immunoblot analysis of aDMA and YBX1-R69 methylation.</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L</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GSC11 cells with stable PRMT1 knockdown were reconstituted with ectopic PRMT1 or vector control. Endogenous YBX1 was immunoprecipitated with an anti-YBX1 antibody, and aDMA and YBX1-R69 methylation levels were analyzed by immunoblotting.</w:t>
      </w:r>
    </w:p>
    <w:p w14:paraId="439EC637">
      <w:pPr>
        <w:rPr>
          <w:rFonts w:ascii="Times New Roman" w:hAnsi="Times New Roman" w:cs="Times New Roman"/>
          <w:b/>
          <w:bCs/>
          <w:sz w:val="24"/>
        </w:rPr>
      </w:pPr>
      <w:r>
        <w:drawing>
          <wp:inline distT="0" distB="0" distL="0" distR="0">
            <wp:extent cx="5274310" cy="5467350"/>
            <wp:effectExtent l="0" t="0" r="2540" b="0"/>
            <wp:docPr id="8796861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86174"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5467350"/>
                    </a:xfrm>
                    <a:prstGeom prst="rect">
                      <a:avLst/>
                    </a:prstGeom>
                    <a:noFill/>
                    <a:ln>
                      <a:noFill/>
                    </a:ln>
                  </pic:spPr>
                </pic:pic>
              </a:graphicData>
            </a:graphic>
          </wp:inline>
        </w:drawing>
      </w:r>
    </w:p>
    <w:p w14:paraId="6D14E8F2">
      <w:pPr>
        <w:spacing w:line="360" w:lineRule="auto"/>
        <w:rPr>
          <w:rFonts w:ascii="Times New Roman" w:hAnsi="Times New Roman" w:eastAsia="黑体" w:cs="Times New Roman"/>
          <w:bCs/>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5</w:t>
      </w:r>
      <w:r>
        <w:rPr>
          <w:rFonts w:hint="eastAsia" w:ascii="Times New Roman" w:hAnsi="Times New Roman" w:eastAsia="宋体" w:cs="Times New Roman"/>
          <w:b/>
          <w:bCs/>
          <w:sz w:val="24"/>
          <w:szCs w:val="24"/>
          <w:lang w:val="en-US" w:eastAsia="zh-CN"/>
        </w:rPr>
        <w:t xml:space="preserve"> </w:t>
      </w:r>
      <w:r>
        <w:rPr>
          <w:rFonts w:ascii="Times New Roman" w:hAnsi="Times New Roman" w:eastAsia="黑体" w:cs="Times New Roman"/>
          <w:b/>
          <w:bCs w:val="0"/>
          <w:sz w:val="24"/>
          <w:szCs w:val="24"/>
        </w:rPr>
        <w:t>PRMT1-mediated YBX1 methylation at R69 is indispensable for GSC proliferation and self-renewal</w:t>
      </w:r>
      <w:r>
        <w:rPr>
          <w:rFonts w:hint="eastAsia" w:ascii="Times New Roman" w:hAnsi="Times New Roman" w:eastAsia="黑体" w:cs="Times New Roman"/>
          <w:b/>
          <w:bCs w:val="0"/>
          <w:sz w:val="24"/>
          <w:szCs w:val="24"/>
        </w:rPr>
        <w:t>.</w:t>
      </w:r>
      <w:r>
        <w:rPr>
          <w:rFonts w:hint="eastAsia" w:ascii="Times New Roman" w:hAnsi="Times New Roman" w:eastAsia="黑体" w:cs="Times New Roman"/>
          <w:bCs/>
          <w:sz w:val="24"/>
          <w:szCs w:val="24"/>
        </w:rPr>
        <w:t xml:space="preserve"> </w:t>
      </w:r>
      <w:r>
        <w:rPr>
          <w:rFonts w:hint="eastAsia" w:ascii="Times New Roman" w:hAnsi="Times New Roman" w:eastAsia="黑体" w:cs="Times New Roman"/>
          <w:bCs/>
          <w:sz w:val="24"/>
          <w:szCs w:val="24"/>
          <w:lang w:val="en-US" w:eastAsia="zh-CN"/>
        </w:rPr>
        <w:t>(</w:t>
      </w:r>
      <w:r>
        <w:rPr>
          <w:rFonts w:ascii="Times New Roman" w:hAnsi="Times New Roman" w:eastAsia="宋体" w:cs="Times New Roman"/>
          <w:b/>
          <w:bCs w:val="0"/>
          <w:sz w:val="24"/>
          <w:szCs w:val="24"/>
        </w:rPr>
        <w:t>A</w:t>
      </w:r>
      <w:r>
        <w:rPr>
          <w:rFonts w:hint="eastAsia" w:ascii="Times New Roman" w:hAnsi="Times New Roman" w:eastAsia="宋体" w:cs="Times New Roman"/>
          <w:bCs/>
          <w:sz w:val="24"/>
          <w:szCs w:val="24"/>
        </w:rPr>
        <w:t>)</w:t>
      </w:r>
      <w:r>
        <w:rPr>
          <w:rFonts w:ascii="Times New Roman" w:hAnsi="Times New Roman" w:eastAsia="宋体" w:cs="Times New Roman"/>
          <w:sz w:val="24"/>
          <w:szCs w:val="24"/>
        </w:rPr>
        <w:t xml:space="preserve"> CCK-8 assay showing proliferation of GSC11 cells with YBX1 knockout (YBX1-KO) reconstituted with vector control, YBX1-WT, or YBX1-R69K.</w:t>
      </w:r>
      <w:r>
        <w:rPr>
          <w:rFonts w:hint="eastAsia" w:ascii="Times New Roman" w:hAnsi="Times New Roman" w:eastAsia="黑体" w:cs="Times New Roman"/>
          <w:bCs/>
          <w:sz w:val="24"/>
          <w:szCs w:val="24"/>
        </w:rPr>
        <w:t xml:space="preserve"> </w:t>
      </w:r>
      <w:r>
        <w:rPr>
          <w:rFonts w:hint="eastAsia" w:ascii="Times New Roman" w:hAnsi="Times New Roman" w:eastAsia="黑体" w:cs="Times New Roman"/>
          <w:bCs/>
          <w:sz w:val="24"/>
          <w:szCs w:val="24"/>
          <w:lang w:val="en-US" w:eastAsia="zh-CN"/>
        </w:rPr>
        <w:t>(</w:t>
      </w:r>
      <w:r>
        <w:rPr>
          <w:rFonts w:ascii="Times New Roman" w:hAnsi="Times New Roman" w:eastAsia="宋体" w:cs="Times New Roman"/>
          <w:b/>
          <w:bCs w:val="0"/>
          <w:sz w:val="24"/>
          <w:szCs w:val="24"/>
        </w:rPr>
        <w:t>B</w:t>
      </w:r>
      <w:r>
        <w:rPr>
          <w:rFonts w:hint="eastAsia" w:ascii="Times New Roman" w:hAnsi="Times New Roman" w:eastAsia="宋体" w:cs="Times New Roman"/>
          <w:bCs/>
          <w:sz w:val="24"/>
          <w:szCs w:val="24"/>
          <w:lang w:val="en-US" w:eastAsia="zh-CN"/>
        </w:rPr>
        <w:t xml:space="preserve">, </w:t>
      </w:r>
      <w:r>
        <w:rPr>
          <w:rFonts w:ascii="Times New Roman" w:hAnsi="Times New Roman" w:eastAsia="宋体" w:cs="Times New Roman"/>
          <w:b/>
          <w:bCs w:val="0"/>
          <w:sz w:val="24"/>
          <w:szCs w:val="24"/>
        </w:rPr>
        <w:t>C</w:t>
      </w:r>
      <w:r>
        <w:rPr>
          <w:rFonts w:hint="eastAsia" w:ascii="Times New Roman" w:hAnsi="Times New Roman" w:eastAsia="宋体" w:cs="Times New Roman"/>
          <w:bCs/>
          <w:sz w:val="24"/>
          <w:szCs w:val="24"/>
        </w:rPr>
        <w:t>)</w:t>
      </w:r>
      <w:r>
        <w:rPr>
          <w:rFonts w:ascii="Times New Roman" w:hAnsi="Times New Roman" w:eastAsia="宋体" w:cs="Times New Roman"/>
          <w:sz w:val="24"/>
          <w:szCs w:val="24"/>
        </w:rPr>
        <w:t xml:space="preserve"> ELDA of sphere-forming frequency in GSC11 cells reconstituted with vector control, YBX1-WT, or YBX1-R69K following YBX1 knockout (</w:t>
      </w:r>
      <w:r>
        <w:rPr>
          <w:rFonts w:ascii="Times New Roman" w:hAnsi="Times New Roman" w:eastAsia="宋体" w:cs="Times New Roman"/>
          <w:b/>
          <w:bCs w:val="0"/>
          <w:sz w:val="24"/>
          <w:szCs w:val="24"/>
        </w:rPr>
        <w:t>B</w:t>
      </w:r>
      <w:r>
        <w:rPr>
          <w:rFonts w:ascii="Times New Roman" w:hAnsi="Times New Roman" w:eastAsia="宋体" w:cs="Times New Roman"/>
          <w:sz w:val="24"/>
          <w:szCs w:val="24"/>
        </w:rPr>
        <w:t>), and quantitative analysis of sphere-forming frequency in GSC23 and GSC11 cells under the same conditions (</w:t>
      </w:r>
      <w:r>
        <w:rPr>
          <w:rFonts w:ascii="Times New Roman" w:hAnsi="Times New Roman" w:eastAsia="宋体" w:cs="Times New Roman"/>
          <w:b/>
          <w:bCs w:val="0"/>
          <w:sz w:val="24"/>
          <w:szCs w:val="24"/>
        </w:rPr>
        <w:t>C</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hint="eastAsia" w:ascii="Times New Roman" w:hAnsi="Times New Roman" w:eastAsia="黑体" w:cs="Times New Roman"/>
          <w:bCs/>
          <w:sz w:val="24"/>
          <w:szCs w:val="24"/>
        </w:rPr>
        <w:t xml:space="preserve"> </w:t>
      </w:r>
      <w:r>
        <w:rPr>
          <w:rFonts w:hint="eastAsia" w:ascii="Times New Roman" w:hAnsi="Times New Roman" w:eastAsia="黑体" w:cs="Times New Roman"/>
          <w:bCs/>
          <w:sz w:val="24"/>
          <w:szCs w:val="24"/>
          <w:lang w:val="en-US" w:eastAsia="zh-CN"/>
        </w:rPr>
        <w:t>(</w:t>
      </w:r>
      <w:r>
        <w:rPr>
          <w:rFonts w:ascii="Times New Roman" w:hAnsi="Times New Roman" w:eastAsia="宋体" w:cs="Times New Roman"/>
          <w:b/>
          <w:bCs w:val="0"/>
          <w:sz w:val="24"/>
          <w:szCs w:val="24"/>
        </w:rPr>
        <w:t>D</w:t>
      </w:r>
      <w:r>
        <w:rPr>
          <w:rFonts w:hint="eastAsia" w:ascii="Times New Roman" w:hAnsi="Times New Roman" w:eastAsia="宋体" w:cs="Times New Roman"/>
          <w:bCs/>
          <w:sz w:val="24"/>
          <w:szCs w:val="24"/>
          <w:lang w:val="en-US" w:eastAsia="zh-CN"/>
        </w:rPr>
        <w:t xml:space="preserve">, </w:t>
      </w:r>
      <w:r>
        <w:rPr>
          <w:rFonts w:ascii="Times New Roman" w:hAnsi="Times New Roman" w:eastAsia="宋体" w:cs="Times New Roman"/>
          <w:b/>
          <w:bCs w:val="0"/>
          <w:sz w:val="24"/>
          <w:szCs w:val="24"/>
        </w:rPr>
        <w:t>E</w:t>
      </w:r>
      <w:r>
        <w:rPr>
          <w:rFonts w:hint="eastAsia" w:ascii="Times New Roman" w:hAnsi="Times New Roman" w:eastAsia="宋体" w:cs="Times New Roman"/>
          <w:bCs/>
          <w:sz w:val="24"/>
          <w:szCs w:val="24"/>
        </w:rPr>
        <w:t>)</w:t>
      </w:r>
      <w:r>
        <w:rPr>
          <w:rFonts w:ascii="Times New Roman" w:hAnsi="Times New Roman" w:eastAsia="宋体" w:cs="Times New Roman"/>
          <w:sz w:val="24"/>
          <w:szCs w:val="24"/>
        </w:rPr>
        <w:t xml:space="preserve"> GSC23 and GSC11 cells were treated with peptides (20 μM, 48 h). Lysates were subjected to immunoprecipitation with anti-PRMT1 (</w:t>
      </w:r>
      <w:r>
        <w:rPr>
          <w:rFonts w:ascii="Times New Roman" w:hAnsi="Times New Roman" w:eastAsia="宋体" w:cs="Times New Roman"/>
          <w:b/>
          <w:bCs/>
          <w:sz w:val="24"/>
          <w:szCs w:val="24"/>
        </w:rPr>
        <w:t>D</w:t>
      </w:r>
      <w:r>
        <w:rPr>
          <w:rFonts w:ascii="Times New Roman" w:hAnsi="Times New Roman" w:eastAsia="宋体" w:cs="Times New Roman"/>
          <w:sz w:val="24"/>
          <w:szCs w:val="24"/>
        </w:rPr>
        <w:t>) or anti-YBX1 (</w:t>
      </w:r>
      <w:r>
        <w:rPr>
          <w:rFonts w:ascii="Times New Roman" w:hAnsi="Times New Roman" w:eastAsia="宋体" w:cs="Times New Roman"/>
          <w:b/>
          <w:bCs/>
          <w:sz w:val="24"/>
          <w:szCs w:val="24"/>
        </w:rPr>
        <w:t>E</w:t>
      </w:r>
      <w:r>
        <w:rPr>
          <w:rFonts w:ascii="Times New Roman" w:hAnsi="Times New Roman" w:eastAsia="宋体" w:cs="Times New Roman"/>
          <w:sz w:val="24"/>
          <w:szCs w:val="24"/>
        </w:rPr>
        <w:t>) antibodies, followed by immunoblot analysis of YBX1 or PRMT1 using the indicated antibodies.</w:t>
      </w:r>
      <w:r>
        <w:rPr>
          <w:rFonts w:hint="eastAsia" w:ascii="Times New Roman" w:hAnsi="Times New Roman" w:eastAsia="黑体" w:cs="Times New Roman"/>
          <w:bCs/>
          <w:sz w:val="24"/>
          <w:szCs w:val="24"/>
        </w:rPr>
        <w:t xml:space="preserve"> </w:t>
      </w:r>
      <w:r>
        <w:rPr>
          <w:rFonts w:hint="eastAsia" w:ascii="Times New Roman" w:hAnsi="Times New Roman" w:eastAsia="黑体" w:cs="Times New Roman"/>
          <w:bCs/>
          <w:sz w:val="24"/>
          <w:szCs w:val="24"/>
          <w:lang w:val="en-US" w:eastAsia="zh-CN"/>
        </w:rPr>
        <w:t>(</w:t>
      </w:r>
      <w:r>
        <w:rPr>
          <w:rFonts w:ascii="Times New Roman" w:hAnsi="Times New Roman" w:eastAsia="宋体" w:cs="Times New Roman"/>
          <w:b/>
          <w:bCs w:val="0"/>
          <w:sz w:val="24"/>
          <w:szCs w:val="24"/>
        </w:rPr>
        <w:t>F</w:t>
      </w:r>
      <w:r>
        <w:rPr>
          <w:rFonts w:hint="eastAsia" w:ascii="Times New Roman" w:hAnsi="Times New Roman" w:eastAsia="宋体" w:cs="Times New Roman"/>
          <w:bCs/>
          <w:sz w:val="24"/>
          <w:szCs w:val="24"/>
        </w:rPr>
        <w:t>)</w:t>
      </w:r>
      <w:r>
        <w:rPr>
          <w:rFonts w:ascii="Times New Roman" w:hAnsi="Times New Roman" w:eastAsia="宋体" w:cs="Times New Roman"/>
          <w:sz w:val="24"/>
          <w:szCs w:val="24"/>
        </w:rPr>
        <w:t xml:space="preserve"> ELDA of sphere-forming frequency in GSC23 and GSC11 cells treated with peptides (20 μM, 48 h).</w:t>
      </w:r>
    </w:p>
    <w:p w14:paraId="168A1EBD">
      <w:pPr>
        <w:rPr>
          <w:rFonts w:ascii="Times New Roman" w:hAnsi="Times New Roman" w:cs="Times New Roman"/>
          <w:b/>
          <w:bCs/>
          <w:sz w:val="24"/>
        </w:rPr>
      </w:pPr>
      <w:r>
        <w:drawing>
          <wp:inline distT="0" distB="0" distL="0" distR="0">
            <wp:extent cx="5274310" cy="5942330"/>
            <wp:effectExtent l="0" t="0" r="2540" b="1270"/>
            <wp:docPr id="8661820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82000"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942330"/>
                    </a:xfrm>
                    <a:prstGeom prst="rect">
                      <a:avLst/>
                    </a:prstGeom>
                    <a:noFill/>
                    <a:ln>
                      <a:noFill/>
                    </a:ln>
                  </pic:spPr>
                </pic:pic>
              </a:graphicData>
            </a:graphic>
          </wp:inline>
        </w:drawing>
      </w:r>
    </w:p>
    <w:p w14:paraId="111C7E14">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6</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The PRMT1</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YBX1 axis regulates cell-cycle progression in </w:t>
      </w:r>
      <w:r>
        <w:rPr>
          <w:rFonts w:hint="eastAsia" w:ascii="Times New Roman" w:hAnsi="Times New Roman" w:eastAsia="宋体" w:cs="Times New Roman"/>
          <w:b/>
          <w:bCs/>
          <w:sz w:val="24"/>
          <w:szCs w:val="24"/>
        </w:rPr>
        <w:t>GSCs</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Venn diagram shows the overlap between genes downregulated following PRMT1 knockdown in GSC23 cells and those downregulated following YBX1 knockdown in U251 cells. The 91 commonly downregulated genes were subjected to bioinformatic analysis, and the enriched biological pathways are shown.</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B</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C</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Flow cytometric analysis of cell-cycle distribution in GSC23 and GSC11 cells following PRMT1 inhibition (</w:t>
      </w:r>
      <w:r>
        <w:rPr>
          <w:rFonts w:ascii="Times New Roman" w:hAnsi="Times New Roman" w:eastAsia="宋体" w:cs="Times New Roman"/>
          <w:b/>
          <w:bCs/>
          <w:sz w:val="24"/>
          <w:szCs w:val="24"/>
        </w:rPr>
        <w:t>B</w:t>
      </w:r>
      <w:r>
        <w:rPr>
          <w:rFonts w:ascii="Times New Roman" w:hAnsi="Times New Roman" w:eastAsia="宋体" w:cs="Times New Roman"/>
          <w:sz w:val="24"/>
          <w:szCs w:val="24"/>
        </w:rPr>
        <w:t>) and in GSC464 cells following PRMT1 overexpression (</w:t>
      </w:r>
      <w:r>
        <w:rPr>
          <w:rFonts w:ascii="Times New Roman" w:hAnsi="Times New Roman" w:eastAsia="宋体" w:cs="Times New Roman"/>
          <w:b/>
          <w:bCs/>
          <w:sz w:val="24"/>
          <w:szCs w:val="24"/>
        </w:rPr>
        <w:t>C</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D</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Flow cytometric analysis of cell-cycle distribution in GSC464 cells following YBX1 overexpression (</w:t>
      </w:r>
      <w:r>
        <w:rPr>
          <w:rFonts w:ascii="Times New Roman" w:hAnsi="Times New Roman" w:eastAsia="宋体" w:cs="Times New Roman"/>
          <w:b/>
          <w:bCs/>
          <w:sz w:val="24"/>
          <w:szCs w:val="24"/>
        </w:rPr>
        <w:t>D</w:t>
      </w:r>
      <w:r>
        <w:rPr>
          <w:rFonts w:ascii="Times New Roman" w:hAnsi="Times New Roman" w:eastAsia="宋体" w:cs="Times New Roman"/>
          <w:sz w:val="24"/>
          <w:szCs w:val="24"/>
        </w:rPr>
        <w:t>) and in GSC23 and GSC11 cells following YBX1 inhibition (</w:t>
      </w:r>
      <w:r>
        <w:rPr>
          <w:rFonts w:ascii="Times New Roman" w:hAnsi="Times New Roman" w:eastAsia="宋体" w:cs="Times New Roman"/>
          <w:b/>
          <w:bCs/>
          <w:sz w:val="24"/>
          <w:szCs w:val="24"/>
        </w:rPr>
        <w:t>E</w:t>
      </w:r>
      <w:r>
        <w:rPr>
          <w:rFonts w:ascii="Times New Roman" w:hAnsi="Times New Roman" w:eastAsia="宋体" w:cs="Times New Roman"/>
          <w:sz w:val="24"/>
          <w:szCs w:val="24"/>
        </w:rPr>
        <w:t>).</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F</w:t>
      </w:r>
      <w:r>
        <w:rPr>
          <w:rFonts w:hint="eastAsia" w:ascii="Times New Roman" w:hAnsi="Times New Roman" w:eastAsia="宋体" w:cs="Times New Roman"/>
          <w:sz w:val="24"/>
          <w:szCs w:val="24"/>
        </w:rPr>
        <w:t>-</w:t>
      </w:r>
      <w:r>
        <w:rPr>
          <w:rFonts w:ascii="Times New Roman" w:hAnsi="Times New Roman" w:eastAsia="宋体" w:cs="Times New Roman"/>
          <w:b/>
          <w:bCs/>
          <w:sz w:val="24"/>
          <w:szCs w:val="24"/>
        </w:rPr>
        <w:t>I</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Immunoblot analysis of E2F1, </w:t>
      </w:r>
      <w:r>
        <w:rPr>
          <w:rFonts w:hint="eastAsia" w:ascii="Times New Roman" w:hAnsi="Times New Roman" w:eastAsia="宋体" w:cs="Times New Roman"/>
          <w:sz w:val="24"/>
          <w:szCs w:val="24"/>
        </w:rPr>
        <w:t>C</w:t>
      </w:r>
      <w:r>
        <w:rPr>
          <w:rFonts w:ascii="Times New Roman" w:hAnsi="Times New Roman" w:eastAsia="宋体" w:cs="Times New Roman"/>
          <w:sz w:val="24"/>
          <w:szCs w:val="24"/>
        </w:rPr>
        <w:t xml:space="preserve">yclin D1, CDK2, </w:t>
      </w:r>
      <w:r>
        <w:rPr>
          <w:rFonts w:hint="eastAsia" w:ascii="Times New Roman" w:hAnsi="Times New Roman" w:eastAsia="宋体" w:cs="Times New Roman"/>
          <w:sz w:val="24"/>
          <w:szCs w:val="24"/>
        </w:rPr>
        <w:t>P</w:t>
      </w:r>
      <w:r>
        <w:rPr>
          <w:rFonts w:ascii="Times New Roman" w:hAnsi="Times New Roman" w:eastAsia="宋体" w:cs="Times New Roman"/>
          <w:sz w:val="24"/>
          <w:szCs w:val="24"/>
        </w:rPr>
        <w:t xml:space="preserve">21, CDK1, </w:t>
      </w:r>
      <w:r>
        <w:rPr>
          <w:rFonts w:hint="eastAsia" w:ascii="Times New Roman" w:hAnsi="Times New Roman" w:eastAsia="宋体" w:cs="Times New Roman"/>
          <w:sz w:val="24"/>
          <w:szCs w:val="24"/>
        </w:rPr>
        <w:t>C</w:t>
      </w:r>
      <w:r>
        <w:rPr>
          <w:rFonts w:ascii="Times New Roman" w:hAnsi="Times New Roman" w:eastAsia="宋体" w:cs="Times New Roman"/>
          <w:sz w:val="24"/>
          <w:szCs w:val="24"/>
        </w:rPr>
        <w:t xml:space="preserve">yclin B1, and </w:t>
      </w:r>
      <w:r>
        <w:rPr>
          <w:rFonts w:hint="eastAsia" w:ascii="Times New Roman" w:hAnsi="Times New Roman" w:eastAsia="宋体" w:cs="Times New Roman"/>
          <w:sz w:val="24"/>
          <w:szCs w:val="24"/>
        </w:rPr>
        <w:t>P</w:t>
      </w:r>
      <w:r>
        <w:rPr>
          <w:rFonts w:ascii="Times New Roman" w:hAnsi="Times New Roman" w:eastAsia="宋体" w:cs="Times New Roman"/>
          <w:sz w:val="24"/>
          <w:szCs w:val="24"/>
        </w:rPr>
        <w:t>53 in GSC23 and GSC11 cells following PRMT1 (</w:t>
      </w:r>
      <w:r>
        <w:rPr>
          <w:rFonts w:ascii="Times New Roman" w:hAnsi="Times New Roman" w:eastAsia="宋体" w:cs="Times New Roman"/>
          <w:b/>
          <w:bCs/>
          <w:sz w:val="24"/>
          <w:szCs w:val="24"/>
        </w:rPr>
        <w:t>F</w:t>
      </w:r>
      <w:r>
        <w:rPr>
          <w:rFonts w:ascii="Times New Roman" w:hAnsi="Times New Roman" w:eastAsia="宋体" w:cs="Times New Roman"/>
          <w:sz w:val="24"/>
          <w:szCs w:val="24"/>
        </w:rPr>
        <w:t>) or YBX1 (</w:t>
      </w:r>
      <w:r>
        <w:rPr>
          <w:rFonts w:ascii="Times New Roman" w:hAnsi="Times New Roman" w:eastAsia="宋体" w:cs="Times New Roman"/>
          <w:b/>
          <w:bCs/>
          <w:sz w:val="24"/>
          <w:szCs w:val="24"/>
        </w:rPr>
        <w:t>H</w:t>
      </w:r>
      <w:r>
        <w:rPr>
          <w:rFonts w:ascii="Times New Roman" w:hAnsi="Times New Roman" w:eastAsia="宋体" w:cs="Times New Roman"/>
          <w:sz w:val="24"/>
          <w:szCs w:val="24"/>
        </w:rPr>
        <w:t>) inhibition, and in GSC464 cells following PRMT1 (</w:t>
      </w:r>
      <w:r>
        <w:rPr>
          <w:rFonts w:ascii="Times New Roman" w:hAnsi="Times New Roman" w:eastAsia="宋体" w:cs="Times New Roman"/>
          <w:b/>
          <w:bCs/>
          <w:sz w:val="24"/>
          <w:szCs w:val="24"/>
        </w:rPr>
        <w:t>G</w:t>
      </w:r>
      <w:r>
        <w:rPr>
          <w:rFonts w:ascii="Times New Roman" w:hAnsi="Times New Roman" w:eastAsia="宋体" w:cs="Times New Roman"/>
          <w:sz w:val="24"/>
          <w:szCs w:val="24"/>
        </w:rPr>
        <w:t>) or YBX1 (</w:t>
      </w:r>
      <w:r>
        <w:rPr>
          <w:rFonts w:ascii="Times New Roman" w:hAnsi="Times New Roman" w:eastAsia="宋体" w:cs="Times New Roman"/>
          <w:b/>
          <w:bCs/>
          <w:sz w:val="24"/>
          <w:szCs w:val="24"/>
        </w:rPr>
        <w:t>I</w:t>
      </w:r>
      <w:r>
        <w:rPr>
          <w:rFonts w:ascii="Times New Roman" w:hAnsi="Times New Roman" w:eastAsia="宋体" w:cs="Times New Roman"/>
          <w:sz w:val="24"/>
          <w:szCs w:val="24"/>
        </w:rPr>
        <w:t>) overexpression.</w:t>
      </w:r>
    </w:p>
    <w:p w14:paraId="1BB4350E">
      <w:pPr>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271135" cy="5629910"/>
            <wp:effectExtent l="0" t="0" r="1905" b="8890"/>
            <wp:docPr id="1" name="图片 1" descr="F S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 S7_画板 1"/>
                    <pic:cNvPicPr>
                      <a:picLocks noChangeAspect="1"/>
                    </pic:cNvPicPr>
                  </pic:nvPicPr>
                  <pic:blipFill>
                    <a:blip r:embed="rId10"/>
                    <a:stretch>
                      <a:fillRect/>
                    </a:stretch>
                  </pic:blipFill>
                  <pic:spPr>
                    <a:xfrm>
                      <a:off x="0" y="0"/>
                      <a:ext cx="5271135" cy="5629910"/>
                    </a:xfrm>
                    <a:prstGeom prst="rect">
                      <a:avLst/>
                    </a:prstGeom>
                  </pic:spPr>
                </pic:pic>
              </a:graphicData>
            </a:graphic>
          </wp:inline>
        </w:drawing>
      </w:r>
    </w:p>
    <w:p w14:paraId="20941625">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S</w:t>
      </w:r>
      <w:r>
        <w:rPr>
          <w:rFonts w:ascii="Times New Roman" w:hAnsi="Times New Roman" w:eastAsia="宋体" w:cs="Times New Roman"/>
          <w:b/>
          <w:bCs/>
          <w:sz w:val="24"/>
          <w:szCs w:val="24"/>
        </w:rPr>
        <w:t>7</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 xml:space="preserve">PRMT1-YBX1 and NSUN2 coordinately </w:t>
      </w:r>
      <w:r>
        <w:rPr>
          <w:rFonts w:hint="eastAsia" w:ascii="Times New Roman" w:hAnsi="Times New Roman" w:eastAsia="宋体" w:cs="Times New Roman"/>
          <w:b/>
          <w:bCs/>
          <w:sz w:val="24"/>
          <w:szCs w:val="24"/>
        </w:rPr>
        <w:t>promotes</w:t>
      </w:r>
      <w:r>
        <w:rPr>
          <w:rFonts w:ascii="Times New Roman" w:hAnsi="Times New Roman" w:eastAsia="宋体" w:cs="Times New Roman"/>
          <w:b/>
          <w:bCs/>
          <w:sz w:val="24"/>
          <w:szCs w:val="24"/>
        </w:rPr>
        <w:t xml:space="preserve"> the expression of PKMYT1 and CDCA5 and their mRNA stability.</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b/>
          <w:bCs/>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Correlation analyses in the CGGA cohort showing the associations between PRMT1 and PKMYT1 (</w:t>
      </w:r>
      <w:r>
        <w:rPr>
          <w:rFonts w:ascii="Times New Roman" w:hAnsi="Times New Roman" w:eastAsia="宋体" w:cs="Times New Roman"/>
          <w:b/>
          <w:bCs/>
          <w:sz w:val="24"/>
          <w:szCs w:val="24"/>
        </w:rPr>
        <w:t>A</w:t>
      </w:r>
      <w:r>
        <w:rPr>
          <w:rFonts w:ascii="Times New Roman" w:hAnsi="Times New Roman" w:eastAsia="宋体" w:cs="Times New Roman"/>
          <w:sz w:val="24"/>
          <w:szCs w:val="24"/>
        </w:rPr>
        <w:t>), PRMT1 and CDCA5 (</w:t>
      </w:r>
      <w:r>
        <w:rPr>
          <w:rFonts w:ascii="Times New Roman" w:hAnsi="Times New Roman" w:eastAsia="宋体" w:cs="Times New Roman"/>
          <w:b/>
          <w:bCs/>
          <w:sz w:val="24"/>
          <w:szCs w:val="24"/>
        </w:rPr>
        <w:t>B</w:t>
      </w:r>
      <w:r>
        <w:rPr>
          <w:rFonts w:ascii="Times New Roman" w:hAnsi="Times New Roman" w:eastAsia="宋体" w:cs="Times New Roman"/>
          <w:sz w:val="24"/>
          <w:szCs w:val="24"/>
        </w:rPr>
        <w:t>), YBX1 and PKMYT1 (</w:t>
      </w:r>
      <w:r>
        <w:rPr>
          <w:rFonts w:ascii="Times New Roman" w:hAnsi="Times New Roman" w:eastAsia="宋体" w:cs="Times New Roman"/>
          <w:b/>
          <w:bCs/>
          <w:sz w:val="24"/>
          <w:szCs w:val="24"/>
        </w:rPr>
        <w:t>C</w:t>
      </w:r>
      <w:r>
        <w:rPr>
          <w:rFonts w:ascii="Times New Roman" w:hAnsi="Times New Roman" w:eastAsia="宋体" w:cs="Times New Roman"/>
          <w:sz w:val="24"/>
          <w:szCs w:val="24"/>
        </w:rPr>
        <w:t>), and YBX1 and CDCA5 (</w:t>
      </w:r>
      <w:r>
        <w:rPr>
          <w:rFonts w:ascii="Times New Roman" w:hAnsi="Times New Roman" w:eastAsia="宋体" w:cs="Times New Roman"/>
          <w:b/>
          <w:bCs/>
          <w:sz w:val="24"/>
          <w:szCs w:val="24"/>
        </w:rPr>
        <w:t>D</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E</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RIP-qPCR analysis shows the effects of PRMT1 overexpression on YBX1 binding to </w:t>
      </w:r>
      <w:r>
        <w:rPr>
          <w:rFonts w:ascii="Times New Roman" w:hAnsi="Times New Roman" w:eastAsia="宋体" w:cs="Times New Roman"/>
          <w:i/>
          <w:iCs/>
          <w:sz w:val="24"/>
          <w:szCs w:val="24"/>
        </w:rPr>
        <w:t>CDCA5</w:t>
      </w:r>
      <w:r>
        <w:rPr>
          <w:rFonts w:ascii="Times New Roman" w:hAnsi="Times New Roman" w:eastAsia="宋体" w:cs="Times New Roman"/>
          <w:sz w:val="24"/>
          <w:szCs w:val="24"/>
        </w:rPr>
        <w:t xml:space="preserve"> and </w:t>
      </w:r>
      <w:r>
        <w:rPr>
          <w:rFonts w:ascii="Times New Roman" w:hAnsi="Times New Roman" w:eastAsia="宋体" w:cs="Times New Roman"/>
          <w:i/>
          <w:iCs/>
          <w:sz w:val="24"/>
          <w:szCs w:val="24"/>
        </w:rPr>
        <w:t>PKMYT1</w:t>
      </w:r>
      <w:r>
        <w:rPr>
          <w:rFonts w:ascii="Times New Roman" w:hAnsi="Times New Roman" w:eastAsia="宋体" w:cs="Times New Roman"/>
          <w:sz w:val="24"/>
          <w:szCs w:val="24"/>
        </w:rPr>
        <w:t xml:space="preserve"> transcripts in GSC464 cells.</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F</w:t>
      </w:r>
      <w:r>
        <w:rPr>
          <w:rFonts w:hint="eastAsia" w:ascii="Times New Roman" w:hAnsi="Times New Roman" w:eastAsia="宋体" w:cs="Times New Roman"/>
          <w:sz w:val="24"/>
          <w:szCs w:val="24"/>
        </w:rPr>
        <w:t>-</w:t>
      </w:r>
      <w:r>
        <w:rPr>
          <w:rFonts w:ascii="Times New Roman" w:hAnsi="Times New Roman" w:eastAsia="宋体" w:cs="Times New Roman"/>
          <w:b/>
          <w:bCs/>
          <w:sz w:val="24"/>
          <w:szCs w:val="24"/>
        </w:rPr>
        <w:t>I</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Cells were treated with actinomycin D for the indicated times (0, 2, 4, 6, and 8 h), and mRNA decay was measured by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qPCR in GSC464 cells following PRMT1 overexpression for CDCA5 (</w:t>
      </w:r>
      <w:r>
        <w:rPr>
          <w:rFonts w:ascii="Times New Roman" w:hAnsi="Times New Roman" w:eastAsia="宋体" w:cs="Times New Roman"/>
          <w:b/>
          <w:bCs/>
          <w:sz w:val="24"/>
          <w:szCs w:val="24"/>
        </w:rPr>
        <w:t>F</w:t>
      </w:r>
      <w:r>
        <w:rPr>
          <w:rFonts w:ascii="Times New Roman" w:hAnsi="Times New Roman" w:eastAsia="宋体" w:cs="Times New Roman"/>
          <w:sz w:val="24"/>
          <w:szCs w:val="24"/>
        </w:rPr>
        <w:t>) and PKMYT1 (</w:t>
      </w:r>
      <w:r>
        <w:rPr>
          <w:rFonts w:ascii="Times New Roman" w:hAnsi="Times New Roman" w:eastAsia="宋体" w:cs="Times New Roman"/>
          <w:b/>
          <w:bCs/>
          <w:sz w:val="24"/>
          <w:szCs w:val="24"/>
        </w:rPr>
        <w:t>G</w:t>
      </w:r>
      <w:r>
        <w:rPr>
          <w:rFonts w:ascii="Times New Roman" w:hAnsi="Times New Roman" w:eastAsia="宋体" w:cs="Times New Roman"/>
          <w:sz w:val="24"/>
          <w:szCs w:val="24"/>
        </w:rPr>
        <w:t>), or following YBX1 overexpression for CDCA5 (</w:t>
      </w:r>
      <w:r>
        <w:rPr>
          <w:rFonts w:ascii="Times New Roman" w:hAnsi="Times New Roman" w:eastAsia="宋体" w:cs="Times New Roman"/>
          <w:b/>
          <w:bCs/>
          <w:sz w:val="24"/>
          <w:szCs w:val="24"/>
        </w:rPr>
        <w:t>H</w:t>
      </w:r>
      <w:r>
        <w:rPr>
          <w:rFonts w:ascii="Times New Roman" w:hAnsi="Times New Roman" w:eastAsia="宋体" w:cs="Times New Roman"/>
          <w:sz w:val="24"/>
          <w:szCs w:val="24"/>
        </w:rPr>
        <w:t>) and PKMYT1 (</w:t>
      </w:r>
      <w:r>
        <w:rPr>
          <w:rFonts w:ascii="Times New Roman" w:hAnsi="Times New Roman" w:eastAsia="宋体" w:cs="Times New Roman"/>
          <w:b/>
          <w:bCs/>
          <w:sz w:val="24"/>
          <w:szCs w:val="24"/>
        </w:rPr>
        <w:t>I</w:t>
      </w:r>
      <w:r>
        <w:rPr>
          <w:rFonts w:ascii="Times New Roman" w:hAnsi="Times New Roman" w:eastAsia="宋体" w:cs="Times New Roman"/>
          <w:sz w:val="24"/>
          <w:szCs w:val="24"/>
        </w:rPr>
        <w:t>).</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J</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b/>
          <w:bCs/>
          <w:sz w:val="24"/>
          <w:szCs w:val="24"/>
        </w:rPr>
        <w:t>K</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Correlation analysis of the CGGA cohort revealed associations between NSUN2 and CDCA5</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w:t>
      </w:r>
      <w:r>
        <w:rPr>
          <w:rFonts w:ascii="Times New Roman" w:hAnsi="Times New Roman" w:eastAsia="宋体" w:cs="Times New Roman"/>
          <w:b/>
          <w:bCs/>
          <w:sz w:val="24"/>
          <w:szCs w:val="24"/>
        </w:rPr>
        <w:t>J</w:t>
      </w:r>
      <w:r>
        <w:rPr>
          <w:rFonts w:ascii="Times New Roman" w:hAnsi="Times New Roman" w:eastAsia="宋体" w:cs="Times New Roman"/>
          <w:sz w:val="24"/>
          <w:szCs w:val="24"/>
        </w:rPr>
        <w:t>) and between NSUN2 and PKMYT1</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w:t>
      </w:r>
      <w:r>
        <w:rPr>
          <w:rFonts w:hint="eastAsia" w:ascii="Times New Roman" w:hAnsi="Times New Roman" w:eastAsia="宋体" w:cs="Times New Roman"/>
          <w:b/>
          <w:bCs/>
          <w:sz w:val="24"/>
          <w:szCs w:val="24"/>
        </w:rPr>
        <w:t>K</w:t>
      </w:r>
      <w:r>
        <w:rPr>
          <w:rFonts w:ascii="Times New Roman" w:hAnsi="Times New Roman" w:eastAsia="宋体" w:cs="Times New Roman"/>
          <w:sz w:val="24"/>
          <w:szCs w:val="24"/>
        </w:rPr>
        <w:t>) in glioma patients.</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L</w:t>
      </w:r>
      <w:r>
        <w:rPr>
          <w:rFonts w:hint="eastAsia" w:ascii="Times New Roman" w:hAnsi="Times New Roman" w:eastAsia="宋体" w:cs="Times New Roman"/>
          <w:sz w:val="24"/>
          <w:szCs w:val="24"/>
        </w:rPr>
        <w:t>-</w:t>
      </w:r>
      <w:r>
        <w:rPr>
          <w:rFonts w:ascii="Times New Roman" w:hAnsi="Times New Roman" w:eastAsia="宋体" w:cs="Times New Roman"/>
          <w:b/>
          <w:bCs/>
          <w:sz w:val="24"/>
          <w:szCs w:val="24"/>
        </w:rPr>
        <w:t>O</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NSUN2 regulates PKMYT1 and CDCA5 expressions.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qPCR analysis of </w:t>
      </w:r>
      <w:r>
        <w:rPr>
          <w:rFonts w:ascii="Times New Roman" w:hAnsi="Times New Roman" w:eastAsia="宋体" w:cs="Times New Roman"/>
          <w:i/>
          <w:iCs/>
          <w:sz w:val="24"/>
          <w:szCs w:val="24"/>
        </w:rPr>
        <w:t>PKMYT1</w:t>
      </w:r>
      <w:r>
        <w:rPr>
          <w:rFonts w:ascii="Times New Roman" w:hAnsi="Times New Roman" w:eastAsia="宋体" w:cs="Times New Roman"/>
          <w:sz w:val="24"/>
          <w:szCs w:val="24"/>
        </w:rPr>
        <w:t xml:space="preserve"> and </w:t>
      </w:r>
      <w:r>
        <w:rPr>
          <w:rFonts w:ascii="Times New Roman" w:hAnsi="Times New Roman" w:eastAsia="宋体" w:cs="Times New Roman"/>
          <w:i/>
          <w:iCs/>
          <w:sz w:val="24"/>
          <w:szCs w:val="24"/>
        </w:rPr>
        <w:t>CDCA5</w:t>
      </w:r>
      <w:r>
        <w:rPr>
          <w:rFonts w:ascii="Times New Roman" w:hAnsi="Times New Roman" w:eastAsia="宋体" w:cs="Times New Roman"/>
          <w:sz w:val="24"/>
          <w:szCs w:val="24"/>
        </w:rPr>
        <w:t xml:space="preserve"> mRNA levels in GSC23 and GSC11 cells following NSUN2 knockdown (</w:t>
      </w:r>
      <w:r>
        <w:rPr>
          <w:rFonts w:ascii="Times New Roman" w:hAnsi="Times New Roman" w:eastAsia="宋体" w:cs="Times New Roman"/>
          <w:b/>
          <w:bCs/>
          <w:sz w:val="24"/>
          <w:szCs w:val="24"/>
        </w:rPr>
        <w:t>L</w:t>
      </w:r>
      <w:r>
        <w:rPr>
          <w:rFonts w:ascii="Times New Roman" w:hAnsi="Times New Roman" w:eastAsia="宋体" w:cs="Times New Roman"/>
          <w:sz w:val="24"/>
          <w:szCs w:val="24"/>
        </w:rPr>
        <w:t>) and in GSC464 cells following NSUN2 overexpression (</w:t>
      </w:r>
      <w:r>
        <w:rPr>
          <w:rFonts w:ascii="Times New Roman" w:hAnsi="Times New Roman" w:eastAsia="宋体" w:cs="Times New Roman"/>
          <w:b/>
          <w:bCs/>
          <w:sz w:val="24"/>
          <w:szCs w:val="24"/>
        </w:rPr>
        <w:t>N</w:t>
      </w:r>
      <w:r>
        <w:rPr>
          <w:rFonts w:ascii="Times New Roman" w:hAnsi="Times New Roman" w:eastAsia="宋体" w:cs="Times New Roman"/>
          <w:sz w:val="24"/>
          <w:szCs w:val="24"/>
        </w:rPr>
        <w:t>). Immunoblot analysis of PKMYT1 and CDCA5 protein levels in GSC23 and GSC11 cells following NSUN2 knockdown (</w:t>
      </w:r>
      <w:r>
        <w:rPr>
          <w:rFonts w:ascii="Times New Roman" w:hAnsi="Times New Roman" w:eastAsia="宋体" w:cs="Times New Roman"/>
          <w:b/>
          <w:bCs/>
          <w:sz w:val="24"/>
          <w:szCs w:val="24"/>
        </w:rPr>
        <w:t>M</w:t>
      </w:r>
      <w:r>
        <w:rPr>
          <w:rFonts w:ascii="Times New Roman" w:hAnsi="Times New Roman" w:eastAsia="宋体" w:cs="Times New Roman"/>
          <w:sz w:val="24"/>
          <w:szCs w:val="24"/>
        </w:rPr>
        <w:t>) and in GSC464 cells following NSUN2 overexpression (</w:t>
      </w:r>
      <w:r>
        <w:rPr>
          <w:rFonts w:ascii="Times New Roman" w:hAnsi="Times New Roman" w:eastAsia="宋体" w:cs="Times New Roman"/>
          <w:b/>
          <w:bCs/>
          <w:sz w:val="24"/>
          <w:szCs w:val="24"/>
        </w:rPr>
        <w:t>O</w:t>
      </w:r>
      <w:r>
        <w:rPr>
          <w:rFonts w:ascii="Times New Roman" w:hAnsi="Times New Roman" w:eastAsia="宋体" w:cs="Times New Roman"/>
          <w:sz w:val="24"/>
          <w:szCs w:val="24"/>
        </w:rPr>
        <w:t>).</w:t>
      </w:r>
      <w:r>
        <w:rPr>
          <w:rFonts w:hint="eastAsia" w:ascii="Times New Roman" w:hAnsi="Times New Roman" w:eastAsia="宋体" w:cs="Times New Roman"/>
          <w:b w:val="0"/>
          <w:bCs w:val="0"/>
          <w:sz w:val="24"/>
          <w:szCs w:val="24"/>
        </w:rPr>
        <w:t xml:space="preserve"> </w:t>
      </w:r>
      <w:r>
        <w:rPr>
          <w:rFonts w:hint="eastAsia" w:ascii="Times New Roman" w:hAnsi="Times New Roman" w:eastAsia="宋体" w:cs="Times New Roman"/>
          <w:b w:val="0"/>
          <w:bCs w:val="0"/>
          <w:sz w:val="24"/>
          <w:szCs w:val="24"/>
          <w:lang w:val="en-US" w:eastAsia="zh-CN"/>
        </w:rPr>
        <w:t>(</w:t>
      </w:r>
      <w:r>
        <w:rPr>
          <w:rFonts w:ascii="Times New Roman" w:hAnsi="Times New Roman" w:eastAsia="宋体" w:cs="Times New Roman"/>
          <w:b/>
          <w:bCs/>
          <w:sz w:val="24"/>
          <w:szCs w:val="24"/>
        </w:rPr>
        <w:t>P</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Q</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RIP-qPCR analysis shows the effects of NSUN2 knockdown on YBX1 binding to </w:t>
      </w:r>
      <w:r>
        <w:rPr>
          <w:rFonts w:ascii="Times New Roman" w:hAnsi="Times New Roman" w:eastAsia="宋体" w:cs="Times New Roman"/>
          <w:i/>
          <w:iCs/>
          <w:sz w:val="24"/>
          <w:szCs w:val="24"/>
        </w:rPr>
        <w:t>CDCA5</w:t>
      </w:r>
      <w:r>
        <w:rPr>
          <w:rFonts w:ascii="Times New Roman" w:hAnsi="Times New Roman" w:eastAsia="宋体" w:cs="Times New Roman"/>
          <w:sz w:val="24"/>
          <w:szCs w:val="24"/>
        </w:rPr>
        <w:t xml:space="preserve"> and </w:t>
      </w:r>
      <w:r>
        <w:rPr>
          <w:rFonts w:ascii="Times New Roman" w:hAnsi="Times New Roman" w:eastAsia="宋体" w:cs="Times New Roman"/>
          <w:i/>
          <w:iCs/>
          <w:sz w:val="24"/>
          <w:szCs w:val="24"/>
        </w:rPr>
        <w:t>PKMYT1</w:t>
      </w:r>
      <w:r>
        <w:rPr>
          <w:rFonts w:ascii="Times New Roman" w:hAnsi="Times New Roman" w:eastAsia="宋体" w:cs="Times New Roman"/>
          <w:sz w:val="24"/>
          <w:szCs w:val="24"/>
        </w:rPr>
        <w:t xml:space="preserve"> transcripts in GSC23 and GSC11 cells</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w:t>
      </w:r>
      <w:r>
        <w:rPr>
          <w:rFonts w:ascii="Times New Roman" w:hAnsi="Times New Roman" w:eastAsia="宋体" w:cs="Times New Roman"/>
          <w:b/>
          <w:bCs/>
          <w:sz w:val="24"/>
          <w:szCs w:val="24"/>
        </w:rPr>
        <w:t>P</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the effects of NSUN2 overexpression on YBX1 binding to </w:t>
      </w:r>
      <w:r>
        <w:rPr>
          <w:rFonts w:ascii="Times New Roman" w:hAnsi="Times New Roman" w:eastAsia="宋体" w:cs="Times New Roman"/>
          <w:i/>
          <w:iCs/>
          <w:sz w:val="24"/>
          <w:szCs w:val="24"/>
        </w:rPr>
        <w:t>CDCA5</w:t>
      </w:r>
      <w:r>
        <w:rPr>
          <w:rFonts w:ascii="Times New Roman" w:hAnsi="Times New Roman" w:eastAsia="宋体" w:cs="Times New Roman"/>
          <w:sz w:val="24"/>
          <w:szCs w:val="24"/>
        </w:rPr>
        <w:t xml:space="preserve"> and </w:t>
      </w:r>
      <w:r>
        <w:rPr>
          <w:rFonts w:ascii="Times New Roman" w:hAnsi="Times New Roman" w:eastAsia="宋体" w:cs="Times New Roman"/>
          <w:i/>
          <w:iCs/>
          <w:sz w:val="24"/>
          <w:szCs w:val="24"/>
        </w:rPr>
        <w:t>PKMYT1</w:t>
      </w:r>
      <w:r>
        <w:rPr>
          <w:rFonts w:ascii="Times New Roman" w:hAnsi="Times New Roman" w:eastAsia="宋体" w:cs="Times New Roman"/>
          <w:sz w:val="24"/>
          <w:szCs w:val="24"/>
        </w:rPr>
        <w:t xml:space="preserve"> transcripts in GSC</w:t>
      </w:r>
      <w:r>
        <w:rPr>
          <w:rFonts w:hint="eastAsia" w:ascii="Times New Roman" w:hAnsi="Times New Roman" w:eastAsia="宋体" w:cs="Times New Roman"/>
          <w:sz w:val="24"/>
          <w:szCs w:val="24"/>
        </w:rPr>
        <w:t>464</w:t>
      </w:r>
      <w:r>
        <w:rPr>
          <w:rFonts w:ascii="Times New Roman" w:hAnsi="Times New Roman" w:eastAsia="宋体" w:cs="Times New Roman"/>
          <w:sz w:val="24"/>
          <w:szCs w:val="24"/>
        </w:rPr>
        <w:t xml:space="preserve"> cells</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w:t>
      </w:r>
      <w:r>
        <w:rPr>
          <w:rFonts w:hint="eastAsia" w:ascii="Times New Roman" w:hAnsi="Times New Roman" w:eastAsia="宋体" w:cs="Times New Roman"/>
          <w:b/>
          <w:bCs/>
          <w:sz w:val="24"/>
          <w:szCs w:val="24"/>
        </w:rPr>
        <w:t>Q</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w:t>
      </w:r>
      <w:r>
        <w:rPr>
          <w:rFonts w:ascii="Times New Roman" w:hAnsi="Times New Roman" w:eastAsia="宋体" w:cs="Times New Roman"/>
          <w:b/>
          <w:bCs/>
          <w:sz w:val="24"/>
          <w:szCs w:val="24"/>
        </w:rPr>
        <w:t>R</w:t>
      </w:r>
      <w:r>
        <w:rPr>
          <w:rFonts w:hint="eastAsia" w:ascii="Times New Roman" w:hAnsi="Times New Roman" w:eastAsia="宋体" w:cs="Times New Roman"/>
          <w:sz w:val="24"/>
          <w:szCs w:val="24"/>
        </w:rPr>
        <w:t>-</w:t>
      </w:r>
      <w:r>
        <w:rPr>
          <w:rFonts w:ascii="Times New Roman" w:hAnsi="Times New Roman" w:eastAsia="宋体" w:cs="Times New Roman"/>
          <w:b/>
          <w:bCs/>
          <w:sz w:val="24"/>
          <w:szCs w:val="24"/>
        </w:rPr>
        <w:t>U</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Cells were treated with actinomycin D for the indicated times (0, 2, 4, 6, and 8 h), and mRNA decay was measured by RT</w:t>
      </w:r>
      <w:r>
        <w:rPr>
          <w:rFonts w:hint="eastAsia" w:ascii="Times New Roman" w:hAnsi="Times New Roman" w:eastAsia="宋体" w:cs="Times New Roman"/>
          <w:sz w:val="24"/>
          <w:szCs w:val="24"/>
        </w:rPr>
        <w:t>-</w:t>
      </w:r>
      <w:r>
        <w:rPr>
          <w:rFonts w:ascii="Times New Roman" w:hAnsi="Times New Roman" w:eastAsia="宋体" w:cs="Times New Roman"/>
          <w:sz w:val="24"/>
          <w:szCs w:val="24"/>
        </w:rPr>
        <w:t>qPCR in GSC23 cells following NSUN2 knockdown for CDCA5 (</w:t>
      </w:r>
      <w:r>
        <w:rPr>
          <w:rFonts w:ascii="Times New Roman" w:hAnsi="Times New Roman" w:eastAsia="宋体" w:cs="Times New Roman"/>
          <w:b/>
          <w:bCs/>
          <w:sz w:val="24"/>
          <w:szCs w:val="24"/>
        </w:rPr>
        <w:t>R</w:t>
      </w:r>
      <w:r>
        <w:rPr>
          <w:rFonts w:ascii="Times New Roman" w:hAnsi="Times New Roman" w:eastAsia="宋体" w:cs="Times New Roman"/>
          <w:sz w:val="24"/>
          <w:szCs w:val="24"/>
        </w:rPr>
        <w:t>) and PKMYT1 (</w:t>
      </w:r>
      <w:r>
        <w:rPr>
          <w:rFonts w:ascii="Times New Roman" w:hAnsi="Times New Roman" w:eastAsia="宋体" w:cs="Times New Roman"/>
          <w:b/>
          <w:bCs/>
          <w:sz w:val="24"/>
          <w:szCs w:val="24"/>
        </w:rPr>
        <w:t>S</w:t>
      </w:r>
      <w:r>
        <w:rPr>
          <w:rFonts w:ascii="Times New Roman" w:hAnsi="Times New Roman" w:eastAsia="宋体" w:cs="Times New Roman"/>
          <w:sz w:val="24"/>
          <w:szCs w:val="24"/>
        </w:rPr>
        <w:t>), and in GSC464 cells following NSUN2 overexpression for CDCA5 (</w:t>
      </w:r>
      <w:r>
        <w:rPr>
          <w:rFonts w:ascii="Times New Roman" w:hAnsi="Times New Roman" w:eastAsia="宋体" w:cs="Times New Roman"/>
          <w:b/>
          <w:bCs/>
          <w:sz w:val="24"/>
          <w:szCs w:val="24"/>
        </w:rPr>
        <w:t>T</w:t>
      </w:r>
      <w:r>
        <w:rPr>
          <w:rFonts w:ascii="Times New Roman" w:hAnsi="Times New Roman" w:eastAsia="宋体" w:cs="Times New Roman"/>
          <w:sz w:val="24"/>
          <w:szCs w:val="24"/>
        </w:rPr>
        <w:t>) and PKMYT1 (</w:t>
      </w:r>
      <w:r>
        <w:rPr>
          <w:rFonts w:ascii="Times New Roman" w:hAnsi="Times New Roman" w:eastAsia="宋体" w:cs="Times New Roman"/>
          <w:b/>
          <w:bCs/>
          <w:sz w:val="24"/>
          <w:szCs w:val="24"/>
        </w:rPr>
        <w:t>U</w:t>
      </w:r>
      <w:r>
        <w:rPr>
          <w:rFonts w:ascii="Times New Roman" w:hAnsi="Times New Roman" w:eastAsia="宋体" w:cs="Times New Roman"/>
          <w:sz w:val="24"/>
          <w:szCs w:val="24"/>
        </w:rPr>
        <w:t>). *P &lt; 0.05, **P &lt; 0.01, ****P &lt; 0.0001.</w:t>
      </w:r>
    </w:p>
    <w:p w14:paraId="797A32B2">
      <w:pPr>
        <w:rPr>
          <w:rFonts w:ascii="Times New Roman" w:hAnsi="Times New Roman" w:cs="Times New Roman"/>
          <w:b/>
          <w:bCs/>
          <w:sz w:val="24"/>
        </w:rPr>
      </w:pPr>
    </w:p>
    <w:p w14:paraId="2F186C9B">
      <w:pPr>
        <w:rPr>
          <w:rFonts w:ascii="Times New Roman" w:hAnsi="Times New Roman" w:cs="Times New Roman"/>
          <w:b/>
          <w:bCs/>
          <w:sz w:val="24"/>
        </w:rPr>
      </w:pPr>
    </w:p>
    <w:p w14:paraId="677ED9F1">
      <w:pPr>
        <w:rPr>
          <w:rFonts w:ascii="Times New Roman" w:hAnsi="Times New Roman" w:cs="Times New Roman"/>
          <w:b/>
          <w:bCs/>
          <w:sz w:val="24"/>
        </w:rPr>
      </w:pPr>
    </w:p>
    <w:p w14:paraId="126DD235">
      <w:pPr>
        <w:rPr>
          <w:rFonts w:ascii="Times New Roman" w:hAnsi="Times New Roman" w:cs="Times New Roman"/>
          <w:b/>
          <w:bCs/>
          <w:sz w:val="24"/>
        </w:rPr>
      </w:pPr>
    </w:p>
    <w:p w14:paraId="3D8BFEDD">
      <w:pPr>
        <w:rPr>
          <w:rFonts w:ascii="Times New Roman" w:hAnsi="Times New Roman" w:cs="Times New Roman"/>
          <w:b/>
          <w:bCs/>
          <w:sz w:val="24"/>
        </w:rPr>
      </w:pPr>
    </w:p>
    <w:p w14:paraId="0E089795">
      <w:pPr>
        <w:rPr>
          <w:rFonts w:ascii="Times New Roman" w:hAnsi="Times New Roman" w:cs="Times New Roman"/>
          <w:b/>
          <w:bCs/>
          <w:sz w:val="24"/>
        </w:rPr>
      </w:pPr>
    </w:p>
    <w:p w14:paraId="49016D31">
      <w:pPr>
        <w:rPr>
          <w:rFonts w:ascii="Times New Roman" w:hAnsi="Times New Roman" w:cs="Times New Roman"/>
          <w:b/>
          <w:bCs/>
          <w:sz w:val="24"/>
        </w:rPr>
      </w:pPr>
    </w:p>
    <w:p w14:paraId="7481BD9C">
      <w:pPr>
        <w:rPr>
          <w:rFonts w:ascii="Times New Roman" w:hAnsi="Times New Roman" w:cs="Times New Roman"/>
          <w:b/>
          <w:bCs/>
          <w:sz w:val="24"/>
        </w:rPr>
      </w:pPr>
    </w:p>
    <w:p w14:paraId="31DE866D">
      <w:pPr>
        <w:rPr>
          <w:rFonts w:ascii="Times New Roman" w:hAnsi="Times New Roman" w:cs="Times New Roman"/>
          <w:b/>
          <w:bCs/>
          <w:sz w:val="24"/>
        </w:rPr>
      </w:pPr>
    </w:p>
    <w:p w14:paraId="3314F1D8">
      <w:pPr>
        <w:rPr>
          <w:rFonts w:ascii="Times New Roman" w:hAnsi="Times New Roman" w:cs="Times New Roman"/>
          <w:b/>
          <w:bCs/>
          <w:sz w:val="24"/>
        </w:rPr>
      </w:pPr>
    </w:p>
    <w:p w14:paraId="1150F815">
      <w:pPr>
        <w:rPr>
          <w:rFonts w:ascii="Times New Roman" w:hAnsi="Times New Roman" w:cs="Times New Roman"/>
          <w:b/>
          <w:bCs/>
          <w:sz w:val="24"/>
        </w:rPr>
      </w:pPr>
    </w:p>
    <w:p w14:paraId="3134F02C">
      <w:pPr>
        <w:rPr>
          <w:rFonts w:ascii="Times New Roman" w:hAnsi="Times New Roman" w:cs="Times New Roman"/>
          <w:b/>
          <w:bCs/>
          <w:sz w:val="24"/>
        </w:rPr>
      </w:pPr>
    </w:p>
    <w:p w14:paraId="1A1F4035">
      <w:pPr>
        <w:rPr>
          <w:rFonts w:ascii="Times New Roman" w:hAnsi="Times New Roman" w:cs="Times New Roman"/>
          <w:b/>
          <w:bCs/>
          <w:sz w:val="24"/>
        </w:rPr>
      </w:pPr>
    </w:p>
    <w:p w14:paraId="4B715898">
      <w:pPr>
        <w:rPr>
          <w:rFonts w:hint="eastAsia" w:ascii="Times New Roman" w:hAnsi="Times New Roman" w:cs="Times New Roman"/>
          <w:b/>
          <w:bCs/>
          <w:sz w:val="24"/>
        </w:rPr>
      </w:pPr>
    </w:p>
    <w:p w14:paraId="4E558DC0">
      <w:pPr>
        <w:spacing w:line="360" w:lineRule="auto"/>
        <w:rPr>
          <w:rFonts w:ascii="Times New Roman" w:hAnsi="Times New Roman" w:cs="Times New Roman"/>
          <w:b/>
          <w:bCs/>
          <w:sz w:val="24"/>
          <w:szCs w:val="24"/>
        </w:rPr>
      </w:pPr>
    </w:p>
    <w:p w14:paraId="19084A97">
      <w:pPr>
        <w:spacing w:line="360" w:lineRule="auto"/>
        <w:rPr>
          <w:rFonts w:ascii="Times New Roman" w:hAnsi="Times New Roman" w:cs="Times New Roman"/>
          <w:b/>
          <w:bCs/>
          <w:sz w:val="24"/>
          <w:szCs w:val="24"/>
        </w:rPr>
      </w:pPr>
    </w:p>
    <w:p w14:paraId="2C1A13F5">
      <w:pPr>
        <w:spacing w:line="360" w:lineRule="auto"/>
        <w:rPr>
          <w:rFonts w:ascii="Times New Roman" w:hAnsi="Times New Roman" w:cs="Times New Roman"/>
          <w:b/>
          <w:bCs/>
          <w:sz w:val="24"/>
          <w:szCs w:val="24"/>
        </w:rPr>
      </w:pPr>
    </w:p>
    <w:p w14:paraId="080A09EF">
      <w:pPr>
        <w:spacing w:line="360" w:lineRule="auto"/>
        <w:rPr>
          <w:rFonts w:ascii="Times New Roman" w:hAnsi="Times New Roman" w:cs="Times New Roman"/>
          <w:b/>
          <w:bCs/>
          <w:sz w:val="24"/>
          <w:szCs w:val="24"/>
        </w:rPr>
      </w:pPr>
      <w:bookmarkStart w:id="0" w:name="_GoBack"/>
      <w:bookmarkEnd w:id="0"/>
    </w:p>
    <w:p w14:paraId="3A036879">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S1. Sequences of siRNAs and shRNAs.</w:t>
      </w:r>
    </w:p>
    <w:tbl>
      <w:tblPr>
        <w:tblStyle w:val="5"/>
        <w:tblW w:w="6580" w:type="dxa"/>
        <w:tblInd w:w="0" w:type="dxa"/>
        <w:tblLayout w:type="autofit"/>
        <w:tblCellMar>
          <w:top w:w="0" w:type="dxa"/>
          <w:left w:w="108" w:type="dxa"/>
          <w:bottom w:w="0" w:type="dxa"/>
          <w:right w:w="108" w:type="dxa"/>
        </w:tblCellMar>
      </w:tblPr>
      <w:tblGrid>
        <w:gridCol w:w="2457"/>
        <w:gridCol w:w="4340"/>
      </w:tblGrid>
      <w:tr w14:paraId="70D7D442">
        <w:tblPrEx>
          <w:tblCellMar>
            <w:top w:w="0" w:type="dxa"/>
            <w:left w:w="108" w:type="dxa"/>
            <w:bottom w:w="0" w:type="dxa"/>
            <w:right w:w="108" w:type="dxa"/>
          </w:tblCellMar>
        </w:tblPrEx>
        <w:trPr>
          <w:trHeight w:val="312" w:hRule="atLeast"/>
        </w:trPr>
        <w:tc>
          <w:tcPr>
            <w:tcW w:w="2240" w:type="dxa"/>
            <w:tcBorders>
              <w:top w:val="single" w:color="auto" w:sz="4" w:space="0"/>
              <w:left w:val="nil"/>
              <w:bottom w:val="single" w:color="auto" w:sz="4" w:space="0"/>
              <w:right w:val="nil"/>
            </w:tcBorders>
            <w:noWrap/>
            <w:vAlign w:val="bottom"/>
          </w:tcPr>
          <w:p w14:paraId="2878D509">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shRNA/siRNA/sgRNA</w:t>
            </w:r>
          </w:p>
        </w:tc>
        <w:tc>
          <w:tcPr>
            <w:tcW w:w="4340" w:type="dxa"/>
            <w:tcBorders>
              <w:top w:val="single" w:color="auto" w:sz="4" w:space="0"/>
              <w:left w:val="nil"/>
              <w:bottom w:val="single" w:color="auto" w:sz="4" w:space="0"/>
              <w:right w:val="nil"/>
            </w:tcBorders>
            <w:noWrap/>
          </w:tcPr>
          <w:p w14:paraId="3E918CEA">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Sequence (5'-3')</w:t>
            </w:r>
          </w:p>
        </w:tc>
      </w:tr>
      <w:tr w14:paraId="7CF79A00">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22F6CD5B">
            <w:pPr>
              <w:widowControl/>
              <w:jc w:val="center"/>
              <w:rPr>
                <w:rFonts w:hint="default" w:ascii="Times New Roman" w:hAnsi="Times New Roman" w:eastAsia="等线" w:cs="Times New Roman"/>
                <w:color w:val="000000"/>
                <w:kern w:val="0"/>
                <w:sz w:val="24"/>
                <w:szCs w:val="24"/>
                <w:lang w:val="en-US" w:eastAsia="zh-CN"/>
              </w:rPr>
            </w:pPr>
            <w:r>
              <w:rPr>
                <w:rFonts w:ascii="Times New Roman" w:hAnsi="Times New Roman" w:eastAsia="等线" w:cs="Times New Roman"/>
                <w:color w:val="000000"/>
                <w:kern w:val="0"/>
                <w:sz w:val="24"/>
                <w:szCs w:val="24"/>
              </w:rPr>
              <w:t>shRNA_</w:t>
            </w:r>
            <w:r>
              <w:rPr>
                <w:rFonts w:hint="eastAsia" w:ascii="Times New Roman" w:hAnsi="Times New Roman" w:eastAsia="等线" w:cs="Times New Roman"/>
                <w:color w:val="000000"/>
                <w:kern w:val="0"/>
                <w:sz w:val="24"/>
                <w:szCs w:val="24"/>
                <w:lang w:val="en-US" w:eastAsia="zh-CN"/>
              </w:rPr>
              <w:t>Scramble</w:t>
            </w:r>
          </w:p>
        </w:tc>
        <w:tc>
          <w:tcPr>
            <w:tcW w:w="4340" w:type="dxa"/>
            <w:tcBorders>
              <w:top w:val="nil"/>
              <w:left w:val="nil"/>
              <w:bottom w:val="nil"/>
              <w:right w:val="nil"/>
            </w:tcBorders>
            <w:noWrap/>
          </w:tcPr>
          <w:p w14:paraId="7130ECC1">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CAACAAGATGAAGAGCACAA</w:t>
            </w:r>
          </w:p>
        </w:tc>
      </w:tr>
      <w:tr w14:paraId="5358D653">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41DBF5CD">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shPRMT1#1</w:t>
            </w:r>
          </w:p>
        </w:tc>
        <w:tc>
          <w:tcPr>
            <w:tcW w:w="4340" w:type="dxa"/>
            <w:tcBorders>
              <w:top w:val="nil"/>
              <w:left w:val="nil"/>
              <w:bottom w:val="nil"/>
              <w:right w:val="nil"/>
            </w:tcBorders>
            <w:noWrap/>
          </w:tcPr>
          <w:p w14:paraId="2E71806E">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GCGAGGAGATCTTCGGCACCA</w:t>
            </w:r>
          </w:p>
        </w:tc>
      </w:tr>
      <w:tr w14:paraId="48FEC206">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12230A3E">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shPRMT1#2</w:t>
            </w:r>
          </w:p>
        </w:tc>
        <w:tc>
          <w:tcPr>
            <w:tcW w:w="4340" w:type="dxa"/>
            <w:tcBorders>
              <w:top w:val="nil"/>
              <w:left w:val="nil"/>
              <w:bottom w:val="nil"/>
              <w:right w:val="nil"/>
            </w:tcBorders>
            <w:noWrap/>
          </w:tcPr>
          <w:p w14:paraId="654CA910">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GGACATGACATCCAAAGAT</w:t>
            </w:r>
          </w:p>
        </w:tc>
      </w:tr>
      <w:tr w14:paraId="4A48BA6C">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706639A4">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siRNA_NC</w:t>
            </w:r>
          </w:p>
        </w:tc>
        <w:tc>
          <w:tcPr>
            <w:tcW w:w="4340" w:type="dxa"/>
            <w:tcBorders>
              <w:top w:val="nil"/>
              <w:left w:val="nil"/>
              <w:bottom w:val="nil"/>
              <w:right w:val="nil"/>
            </w:tcBorders>
            <w:noWrap/>
          </w:tcPr>
          <w:p w14:paraId="1CBE4423">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UUCUCCGAACGUGUCACGUTT</w:t>
            </w:r>
          </w:p>
        </w:tc>
      </w:tr>
      <w:tr w14:paraId="4C4E594E">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6324948E">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siPRMT1</w:t>
            </w:r>
          </w:p>
        </w:tc>
        <w:tc>
          <w:tcPr>
            <w:tcW w:w="4340" w:type="dxa"/>
            <w:tcBorders>
              <w:top w:val="nil"/>
              <w:left w:val="nil"/>
              <w:bottom w:val="nil"/>
              <w:right w:val="nil"/>
            </w:tcBorders>
            <w:noWrap/>
          </w:tcPr>
          <w:p w14:paraId="0D63E4D4">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UUGUAGUCUUUGUACUGCC</w:t>
            </w:r>
          </w:p>
        </w:tc>
      </w:tr>
      <w:tr w14:paraId="274ABCBC">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74C4D954">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siYBX1#1</w:t>
            </w:r>
          </w:p>
        </w:tc>
        <w:tc>
          <w:tcPr>
            <w:tcW w:w="4340" w:type="dxa"/>
            <w:tcBorders>
              <w:top w:val="nil"/>
              <w:left w:val="nil"/>
              <w:bottom w:val="nil"/>
              <w:right w:val="nil"/>
            </w:tcBorders>
            <w:noWrap/>
          </w:tcPr>
          <w:p w14:paraId="3ED25D1B">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GGAACGGAUAUGGUUUCAUTT</w:t>
            </w:r>
          </w:p>
        </w:tc>
      </w:tr>
      <w:tr w14:paraId="19F13B0A">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79374FA9">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siYBX1#2</w:t>
            </w:r>
          </w:p>
        </w:tc>
        <w:tc>
          <w:tcPr>
            <w:tcW w:w="4340" w:type="dxa"/>
            <w:tcBorders>
              <w:top w:val="nil"/>
              <w:left w:val="nil"/>
              <w:bottom w:val="nil"/>
              <w:right w:val="nil"/>
            </w:tcBorders>
            <w:noWrap/>
          </w:tcPr>
          <w:p w14:paraId="59F7FEA7">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GCAGACCGUAACCAUUAUATT</w:t>
            </w:r>
          </w:p>
        </w:tc>
      </w:tr>
      <w:tr w14:paraId="1ACC63B3">
        <w:tblPrEx>
          <w:tblCellMar>
            <w:top w:w="0" w:type="dxa"/>
            <w:left w:w="108" w:type="dxa"/>
            <w:bottom w:w="0" w:type="dxa"/>
            <w:right w:w="108" w:type="dxa"/>
          </w:tblCellMar>
        </w:tblPrEx>
        <w:trPr>
          <w:trHeight w:val="312" w:hRule="atLeast"/>
        </w:trPr>
        <w:tc>
          <w:tcPr>
            <w:tcW w:w="2240" w:type="dxa"/>
            <w:tcBorders>
              <w:top w:val="nil"/>
              <w:left w:val="nil"/>
              <w:bottom w:val="nil"/>
              <w:right w:val="nil"/>
            </w:tcBorders>
            <w:noWrap/>
            <w:vAlign w:val="bottom"/>
          </w:tcPr>
          <w:p w14:paraId="5672B776">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YBX1 sgRNA</w:t>
            </w:r>
          </w:p>
        </w:tc>
        <w:tc>
          <w:tcPr>
            <w:tcW w:w="4340" w:type="dxa"/>
            <w:tcBorders>
              <w:top w:val="nil"/>
              <w:left w:val="nil"/>
              <w:bottom w:val="nil"/>
              <w:right w:val="nil"/>
            </w:tcBorders>
            <w:noWrap/>
          </w:tcPr>
          <w:p w14:paraId="09F518FD">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GTAATGGCTTTTGTAGGGTG</w:t>
            </w:r>
          </w:p>
        </w:tc>
      </w:tr>
      <w:tr w14:paraId="79691542">
        <w:tblPrEx>
          <w:tblCellMar>
            <w:top w:w="0" w:type="dxa"/>
            <w:left w:w="108" w:type="dxa"/>
            <w:bottom w:w="0" w:type="dxa"/>
            <w:right w:w="108" w:type="dxa"/>
          </w:tblCellMar>
        </w:tblPrEx>
        <w:trPr>
          <w:trHeight w:val="312" w:hRule="atLeast"/>
        </w:trPr>
        <w:tc>
          <w:tcPr>
            <w:tcW w:w="2240" w:type="dxa"/>
            <w:tcBorders>
              <w:top w:val="nil"/>
              <w:left w:val="nil"/>
              <w:bottom w:val="single" w:color="auto" w:sz="4" w:space="0"/>
              <w:right w:val="nil"/>
            </w:tcBorders>
            <w:noWrap/>
            <w:vAlign w:val="bottom"/>
          </w:tcPr>
          <w:p w14:paraId="2E198FF0">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siNSUN2</w:t>
            </w:r>
          </w:p>
        </w:tc>
        <w:tc>
          <w:tcPr>
            <w:tcW w:w="4340" w:type="dxa"/>
            <w:tcBorders>
              <w:top w:val="nil"/>
              <w:left w:val="nil"/>
              <w:bottom w:val="single" w:color="auto" w:sz="4" w:space="0"/>
              <w:right w:val="nil"/>
            </w:tcBorders>
            <w:noWrap/>
          </w:tcPr>
          <w:p w14:paraId="25B3AFB9">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CACGTGTTCACTAAACCCTAT</w:t>
            </w:r>
          </w:p>
        </w:tc>
      </w:tr>
    </w:tbl>
    <w:p w14:paraId="71522F42">
      <w:pPr>
        <w:spacing w:line="360" w:lineRule="auto"/>
        <w:rPr>
          <w:rFonts w:ascii="Times New Roman" w:hAnsi="Times New Roman" w:cs="Times New Roman"/>
          <w:b/>
          <w:bCs/>
          <w:sz w:val="24"/>
          <w:szCs w:val="24"/>
        </w:rPr>
      </w:pPr>
    </w:p>
    <w:p w14:paraId="0010776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S2. Primer sequences for RT-qPCR and </w:t>
      </w:r>
      <w:r>
        <w:rPr>
          <w:rFonts w:hint="eastAsia" w:ascii="Times New Roman" w:hAnsi="Times New Roman" w:cs="Times New Roman"/>
          <w:b/>
          <w:bCs/>
          <w:sz w:val="24"/>
          <w:szCs w:val="24"/>
        </w:rPr>
        <w:t>R</w:t>
      </w:r>
      <w:r>
        <w:rPr>
          <w:rFonts w:ascii="Times New Roman" w:hAnsi="Times New Roman" w:cs="Times New Roman"/>
          <w:b/>
          <w:bCs/>
          <w:sz w:val="24"/>
          <w:szCs w:val="24"/>
        </w:rPr>
        <w:t>IP-qPCR.</w:t>
      </w:r>
    </w:p>
    <w:tbl>
      <w:tblPr>
        <w:tblStyle w:val="5"/>
        <w:tblW w:w="5800" w:type="dxa"/>
        <w:tblInd w:w="0" w:type="dxa"/>
        <w:tblLayout w:type="autofit"/>
        <w:tblCellMar>
          <w:top w:w="0" w:type="dxa"/>
          <w:left w:w="108" w:type="dxa"/>
          <w:bottom w:w="0" w:type="dxa"/>
          <w:right w:w="108" w:type="dxa"/>
        </w:tblCellMar>
      </w:tblPr>
      <w:tblGrid>
        <w:gridCol w:w="1360"/>
        <w:gridCol w:w="4440"/>
      </w:tblGrid>
      <w:tr w14:paraId="3F0281F6">
        <w:tblPrEx>
          <w:tblCellMar>
            <w:top w:w="0" w:type="dxa"/>
            <w:left w:w="108" w:type="dxa"/>
            <w:bottom w:w="0" w:type="dxa"/>
            <w:right w:w="108" w:type="dxa"/>
          </w:tblCellMar>
        </w:tblPrEx>
        <w:trPr>
          <w:trHeight w:val="312" w:hRule="atLeast"/>
        </w:trPr>
        <w:tc>
          <w:tcPr>
            <w:tcW w:w="1360" w:type="dxa"/>
            <w:tcBorders>
              <w:top w:val="single" w:color="auto" w:sz="4" w:space="0"/>
              <w:left w:val="nil"/>
              <w:bottom w:val="single" w:color="auto" w:sz="4" w:space="0"/>
              <w:right w:val="nil"/>
            </w:tcBorders>
            <w:noWrap/>
          </w:tcPr>
          <w:p w14:paraId="49E511B6">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Genes</w:t>
            </w:r>
          </w:p>
        </w:tc>
        <w:tc>
          <w:tcPr>
            <w:tcW w:w="4440" w:type="dxa"/>
            <w:tcBorders>
              <w:top w:val="single" w:color="auto" w:sz="4" w:space="0"/>
              <w:left w:val="nil"/>
              <w:bottom w:val="single" w:color="auto" w:sz="4" w:space="0"/>
              <w:right w:val="nil"/>
            </w:tcBorders>
            <w:noWrap/>
          </w:tcPr>
          <w:p w14:paraId="73E54E87">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Sequence (5'-3')</w:t>
            </w:r>
          </w:p>
        </w:tc>
      </w:tr>
      <w:tr w14:paraId="0B16CA5C">
        <w:tblPrEx>
          <w:tblCellMar>
            <w:top w:w="0" w:type="dxa"/>
            <w:left w:w="108" w:type="dxa"/>
            <w:bottom w:w="0" w:type="dxa"/>
            <w:right w:w="108" w:type="dxa"/>
          </w:tblCellMar>
        </w:tblPrEx>
        <w:trPr>
          <w:trHeight w:val="312" w:hRule="atLeast"/>
        </w:trPr>
        <w:tc>
          <w:tcPr>
            <w:tcW w:w="1360" w:type="dxa"/>
            <w:vMerge w:val="restart"/>
            <w:tcBorders>
              <w:top w:val="nil"/>
              <w:left w:val="nil"/>
              <w:bottom w:val="nil"/>
              <w:right w:val="nil"/>
            </w:tcBorders>
            <w:noWrap/>
            <w:vAlign w:val="center"/>
          </w:tcPr>
          <w:p w14:paraId="5E408A04">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PRMT1</w:t>
            </w:r>
          </w:p>
        </w:tc>
        <w:tc>
          <w:tcPr>
            <w:tcW w:w="4440" w:type="dxa"/>
            <w:tcBorders>
              <w:top w:val="nil"/>
              <w:left w:val="nil"/>
              <w:bottom w:val="nil"/>
              <w:right w:val="nil"/>
            </w:tcBorders>
            <w:noWrap/>
          </w:tcPr>
          <w:p w14:paraId="6CFB9883">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CAAGGTCATCGGGATCGAGTG</w:t>
            </w:r>
          </w:p>
        </w:tc>
      </w:tr>
      <w:tr w14:paraId="34F4F4B0">
        <w:tblPrEx>
          <w:tblCellMar>
            <w:top w:w="0" w:type="dxa"/>
            <w:left w:w="108" w:type="dxa"/>
            <w:bottom w:w="0" w:type="dxa"/>
            <w:right w:w="108" w:type="dxa"/>
          </w:tblCellMar>
        </w:tblPrEx>
        <w:trPr>
          <w:trHeight w:val="312" w:hRule="atLeast"/>
        </w:trPr>
        <w:tc>
          <w:tcPr>
            <w:tcW w:w="1360" w:type="dxa"/>
            <w:vMerge w:val="continue"/>
            <w:tcBorders>
              <w:top w:val="nil"/>
              <w:left w:val="nil"/>
              <w:bottom w:val="nil"/>
              <w:right w:val="nil"/>
            </w:tcBorders>
            <w:vAlign w:val="center"/>
          </w:tcPr>
          <w:p w14:paraId="045DED23">
            <w:pPr>
              <w:widowControl/>
              <w:jc w:val="left"/>
              <w:rPr>
                <w:rFonts w:ascii="Times New Roman" w:hAnsi="Times New Roman" w:eastAsia="等线" w:cs="Times New Roman"/>
                <w:color w:val="000000"/>
                <w:kern w:val="0"/>
                <w:sz w:val="24"/>
                <w:szCs w:val="24"/>
              </w:rPr>
            </w:pPr>
          </w:p>
        </w:tc>
        <w:tc>
          <w:tcPr>
            <w:tcW w:w="4440" w:type="dxa"/>
            <w:tcBorders>
              <w:top w:val="nil"/>
              <w:left w:val="nil"/>
              <w:bottom w:val="nil"/>
              <w:right w:val="nil"/>
            </w:tcBorders>
            <w:noWrap/>
          </w:tcPr>
          <w:p w14:paraId="225F16A8">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ACGTGGTCTAACTTGTTGGCT</w:t>
            </w:r>
          </w:p>
        </w:tc>
      </w:tr>
      <w:tr w14:paraId="7A2DE028">
        <w:tblPrEx>
          <w:tblCellMar>
            <w:top w:w="0" w:type="dxa"/>
            <w:left w:w="108" w:type="dxa"/>
            <w:bottom w:w="0" w:type="dxa"/>
            <w:right w:w="108" w:type="dxa"/>
          </w:tblCellMar>
        </w:tblPrEx>
        <w:trPr>
          <w:trHeight w:val="312" w:hRule="atLeast"/>
        </w:trPr>
        <w:tc>
          <w:tcPr>
            <w:tcW w:w="1360" w:type="dxa"/>
            <w:vMerge w:val="restart"/>
            <w:tcBorders>
              <w:top w:val="nil"/>
              <w:left w:val="nil"/>
              <w:bottom w:val="nil"/>
              <w:right w:val="nil"/>
            </w:tcBorders>
            <w:noWrap/>
            <w:vAlign w:val="center"/>
          </w:tcPr>
          <w:p w14:paraId="345BCC9E">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YBX1</w:t>
            </w:r>
          </w:p>
        </w:tc>
        <w:tc>
          <w:tcPr>
            <w:tcW w:w="4440" w:type="dxa"/>
            <w:tcBorders>
              <w:top w:val="nil"/>
              <w:left w:val="nil"/>
              <w:bottom w:val="nil"/>
              <w:right w:val="nil"/>
            </w:tcBorders>
            <w:noWrap/>
          </w:tcPr>
          <w:p w14:paraId="40C5AA95">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GGGGACAAGAAGGTCATCGC</w:t>
            </w:r>
          </w:p>
        </w:tc>
      </w:tr>
      <w:tr w14:paraId="4E117088">
        <w:tblPrEx>
          <w:tblCellMar>
            <w:top w:w="0" w:type="dxa"/>
            <w:left w:w="108" w:type="dxa"/>
            <w:bottom w:w="0" w:type="dxa"/>
            <w:right w:w="108" w:type="dxa"/>
          </w:tblCellMar>
        </w:tblPrEx>
        <w:trPr>
          <w:trHeight w:val="312" w:hRule="atLeast"/>
        </w:trPr>
        <w:tc>
          <w:tcPr>
            <w:tcW w:w="1360" w:type="dxa"/>
            <w:vMerge w:val="continue"/>
            <w:tcBorders>
              <w:top w:val="nil"/>
              <w:left w:val="nil"/>
              <w:bottom w:val="nil"/>
              <w:right w:val="nil"/>
            </w:tcBorders>
            <w:vAlign w:val="center"/>
          </w:tcPr>
          <w:p w14:paraId="4CFD4A0E">
            <w:pPr>
              <w:widowControl/>
              <w:jc w:val="left"/>
              <w:rPr>
                <w:rFonts w:ascii="Times New Roman" w:hAnsi="Times New Roman" w:eastAsia="等线" w:cs="Times New Roman"/>
                <w:color w:val="000000"/>
                <w:kern w:val="0"/>
                <w:sz w:val="24"/>
                <w:szCs w:val="24"/>
              </w:rPr>
            </w:pPr>
          </w:p>
        </w:tc>
        <w:tc>
          <w:tcPr>
            <w:tcW w:w="4440" w:type="dxa"/>
            <w:tcBorders>
              <w:top w:val="nil"/>
              <w:left w:val="nil"/>
              <w:bottom w:val="nil"/>
              <w:right w:val="nil"/>
            </w:tcBorders>
            <w:noWrap/>
          </w:tcPr>
          <w:p w14:paraId="2C0EC7BD">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CGAAGGTACTTCCTGGGGTTA</w:t>
            </w:r>
          </w:p>
        </w:tc>
      </w:tr>
      <w:tr w14:paraId="4DA76E3E">
        <w:tblPrEx>
          <w:tblCellMar>
            <w:top w:w="0" w:type="dxa"/>
            <w:left w:w="108" w:type="dxa"/>
            <w:bottom w:w="0" w:type="dxa"/>
            <w:right w:w="108" w:type="dxa"/>
          </w:tblCellMar>
        </w:tblPrEx>
        <w:trPr>
          <w:trHeight w:val="312" w:hRule="atLeast"/>
        </w:trPr>
        <w:tc>
          <w:tcPr>
            <w:tcW w:w="1360" w:type="dxa"/>
            <w:vMerge w:val="restart"/>
            <w:tcBorders>
              <w:top w:val="nil"/>
              <w:left w:val="nil"/>
              <w:bottom w:val="nil"/>
              <w:right w:val="nil"/>
            </w:tcBorders>
            <w:noWrap/>
            <w:vAlign w:val="center"/>
          </w:tcPr>
          <w:p w14:paraId="0E16E734">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NSUN2</w:t>
            </w:r>
          </w:p>
        </w:tc>
        <w:tc>
          <w:tcPr>
            <w:tcW w:w="4440" w:type="dxa"/>
            <w:tcBorders>
              <w:top w:val="nil"/>
              <w:left w:val="nil"/>
              <w:bottom w:val="nil"/>
              <w:right w:val="nil"/>
            </w:tcBorders>
            <w:noWrap/>
          </w:tcPr>
          <w:p w14:paraId="1FB0688B">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ACCTGGCTCAAAGACCACACAG</w:t>
            </w:r>
          </w:p>
        </w:tc>
      </w:tr>
      <w:tr w14:paraId="5B95E561">
        <w:tblPrEx>
          <w:tblCellMar>
            <w:top w:w="0" w:type="dxa"/>
            <w:left w:w="108" w:type="dxa"/>
            <w:bottom w:w="0" w:type="dxa"/>
            <w:right w:w="108" w:type="dxa"/>
          </w:tblCellMar>
        </w:tblPrEx>
        <w:trPr>
          <w:trHeight w:val="312" w:hRule="atLeast"/>
        </w:trPr>
        <w:tc>
          <w:tcPr>
            <w:tcW w:w="1360" w:type="dxa"/>
            <w:vMerge w:val="continue"/>
            <w:tcBorders>
              <w:top w:val="nil"/>
              <w:left w:val="nil"/>
              <w:bottom w:val="nil"/>
              <w:right w:val="nil"/>
            </w:tcBorders>
            <w:vAlign w:val="center"/>
          </w:tcPr>
          <w:p w14:paraId="2B3D20E2">
            <w:pPr>
              <w:widowControl/>
              <w:jc w:val="left"/>
              <w:rPr>
                <w:rFonts w:ascii="Times New Roman" w:hAnsi="Times New Roman" w:eastAsia="等线" w:cs="Times New Roman"/>
                <w:color w:val="000000"/>
                <w:kern w:val="0"/>
                <w:sz w:val="24"/>
                <w:szCs w:val="24"/>
              </w:rPr>
            </w:pPr>
          </w:p>
        </w:tc>
        <w:tc>
          <w:tcPr>
            <w:tcW w:w="4440" w:type="dxa"/>
            <w:tcBorders>
              <w:top w:val="nil"/>
              <w:left w:val="nil"/>
              <w:bottom w:val="nil"/>
              <w:right w:val="nil"/>
            </w:tcBorders>
            <w:noWrap/>
          </w:tcPr>
          <w:p w14:paraId="63234834">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TGGCTTGATGGACGAGCAGGTA</w:t>
            </w:r>
          </w:p>
        </w:tc>
      </w:tr>
      <w:tr w14:paraId="674065F6">
        <w:tblPrEx>
          <w:tblCellMar>
            <w:top w:w="0" w:type="dxa"/>
            <w:left w:w="108" w:type="dxa"/>
            <w:bottom w:w="0" w:type="dxa"/>
            <w:right w:w="108" w:type="dxa"/>
          </w:tblCellMar>
        </w:tblPrEx>
        <w:trPr>
          <w:trHeight w:val="312" w:hRule="atLeast"/>
        </w:trPr>
        <w:tc>
          <w:tcPr>
            <w:tcW w:w="1360" w:type="dxa"/>
            <w:vMerge w:val="restart"/>
            <w:tcBorders>
              <w:top w:val="nil"/>
              <w:left w:val="nil"/>
              <w:bottom w:val="nil"/>
              <w:right w:val="nil"/>
            </w:tcBorders>
            <w:noWrap/>
            <w:vAlign w:val="center"/>
          </w:tcPr>
          <w:p w14:paraId="208DA90F">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CDCA5</w:t>
            </w:r>
          </w:p>
        </w:tc>
        <w:tc>
          <w:tcPr>
            <w:tcW w:w="4440" w:type="dxa"/>
            <w:tcBorders>
              <w:top w:val="nil"/>
              <w:left w:val="nil"/>
              <w:bottom w:val="nil"/>
              <w:right w:val="nil"/>
            </w:tcBorders>
            <w:noWrap/>
            <w:vAlign w:val="bottom"/>
          </w:tcPr>
          <w:p w14:paraId="759B70B9">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CCAGCGGAAATCAGGCTCTGAA</w:t>
            </w:r>
          </w:p>
        </w:tc>
      </w:tr>
      <w:tr w14:paraId="50E45337">
        <w:tblPrEx>
          <w:tblCellMar>
            <w:top w:w="0" w:type="dxa"/>
            <w:left w:w="108" w:type="dxa"/>
            <w:bottom w:w="0" w:type="dxa"/>
            <w:right w:w="108" w:type="dxa"/>
          </w:tblCellMar>
        </w:tblPrEx>
        <w:trPr>
          <w:trHeight w:val="312" w:hRule="atLeast"/>
        </w:trPr>
        <w:tc>
          <w:tcPr>
            <w:tcW w:w="1360" w:type="dxa"/>
            <w:vMerge w:val="continue"/>
            <w:tcBorders>
              <w:top w:val="nil"/>
              <w:left w:val="nil"/>
              <w:bottom w:val="nil"/>
              <w:right w:val="nil"/>
            </w:tcBorders>
            <w:vAlign w:val="center"/>
          </w:tcPr>
          <w:p w14:paraId="2C9478D8">
            <w:pPr>
              <w:widowControl/>
              <w:jc w:val="left"/>
              <w:rPr>
                <w:rFonts w:ascii="Times New Roman" w:hAnsi="Times New Roman" w:eastAsia="等线" w:cs="Times New Roman"/>
                <w:color w:val="000000"/>
                <w:kern w:val="0"/>
                <w:sz w:val="24"/>
                <w:szCs w:val="24"/>
              </w:rPr>
            </w:pPr>
          </w:p>
        </w:tc>
        <w:tc>
          <w:tcPr>
            <w:tcW w:w="4440" w:type="dxa"/>
            <w:tcBorders>
              <w:top w:val="nil"/>
              <w:left w:val="nil"/>
              <w:bottom w:val="nil"/>
              <w:right w:val="nil"/>
            </w:tcBorders>
            <w:noWrap/>
            <w:vAlign w:val="bottom"/>
          </w:tcPr>
          <w:p w14:paraId="56ECAE37">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CGATCCTCTTTAAGACGATGGGC</w:t>
            </w:r>
          </w:p>
        </w:tc>
      </w:tr>
      <w:tr w14:paraId="30FB5F4D">
        <w:tblPrEx>
          <w:tblCellMar>
            <w:top w:w="0" w:type="dxa"/>
            <w:left w:w="108" w:type="dxa"/>
            <w:bottom w:w="0" w:type="dxa"/>
            <w:right w:w="108" w:type="dxa"/>
          </w:tblCellMar>
        </w:tblPrEx>
        <w:trPr>
          <w:trHeight w:val="312" w:hRule="atLeast"/>
        </w:trPr>
        <w:tc>
          <w:tcPr>
            <w:tcW w:w="1360" w:type="dxa"/>
            <w:vMerge w:val="restart"/>
            <w:tcBorders>
              <w:top w:val="nil"/>
              <w:left w:val="nil"/>
              <w:bottom w:val="nil"/>
              <w:right w:val="nil"/>
            </w:tcBorders>
            <w:noWrap/>
            <w:vAlign w:val="center"/>
          </w:tcPr>
          <w:p w14:paraId="625939A6">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PKMYT1</w:t>
            </w:r>
          </w:p>
        </w:tc>
        <w:tc>
          <w:tcPr>
            <w:tcW w:w="4440" w:type="dxa"/>
            <w:tcBorders>
              <w:top w:val="nil"/>
              <w:left w:val="nil"/>
              <w:bottom w:val="nil"/>
              <w:right w:val="nil"/>
            </w:tcBorders>
            <w:noWrap/>
          </w:tcPr>
          <w:p w14:paraId="140578E3">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TATGGGACAGCAGCGGATGTGT</w:t>
            </w:r>
          </w:p>
        </w:tc>
      </w:tr>
      <w:tr w14:paraId="75494CDF">
        <w:tblPrEx>
          <w:tblCellMar>
            <w:top w:w="0" w:type="dxa"/>
            <w:left w:w="108" w:type="dxa"/>
            <w:bottom w:w="0" w:type="dxa"/>
            <w:right w:w="108" w:type="dxa"/>
          </w:tblCellMar>
        </w:tblPrEx>
        <w:trPr>
          <w:trHeight w:val="312" w:hRule="atLeast"/>
        </w:trPr>
        <w:tc>
          <w:tcPr>
            <w:tcW w:w="1360" w:type="dxa"/>
            <w:vMerge w:val="continue"/>
            <w:tcBorders>
              <w:top w:val="nil"/>
              <w:left w:val="nil"/>
              <w:bottom w:val="nil"/>
              <w:right w:val="nil"/>
            </w:tcBorders>
            <w:vAlign w:val="center"/>
          </w:tcPr>
          <w:p w14:paraId="3683E7B6">
            <w:pPr>
              <w:widowControl/>
              <w:jc w:val="left"/>
              <w:rPr>
                <w:rFonts w:ascii="Times New Roman" w:hAnsi="Times New Roman" w:eastAsia="等线" w:cs="Times New Roman"/>
                <w:color w:val="000000"/>
                <w:kern w:val="0"/>
                <w:sz w:val="24"/>
                <w:szCs w:val="24"/>
              </w:rPr>
            </w:pPr>
          </w:p>
        </w:tc>
        <w:tc>
          <w:tcPr>
            <w:tcW w:w="4440" w:type="dxa"/>
            <w:tcBorders>
              <w:top w:val="nil"/>
              <w:left w:val="nil"/>
              <w:bottom w:val="nil"/>
              <w:right w:val="nil"/>
            </w:tcBorders>
            <w:noWrap/>
          </w:tcPr>
          <w:p w14:paraId="7D5D09AE">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AGAACGCAGCTCGGAAGACAGA</w:t>
            </w:r>
          </w:p>
        </w:tc>
      </w:tr>
      <w:tr w14:paraId="376DD035">
        <w:tblPrEx>
          <w:tblCellMar>
            <w:top w:w="0" w:type="dxa"/>
            <w:left w:w="108" w:type="dxa"/>
            <w:bottom w:w="0" w:type="dxa"/>
            <w:right w:w="108" w:type="dxa"/>
          </w:tblCellMar>
        </w:tblPrEx>
        <w:trPr>
          <w:trHeight w:val="312" w:hRule="atLeast"/>
        </w:trPr>
        <w:tc>
          <w:tcPr>
            <w:tcW w:w="1360" w:type="dxa"/>
            <w:vMerge w:val="restart"/>
            <w:tcBorders>
              <w:top w:val="nil"/>
              <w:left w:val="nil"/>
              <w:bottom w:val="single" w:color="000000" w:sz="4" w:space="0"/>
              <w:right w:val="nil"/>
            </w:tcBorders>
            <w:noWrap/>
            <w:vAlign w:val="center"/>
          </w:tcPr>
          <w:p w14:paraId="1817002C">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β-actin</w:t>
            </w:r>
          </w:p>
        </w:tc>
        <w:tc>
          <w:tcPr>
            <w:tcW w:w="4440" w:type="dxa"/>
            <w:tcBorders>
              <w:top w:val="nil"/>
              <w:left w:val="nil"/>
              <w:bottom w:val="nil"/>
              <w:right w:val="nil"/>
            </w:tcBorders>
            <w:noWrap/>
          </w:tcPr>
          <w:p w14:paraId="456E66E2">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F: TCCTGTGGCATCCACGAAACT</w:t>
            </w:r>
          </w:p>
        </w:tc>
      </w:tr>
      <w:tr w14:paraId="63704D16">
        <w:tblPrEx>
          <w:tblCellMar>
            <w:top w:w="0" w:type="dxa"/>
            <w:left w:w="108" w:type="dxa"/>
            <w:bottom w:w="0" w:type="dxa"/>
            <w:right w:w="108" w:type="dxa"/>
          </w:tblCellMar>
        </w:tblPrEx>
        <w:trPr>
          <w:trHeight w:val="312" w:hRule="atLeast"/>
        </w:trPr>
        <w:tc>
          <w:tcPr>
            <w:tcW w:w="1360" w:type="dxa"/>
            <w:vMerge w:val="continue"/>
            <w:tcBorders>
              <w:top w:val="nil"/>
              <w:left w:val="nil"/>
              <w:bottom w:val="single" w:color="000000" w:sz="4" w:space="0"/>
              <w:right w:val="nil"/>
            </w:tcBorders>
            <w:vAlign w:val="center"/>
          </w:tcPr>
          <w:p w14:paraId="0AD94E82">
            <w:pPr>
              <w:widowControl/>
              <w:jc w:val="left"/>
              <w:rPr>
                <w:rFonts w:ascii="Times New Roman" w:hAnsi="Times New Roman" w:eastAsia="等线" w:cs="Times New Roman"/>
                <w:color w:val="000000"/>
                <w:kern w:val="0"/>
                <w:sz w:val="24"/>
                <w:szCs w:val="24"/>
              </w:rPr>
            </w:pPr>
          </w:p>
        </w:tc>
        <w:tc>
          <w:tcPr>
            <w:tcW w:w="4440" w:type="dxa"/>
            <w:tcBorders>
              <w:top w:val="nil"/>
              <w:left w:val="nil"/>
              <w:bottom w:val="single" w:color="auto" w:sz="4" w:space="0"/>
              <w:right w:val="nil"/>
            </w:tcBorders>
            <w:noWrap/>
          </w:tcPr>
          <w:p w14:paraId="4DA58F1E">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R: GAAGCATTTGCGGTGGACGAT</w:t>
            </w:r>
          </w:p>
        </w:tc>
      </w:tr>
    </w:tbl>
    <w:p w14:paraId="17934248">
      <w:pPr>
        <w:spacing w:line="360" w:lineRule="auto"/>
        <w:rPr>
          <w:rFonts w:ascii="Times New Roman" w:hAnsi="Times New Roman" w:cs="Times New Roman"/>
          <w:b/>
          <w:bCs/>
          <w:sz w:val="24"/>
          <w:szCs w:val="24"/>
          <w:u w:val="singl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CA"/>
    <w:rsid w:val="00012358"/>
    <w:rsid w:val="000230FA"/>
    <w:rsid w:val="000236F0"/>
    <w:rsid w:val="0005361C"/>
    <w:rsid w:val="00064E95"/>
    <w:rsid w:val="0006701E"/>
    <w:rsid w:val="000720E4"/>
    <w:rsid w:val="00097724"/>
    <w:rsid w:val="000E3466"/>
    <w:rsid w:val="00115B53"/>
    <w:rsid w:val="00135795"/>
    <w:rsid w:val="001A5FC1"/>
    <w:rsid w:val="001C15D0"/>
    <w:rsid w:val="001C4872"/>
    <w:rsid w:val="001D6300"/>
    <w:rsid w:val="00202670"/>
    <w:rsid w:val="00220136"/>
    <w:rsid w:val="00226EE1"/>
    <w:rsid w:val="00252681"/>
    <w:rsid w:val="002941C1"/>
    <w:rsid w:val="00296E2D"/>
    <w:rsid w:val="002B45F4"/>
    <w:rsid w:val="002C26A9"/>
    <w:rsid w:val="002D6F1E"/>
    <w:rsid w:val="00306F9F"/>
    <w:rsid w:val="00325FBF"/>
    <w:rsid w:val="00333052"/>
    <w:rsid w:val="0035220A"/>
    <w:rsid w:val="00382BF3"/>
    <w:rsid w:val="003A6438"/>
    <w:rsid w:val="003B2AD3"/>
    <w:rsid w:val="003E6262"/>
    <w:rsid w:val="0042536A"/>
    <w:rsid w:val="004B3EDA"/>
    <w:rsid w:val="004C5A4B"/>
    <w:rsid w:val="00500BA8"/>
    <w:rsid w:val="00513A46"/>
    <w:rsid w:val="0052418E"/>
    <w:rsid w:val="00527E20"/>
    <w:rsid w:val="00567BF0"/>
    <w:rsid w:val="0058503B"/>
    <w:rsid w:val="005F19BE"/>
    <w:rsid w:val="00620479"/>
    <w:rsid w:val="00650340"/>
    <w:rsid w:val="0066036B"/>
    <w:rsid w:val="00662CAA"/>
    <w:rsid w:val="00686798"/>
    <w:rsid w:val="006907F6"/>
    <w:rsid w:val="006B712D"/>
    <w:rsid w:val="006C2DFD"/>
    <w:rsid w:val="006F09D1"/>
    <w:rsid w:val="006F1668"/>
    <w:rsid w:val="00723EFC"/>
    <w:rsid w:val="0073086C"/>
    <w:rsid w:val="0075798D"/>
    <w:rsid w:val="00821EA4"/>
    <w:rsid w:val="0085228D"/>
    <w:rsid w:val="008636F2"/>
    <w:rsid w:val="00865B2E"/>
    <w:rsid w:val="008C6ACA"/>
    <w:rsid w:val="008D5885"/>
    <w:rsid w:val="008E6DA7"/>
    <w:rsid w:val="008F357D"/>
    <w:rsid w:val="009117B8"/>
    <w:rsid w:val="009126EE"/>
    <w:rsid w:val="0093798F"/>
    <w:rsid w:val="00975220"/>
    <w:rsid w:val="00976F00"/>
    <w:rsid w:val="009E2744"/>
    <w:rsid w:val="00A31D47"/>
    <w:rsid w:val="00A82389"/>
    <w:rsid w:val="00AA1D6B"/>
    <w:rsid w:val="00AA3A4C"/>
    <w:rsid w:val="00AB204C"/>
    <w:rsid w:val="00AC1230"/>
    <w:rsid w:val="00AD6D19"/>
    <w:rsid w:val="00AF1DE2"/>
    <w:rsid w:val="00AF43D4"/>
    <w:rsid w:val="00B064AF"/>
    <w:rsid w:val="00B268C7"/>
    <w:rsid w:val="00B51820"/>
    <w:rsid w:val="00B5707D"/>
    <w:rsid w:val="00B65F18"/>
    <w:rsid w:val="00B93DD9"/>
    <w:rsid w:val="00BB7BC0"/>
    <w:rsid w:val="00BD2878"/>
    <w:rsid w:val="00C25ED7"/>
    <w:rsid w:val="00C2767E"/>
    <w:rsid w:val="00C7734F"/>
    <w:rsid w:val="00CE3867"/>
    <w:rsid w:val="00D02AFA"/>
    <w:rsid w:val="00D201E5"/>
    <w:rsid w:val="00D66F42"/>
    <w:rsid w:val="00D72083"/>
    <w:rsid w:val="00D835FB"/>
    <w:rsid w:val="00D87575"/>
    <w:rsid w:val="00DA7186"/>
    <w:rsid w:val="00DD65D4"/>
    <w:rsid w:val="00E861EA"/>
    <w:rsid w:val="00E935FA"/>
    <w:rsid w:val="00EB514B"/>
    <w:rsid w:val="00F00A33"/>
    <w:rsid w:val="00F10D1B"/>
    <w:rsid w:val="00F16F15"/>
    <w:rsid w:val="00F808A3"/>
    <w:rsid w:val="00F92C33"/>
    <w:rsid w:val="00FA6E67"/>
    <w:rsid w:val="00FD0D93"/>
    <w:rsid w:val="00FF25EA"/>
    <w:rsid w:val="00FF262A"/>
    <w:rsid w:val="00FF5FEB"/>
    <w:rsid w:val="045D0A67"/>
    <w:rsid w:val="150712B5"/>
    <w:rsid w:val="18047608"/>
    <w:rsid w:val="1BFA0E7A"/>
    <w:rsid w:val="1F4153C3"/>
    <w:rsid w:val="21F7667E"/>
    <w:rsid w:val="2C492033"/>
    <w:rsid w:val="2DC07DFB"/>
    <w:rsid w:val="2F2C6948"/>
    <w:rsid w:val="316E3275"/>
    <w:rsid w:val="338C193C"/>
    <w:rsid w:val="3A8367C5"/>
    <w:rsid w:val="42F470A1"/>
    <w:rsid w:val="53F217E0"/>
    <w:rsid w:val="545033D7"/>
    <w:rsid w:val="55605F17"/>
    <w:rsid w:val="5CF61E6B"/>
    <w:rsid w:val="5DEB18A5"/>
    <w:rsid w:val="5EFF1D89"/>
    <w:rsid w:val="5F322057"/>
    <w:rsid w:val="62F70DAC"/>
    <w:rsid w:val="6F863CF9"/>
    <w:rsid w:val="741F505D"/>
    <w:rsid w:val="74CA4688"/>
    <w:rsid w:val="76436E10"/>
    <w:rsid w:val="7852054E"/>
    <w:rsid w:val="78526CEE"/>
    <w:rsid w:val="7F5C51D4"/>
    <w:rsid w:val="7FC53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spacing w:before="160" w:after="80" w:line="278" w:lineRule="auto"/>
      <w:jc w:val="left"/>
      <w:outlineLvl w:val="1"/>
    </w:pPr>
    <w:rPr>
      <w:rFonts w:asciiTheme="majorHAnsi" w:hAnsiTheme="majorHAnsi" w:eastAsiaTheme="majorEastAsia" w:cstheme="majorBidi"/>
      <w:color w:val="2F5597" w:themeColor="accent1" w:themeShade="BF"/>
      <w:sz w:val="40"/>
      <w:szCs w:val="40"/>
      <w14:ligatures w14:val="standardContextual"/>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1247</Words>
  <Characters>7380</Characters>
  <Lines>211</Lines>
  <Paragraphs>69</Paragraphs>
  <TotalTime>2</TotalTime>
  <ScaleCrop>false</ScaleCrop>
  <LinksUpToDate>false</LinksUpToDate>
  <CharactersWithSpaces>8575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2022-09-26T01:28:00Z</dcterms:created>
  <dc:creator>汪 继</dc:creator>
  <cp:lastModifiedBy>小汪</cp:lastModifiedBy>
  <dcterms:modified xsi:type="dcterms:W3CDTF">2026-07-07T11:01:11Z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eyJoZGlkIjoiMzAxMjYzMmQ0OGNhMTYxODc0NTQxMWYwMWRkNDdmYzQiLCJ1c2VySWQiOiIyMzgxNjA1NzUifQ==</vt:lpwstr>
  </property>
  <property fmtid="{D5CDD505-2E9C-101B-9397-08002B2CF9AE}" pid="3" name="KSOProductBuildVer">
    <vt:lpwstr>2052-12.1.0.26895</vt:lpwstr>
  </property>
  <property fmtid="{D5CDD505-2E9C-101B-9397-08002B2CF9AE}" pid="4" name="ICV">
    <vt:lpwstr>77E0CED59012485E87EF84A409234670_12</vt:lpwstr>
  </property>
</Properties>
</file>