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0D32E" w14:textId="324D6320" w:rsidR="002F69BA" w:rsidRDefault="00C3388D" w:rsidP="00AA2B54">
      <w:pPr>
        <w:ind w:left="-900"/>
        <w:rPr>
          <w:rFonts w:ascii="Aptos" w:hAnsi="Aptos" w:cs="Calibri"/>
          <w:b/>
          <w:bCs/>
          <w:color w:val="000000" w:themeColor="text1"/>
        </w:rPr>
      </w:pPr>
      <w:r>
        <w:rPr>
          <w:rFonts w:ascii="Aptos" w:hAnsi="Aptos" w:cs="Calibri"/>
          <w:noProof/>
          <w:color w:val="000000" w:themeColor="text1"/>
        </w:rPr>
        <w:drawing>
          <wp:inline distT="0" distB="0" distL="0" distR="0" wp14:anchorId="5DE09113" wp14:editId="1D281133">
            <wp:extent cx="7238365" cy="4572000"/>
            <wp:effectExtent l="0" t="0" r="635" b="0"/>
            <wp:docPr id="1272964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64945" name="Picture 12729649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E12A" w14:textId="77777777" w:rsidR="004A6A93" w:rsidRPr="00B17452" w:rsidRDefault="004A6A93" w:rsidP="004A6A93">
      <w:pPr>
        <w:pStyle w:val="Caption"/>
        <w:spacing w:line="276" w:lineRule="auto"/>
        <w:rPr>
          <w:rFonts w:ascii="Aptos" w:hAnsi="Aptos" w:cs="Calibri"/>
          <w:color w:val="000000" w:themeColor="text1"/>
          <w:sz w:val="24"/>
          <w:szCs w:val="24"/>
        </w:rPr>
      </w:pPr>
      <w:r>
        <w:rPr>
          <w:rFonts w:ascii="Aptos" w:hAnsi="Aptos" w:cs="Calibri"/>
          <w:b/>
          <w:bCs/>
          <w:color w:val="000000" w:themeColor="text1"/>
          <w:sz w:val="24"/>
          <w:szCs w:val="24"/>
        </w:rPr>
        <w:t>Supplementary</w:t>
      </w:r>
      <w:r w:rsidRPr="003858E8">
        <w:rPr>
          <w:rFonts w:ascii="Aptos" w:hAnsi="Aptos" w:cs="Calibri"/>
          <w:b/>
          <w:bCs/>
          <w:color w:val="000000" w:themeColor="text1"/>
          <w:sz w:val="24"/>
          <w:szCs w:val="24"/>
        </w:rPr>
        <w:t xml:space="preserve"> Figure</w:t>
      </w:r>
      <w:r>
        <w:rPr>
          <w:rFonts w:ascii="Aptos" w:hAnsi="Aptos" w:cs="Calibri"/>
          <w:b/>
          <w:bCs/>
          <w:color w:val="000000" w:themeColor="text1"/>
          <w:sz w:val="24"/>
          <w:szCs w:val="24"/>
        </w:rPr>
        <w:t xml:space="preserve"> 1</w:t>
      </w:r>
      <w:r w:rsidRPr="003858E8">
        <w:rPr>
          <w:rFonts w:ascii="Aptos" w:hAnsi="Aptos" w:cs="Calibri"/>
          <w:b/>
          <w:bCs/>
          <w:color w:val="000000" w:themeColor="text1"/>
          <w:sz w:val="24"/>
          <w:szCs w:val="24"/>
        </w:rPr>
        <w:t>.</w:t>
      </w:r>
      <w:r w:rsidRPr="003858E8">
        <w:rPr>
          <w:rFonts w:ascii="Aptos" w:hAnsi="Aptos" w:cs="Calibri"/>
          <w:color w:val="000000" w:themeColor="text1"/>
          <w:sz w:val="24"/>
          <w:szCs w:val="24"/>
        </w:rPr>
        <w:t xml:space="preserve"> </w:t>
      </w:r>
      <w:r>
        <w:rPr>
          <w:rFonts w:ascii="Aptos" w:hAnsi="Aptos" w:cs="Calibri"/>
          <w:b/>
          <w:bCs/>
          <w:color w:val="000000" w:themeColor="text1"/>
          <w:sz w:val="24"/>
          <w:szCs w:val="24"/>
        </w:rPr>
        <w:t xml:space="preserve">Volunteers’ </w:t>
      </w:r>
      <w:r w:rsidRPr="003858E8">
        <w:rPr>
          <w:rFonts w:ascii="Aptos" w:hAnsi="Aptos" w:cs="Calibri"/>
          <w:b/>
          <w:bCs/>
          <w:color w:val="000000" w:themeColor="text1"/>
          <w:sz w:val="24"/>
          <w:szCs w:val="24"/>
        </w:rPr>
        <w:t>Influenza kinetics.</w:t>
      </w:r>
      <w:r w:rsidRPr="0017738C">
        <w:rPr>
          <w:rFonts w:ascii="Aptos" w:hAnsi="Aptos" w:cs="Calibri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014B27">
        <w:rPr>
          <w:rFonts w:ascii="Aptos" w:hAnsi="Aptos" w:cs="Calibri"/>
          <w:color w:val="000000" w:themeColor="text1"/>
          <w:sz w:val="24"/>
          <w:szCs w:val="24"/>
        </w:rPr>
        <w:t>Tissue Culture Infectious Dose (TCID</w:t>
      </w:r>
      <w:r w:rsidRPr="00014B27">
        <w:rPr>
          <w:rFonts w:ascii="Aptos" w:hAnsi="Aptos" w:cs="Calibri"/>
          <w:color w:val="000000" w:themeColor="text1"/>
          <w:sz w:val="24"/>
          <w:szCs w:val="24"/>
          <w:vertAlign w:val="subscript"/>
        </w:rPr>
        <w:t>50</w:t>
      </w:r>
      <w:r w:rsidRPr="00014B27">
        <w:rPr>
          <w:rFonts w:ascii="Aptos" w:hAnsi="Aptos" w:cs="Calibri"/>
          <w:color w:val="000000" w:themeColor="text1"/>
          <w:sz w:val="24"/>
          <w:szCs w:val="24"/>
        </w:rPr>
        <w:t>) kinetics following human challenge in 44 untreated volunteers.</w:t>
      </w:r>
      <w:r>
        <w:rPr>
          <w:rFonts w:ascii="Aptos" w:hAnsi="Aptos" w:cs="Calibri"/>
          <w:color w:val="000000" w:themeColor="text1"/>
          <w:sz w:val="24"/>
          <w:szCs w:val="24"/>
        </w:rPr>
        <w:t xml:space="preserve"> I</w:t>
      </w:r>
      <w:r w:rsidRPr="00014B27">
        <w:rPr>
          <w:rFonts w:ascii="Aptos" w:hAnsi="Aptos" w:cs="Calibri"/>
          <w:color w:val="000000" w:themeColor="text1"/>
          <w:sz w:val="24"/>
          <w:szCs w:val="24"/>
        </w:rPr>
        <w:t>ndividual</w:t>
      </w:r>
      <w:r>
        <w:rPr>
          <w:rFonts w:ascii="Aptos" w:hAnsi="Aptos" w:cs="Calibri"/>
          <w:color w:val="000000" w:themeColor="text1"/>
          <w:sz w:val="24"/>
          <w:szCs w:val="24"/>
        </w:rPr>
        <w:t>s</w:t>
      </w:r>
      <w:r w:rsidRPr="00014B27">
        <w:rPr>
          <w:rFonts w:ascii="Aptos" w:hAnsi="Aptos" w:cs="Calibri"/>
          <w:color w:val="000000" w:themeColor="text1"/>
          <w:sz w:val="24"/>
          <w:szCs w:val="24"/>
        </w:rPr>
        <w:t xml:space="preserve"> </w:t>
      </w:r>
      <w:r>
        <w:rPr>
          <w:rFonts w:ascii="Aptos" w:hAnsi="Aptos" w:cs="Calibri"/>
          <w:color w:val="000000" w:themeColor="text1"/>
          <w:sz w:val="24"/>
          <w:szCs w:val="24"/>
        </w:rPr>
        <w:t xml:space="preserve">are </w:t>
      </w:r>
      <w:r w:rsidRPr="00014B27">
        <w:rPr>
          <w:rFonts w:ascii="Aptos" w:hAnsi="Aptos" w:cs="Calibri"/>
          <w:color w:val="000000" w:themeColor="text1"/>
          <w:sz w:val="24"/>
          <w:szCs w:val="24"/>
        </w:rPr>
        <w:t>categorized as high (blue) or low (red)-shedders</w:t>
      </w:r>
      <w:r>
        <w:rPr>
          <w:rFonts w:ascii="Aptos" w:hAnsi="Aptos" w:cs="Calibri"/>
          <w:color w:val="000000" w:themeColor="text1"/>
          <w:sz w:val="24"/>
          <w:szCs w:val="24"/>
        </w:rPr>
        <w:t xml:space="preserve"> as defined in the Data Pre-Processing section of Materials and Methods</w:t>
      </w:r>
      <w:r w:rsidRPr="00014B27">
        <w:rPr>
          <w:rFonts w:ascii="Aptos" w:hAnsi="Aptos" w:cs="Calibri"/>
          <w:color w:val="000000" w:themeColor="text1"/>
          <w:sz w:val="24"/>
          <w:szCs w:val="24"/>
        </w:rPr>
        <w:t>. The title of each panel corresponds to the volunteer’s ID number. A and B denote influenza A or B infection. Solid lines are used to connect dat</w:t>
      </w:r>
      <w:r>
        <w:rPr>
          <w:rFonts w:ascii="Aptos" w:hAnsi="Aptos" w:cs="Calibri"/>
          <w:color w:val="000000" w:themeColor="text1"/>
          <w:sz w:val="24"/>
          <w:szCs w:val="24"/>
        </w:rPr>
        <w:t xml:space="preserve">a. </w:t>
      </w:r>
    </w:p>
    <w:p w14:paraId="325F8025" w14:textId="77777777" w:rsidR="004A6A93" w:rsidRDefault="004A6A93" w:rsidP="00AA2B54">
      <w:pPr>
        <w:ind w:left="-900"/>
        <w:rPr>
          <w:rFonts w:ascii="Aptos" w:hAnsi="Aptos" w:cs="Calibri"/>
          <w:b/>
          <w:bCs/>
          <w:color w:val="000000" w:themeColor="text1"/>
        </w:rPr>
      </w:pPr>
    </w:p>
    <w:p w14:paraId="3366A806" w14:textId="77777777" w:rsidR="006D25E9" w:rsidRDefault="006D25E9" w:rsidP="009E4AEB">
      <w:pPr>
        <w:ind w:left="-1440"/>
        <w:rPr>
          <w:rFonts w:ascii="Aptos" w:hAnsi="Aptos" w:cs="Calibri"/>
          <w:b/>
          <w:bCs/>
          <w:color w:val="000000" w:themeColor="text1"/>
        </w:rPr>
      </w:pPr>
    </w:p>
    <w:p w14:paraId="53F33E37" w14:textId="13B0DC9C" w:rsidR="00420E17" w:rsidRDefault="00420E17" w:rsidP="009E4AEB">
      <w:pPr>
        <w:ind w:left="-1440"/>
        <w:rPr>
          <w:rFonts w:ascii="Aptos" w:hAnsi="Aptos" w:cs="Calibri"/>
          <w:b/>
          <w:bCs/>
          <w:color w:val="000000" w:themeColor="text1"/>
        </w:rPr>
      </w:pPr>
      <w:r>
        <w:rPr>
          <w:rFonts w:ascii="Aptos" w:hAnsi="Aptos" w:cs="Calibri"/>
          <w:b/>
          <w:bCs/>
          <w:color w:val="000000" w:themeColor="text1"/>
        </w:rPr>
        <w:br w:type="page"/>
      </w:r>
    </w:p>
    <w:p w14:paraId="38485A0B" w14:textId="0A72D771" w:rsidR="003D781C" w:rsidRDefault="00A64624" w:rsidP="009E4AEB">
      <w:pPr>
        <w:ind w:left="-990"/>
        <w:rPr>
          <w:rFonts w:ascii="Aptos" w:hAnsi="Aptos" w:cs="Aparajita"/>
          <w:b/>
          <w:bCs/>
          <w:color w:val="000000" w:themeColor="text1"/>
        </w:rPr>
      </w:pPr>
      <w:r>
        <w:rPr>
          <w:rFonts w:ascii="Aptos" w:hAnsi="Aptos" w:cs="Calibri"/>
          <w:b/>
          <w:bCs/>
          <w:noProof/>
          <w:color w:val="000000" w:themeColor="text1"/>
        </w:rPr>
        <w:lastRenderedPageBreak/>
        <w:drawing>
          <wp:inline distT="0" distB="0" distL="0" distR="0" wp14:anchorId="45F795D4" wp14:editId="6E12907E">
            <wp:extent cx="7314566" cy="4572000"/>
            <wp:effectExtent l="0" t="0" r="635" b="0"/>
            <wp:docPr id="9567800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80095" name="Picture 9567800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BB25" w14:textId="7ED7B816" w:rsidR="00303AC4" w:rsidRDefault="00B35B8A" w:rsidP="006C1F66">
      <w:pPr>
        <w:rPr>
          <w:rFonts w:ascii="Aptos" w:hAnsi="Aptos" w:cs="Aparajita"/>
          <w:b/>
          <w:bCs/>
          <w:color w:val="000000" w:themeColor="text1"/>
        </w:rPr>
      </w:pPr>
      <w:r w:rsidRPr="005D6A8E">
        <w:rPr>
          <w:rFonts w:ascii="Aptos" w:hAnsi="Aptos" w:cs="Calibri"/>
          <w:b/>
          <w:bCs/>
          <w:color w:val="000000" w:themeColor="text1"/>
        </w:rPr>
        <w:t>Supplementar</w:t>
      </w:r>
      <w:r>
        <w:rPr>
          <w:rFonts w:ascii="Aptos" w:hAnsi="Aptos" w:cs="Calibri"/>
          <w:b/>
          <w:bCs/>
          <w:color w:val="000000" w:themeColor="text1"/>
        </w:rPr>
        <w:t>y</w:t>
      </w:r>
      <w:r w:rsidRPr="005D6A8E">
        <w:rPr>
          <w:rFonts w:ascii="Aptos" w:hAnsi="Aptos" w:cs="Calibri"/>
          <w:b/>
          <w:bCs/>
          <w:color w:val="000000" w:themeColor="text1"/>
        </w:rPr>
        <w:t xml:space="preserve"> Figure </w:t>
      </w:r>
      <w:r>
        <w:rPr>
          <w:rFonts w:ascii="Aptos" w:hAnsi="Aptos" w:cs="Calibri"/>
          <w:b/>
          <w:bCs/>
          <w:color w:val="000000" w:themeColor="text1"/>
        </w:rPr>
        <w:t>2</w:t>
      </w:r>
      <w:r w:rsidRPr="005D6A8E">
        <w:rPr>
          <w:rFonts w:ascii="Aptos" w:hAnsi="Aptos" w:cs="Calibri"/>
          <w:color w:val="000000" w:themeColor="text1"/>
        </w:rPr>
        <w:t xml:space="preserve">. </w:t>
      </w:r>
      <w:r w:rsidRPr="005D6A8E">
        <w:rPr>
          <w:rFonts w:ascii="Aptos" w:hAnsi="Aptos" w:cs="Calibri"/>
          <w:b/>
          <w:bCs/>
          <w:color w:val="000000" w:themeColor="text1"/>
        </w:rPr>
        <w:t>Trend lines of the categorized high- and low-shedders</w:t>
      </w:r>
      <w:r w:rsidRPr="005D6A8E">
        <w:rPr>
          <w:rFonts w:ascii="Aptos" w:hAnsi="Aptos" w:cs="Calibri"/>
          <w:color w:val="000000" w:themeColor="text1"/>
        </w:rPr>
        <w:t xml:space="preserve">. </w:t>
      </w:r>
      <w:r w:rsidRPr="00014B27">
        <w:rPr>
          <w:rFonts w:ascii="Aptos" w:hAnsi="Aptos" w:cs="Calibri"/>
          <w:color w:val="000000" w:themeColor="text1"/>
        </w:rPr>
        <w:t>The distinction between the high and low viral load shedders illustrated with LOESS smoothed trend lines in blue and red trajectories, respectively.</w:t>
      </w:r>
      <w:r>
        <w:rPr>
          <w:rFonts w:ascii="Aptos" w:hAnsi="Aptos" w:cs="Calibri"/>
          <w:color w:val="000000" w:themeColor="text1"/>
        </w:rPr>
        <w:t xml:space="preserve"> The bold center line represents the smoothed median with lower and upper edges of the shaded region as the 1</w:t>
      </w:r>
      <w:r w:rsidRPr="001E34A2">
        <w:rPr>
          <w:rFonts w:ascii="Aptos" w:hAnsi="Aptos" w:cs="Calibri"/>
          <w:color w:val="000000" w:themeColor="text1"/>
          <w:vertAlign w:val="superscript"/>
        </w:rPr>
        <w:t>st</w:t>
      </w:r>
      <w:r>
        <w:rPr>
          <w:rFonts w:ascii="Aptos" w:hAnsi="Aptos" w:cs="Calibri"/>
          <w:color w:val="000000" w:themeColor="text1"/>
        </w:rPr>
        <w:t xml:space="preserve"> and 3</w:t>
      </w:r>
      <w:r w:rsidRPr="001E34A2">
        <w:rPr>
          <w:rFonts w:ascii="Aptos" w:hAnsi="Aptos" w:cs="Calibri"/>
          <w:color w:val="000000" w:themeColor="text1"/>
          <w:vertAlign w:val="superscript"/>
        </w:rPr>
        <w:t>rd</w:t>
      </w:r>
      <w:r>
        <w:rPr>
          <w:rFonts w:ascii="Aptos" w:hAnsi="Aptos" w:cs="Calibri"/>
          <w:color w:val="000000" w:themeColor="text1"/>
        </w:rPr>
        <w:t xml:space="preserve"> quartile, respectively, of each cohort.</w:t>
      </w:r>
      <w:r w:rsidRPr="00014B27">
        <w:rPr>
          <w:rFonts w:ascii="Aptos" w:hAnsi="Aptos" w:cs="Calibri"/>
          <w:color w:val="000000" w:themeColor="text1"/>
        </w:rPr>
        <w:t xml:space="preserve"> The median peak viral load for high-shedders and low-shedders were </w:t>
      </w:r>
      <m:oMath>
        <m:r>
          <w:rPr>
            <w:rFonts w:ascii="Cambria Math" w:hAnsi="Cambria Math" w:cs="Calibri"/>
            <w:color w:val="000000" w:themeColor="text1"/>
          </w:rPr>
          <m:t>4.55</m:t>
        </m:r>
        <m:func>
          <m:funcPr>
            <m:ctrlPr>
              <w:rPr>
                <w:rFonts w:ascii="Cambria Math" w:hAnsi="Cambria Math" w:cs="Calibri"/>
                <w:color w:val="000000" w:themeColor="text1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 w:themeColor="text1"/>
              </w:rPr>
              <m:t>(</m:t>
            </m:r>
            <m:sSub>
              <m:sSubPr>
                <m:ctrlPr>
                  <w:rPr>
                    <w:rFonts w:ascii="Cambria Math" w:hAnsi="Cambria Math" w:cs="Calibri"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</w:rPr>
                  <m:t>TCID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</w:rPr>
                  <m:t>50</m:t>
                </m:r>
              </m:sub>
            </m:sSub>
          </m:e>
        </m:func>
        <m:r>
          <w:rPr>
            <w:rFonts w:ascii="Cambria Math" w:hAnsi="Cambria Math" w:cs="Calibri"/>
            <w:color w:val="000000" w:themeColor="text1"/>
          </w:rPr>
          <m:t>/ml)</m:t>
        </m:r>
      </m:oMath>
      <w:r w:rsidRPr="00014B27">
        <w:rPr>
          <w:rFonts w:ascii="Aptos" w:eastAsiaTheme="minorEastAsia" w:hAnsi="Aptos" w:cs="Calibri"/>
          <w:color w:val="000000" w:themeColor="text1"/>
        </w:rPr>
        <w:t xml:space="preserve"> and </w:t>
      </w:r>
      <m:oMath>
        <m:r>
          <w:rPr>
            <w:rFonts w:ascii="Cambria Math" w:hAnsi="Cambria Math" w:cs="Calibri"/>
            <w:color w:val="000000" w:themeColor="text1"/>
          </w:rPr>
          <m:t>1.82</m:t>
        </m:r>
        <m:func>
          <m:funcPr>
            <m:ctrlPr>
              <w:rPr>
                <w:rFonts w:ascii="Cambria Math" w:hAnsi="Cambria Math" w:cs="Calibri"/>
                <w:color w:val="000000" w:themeColor="text1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 w:themeColor="text1"/>
              </w:rPr>
              <m:t>(</m:t>
            </m:r>
            <m:sSub>
              <m:sSubPr>
                <m:ctrlPr>
                  <w:rPr>
                    <w:rFonts w:ascii="Cambria Math" w:hAnsi="Cambria Math" w:cs="Calibri"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</w:rPr>
                  <m:t>TCID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</w:rPr>
                  <m:t>50</m:t>
                </m:r>
              </m:sub>
            </m:sSub>
          </m:e>
        </m:func>
        <m:r>
          <w:rPr>
            <w:rFonts w:ascii="Cambria Math" w:hAnsi="Cambria Math" w:cs="Calibri"/>
            <w:color w:val="000000" w:themeColor="text1"/>
          </w:rPr>
          <m:t>/ml)</m:t>
        </m:r>
      </m:oMath>
      <w:r w:rsidRPr="00014B27">
        <w:rPr>
          <w:rFonts w:ascii="Aptos" w:eastAsiaTheme="minorEastAsia" w:hAnsi="Aptos" w:cs="Calibri"/>
          <w:color w:val="000000" w:themeColor="text1"/>
        </w:rPr>
        <w:t xml:space="preserve">, respectively. </w:t>
      </w:r>
      <w:r w:rsidR="003D781C">
        <w:rPr>
          <w:rFonts w:ascii="Aptos" w:hAnsi="Aptos" w:cs="Aparajita"/>
          <w:b/>
          <w:bCs/>
          <w:color w:val="000000" w:themeColor="text1"/>
        </w:rPr>
        <w:br w:type="page"/>
      </w:r>
      <w:r w:rsidR="000665DE">
        <w:rPr>
          <w:noProof/>
        </w:rPr>
        <w:lastRenderedPageBreak/>
        <w:drawing>
          <wp:inline distT="0" distB="0" distL="0" distR="0" wp14:anchorId="3D1D6FFD" wp14:editId="3AA0EED2">
            <wp:extent cx="6188099" cy="6400800"/>
            <wp:effectExtent l="0" t="0" r="0" b="0"/>
            <wp:docPr id="1804095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95569" name="Picture 18040955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9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8C96" w14:textId="71552B65" w:rsidR="00472C69" w:rsidRPr="003E0CA1" w:rsidRDefault="006C1F66" w:rsidP="003E0CA1">
      <w:pPr>
        <w:rPr>
          <w:rFonts w:ascii="Aptos" w:hAnsi="Aptos" w:cs="Calibri"/>
          <w:b/>
          <w:bCs/>
          <w:color w:val="000000" w:themeColor="text1"/>
        </w:rPr>
      </w:pPr>
      <w:r w:rsidRPr="000A02AD">
        <w:rPr>
          <w:rFonts w:ascii="Aptos" w:hAnsi="Aptos" w:cs="Aparajita"/>
          <w:b/>
          <w:bCs/>
          <w:color w:val="000000" w:themeColor="text1"/>
        </w:rPr>
        <w:t>Supplementary Figure 3. More effective and rapid effector responses explain lower viral loads</w:t>
      </w:r>
      <w:r w:rsidRPr="000A02AD">
        <w:rPr>
          <w:rFonts w:ascii="Aptos" w:hAnsi="Aptos" w:cs="Aparajita"/>
          <w:color w:val="000000" w:themeColor="text1"/>
        </w:rPr>
        <w:t xml:space="preserve">. </w:t>
      </w:r>
      <w:r w:rsidRPr="00014B27">
        <w:rPr>
          <w:rFonts w:ascii="Aptos" w:hAnsi="Aptos" w:cs="Aparajita"/>
          <w:color w:val="000000" w:themeColor="text1"/>
        </w:rPr>
        <w:t>(</w:t>
      </w:r>
      <w:r>
        <w:rPr>
          <w:rFonts w:ascii="Aptos" w:hAnsi="Aptos" w:cs="Aparajita"/>
          <w:color w:val="000000" w:themeColor="text1"/>
        </w:rPr>
        <w:t>A</w:t>
      </w:r>
      <w:r w:rsidRPr="00014B27">
        <w:rPr>
          <w:rFonts w:ascii="Aptos" w:hAnsi="Aptos" w:cs="Aparajita"/>
          <w:color w:val="000000" w:themeColor="text1"/>
        </w:rPr>
        <w:t>)</w:t>
      </w:r>
      <w:r w:rsidRPr="000A02AD">
        <w:rPr>
          <w:rFonts w:ascii="Aptos" w:hAnsi="Aptos" w:cs="Aparajita"/>
          <w:color w:val="000000" w:themeColor="text1"/>
        </w:rPr>
        <w:t xml:space="preserve"> </w:t>
      </w:r>
      <w:r w:rsidRPr="00014B27">
        <w:rPr>
          <w:rFonts w:ascii="Aptos" w:hAnsi="Aptos" w:cs="Aparajita"/>
          <w:color w:val="000000" w:themeColor="text1"/>
        </w:rPr>
        <w:t xml:space="preserve">Effector cells start at a higher level and expand to peak levels more rapidly in low shedders as compared to high shedders shown in the respective red and blue median curves. </w:t>
      </w:r>
      <w:r>
        <w:rPr>
          <w:rFonts w:ascii="Aptos" w:hAnsi="Aptos" w:cs="Aparajita"/>
          <w:color w:val="000000" w:themeColor="text1"/>
        </w:rPr>
        <w:t xml:space="preserve">The median </w:t>
      </w:r>
      <w:r w:rsidRPr="00014B27">
        <w:rPr>
          <w:rFonts w:ascii="Aptos" w:hAnsi="Aptos" w:cs="Aparajita"/>
          <w:color w:val="000000" w:themeColor="text1"/>
        </w:rPr>
        <w:t xml:space="preserve">initial </w:t>
      </w:r>
      <w:r>
        <w:rPr>
          <w:rFonts w:ascii="Aptos" w:hAnsi="Aptos" w:cs="Aparajita"/>
          <w:color w:val="000000" w:themeColor="text1"/>
        </w:rPr>
        <w:t>effect</w:t>
      </w:r>
      <w:r w:rsidRPr="00014B27">
        <w:rPr>
          <w:rFonts w:ascii="Aptos" w:hAnsi="Aptos" w:cs="Aparajita"/>
          <w:color w:val="000000" w:themeColor="text1"/>
        </w:rPr>
        <w:t xml:space="preserve">or cell population for high shedders’ </w:t>
      </w:r>
      <w:r>
        <w:rPr>
          <w:rFonts w:ascii="Aptos" w:hAnsi="Aptos" w:cs="Aparajita"/>
          <w:color w:val="000000" w:themeColor="text1"/>
        </w:rPr>
        <w:t>is</w:t>
      </w:r>
      <w:r w:rsidRPr="00014B27">
        <w:rPr>
          <w:rFonts w:ascii="Aptos" w:hAnsi="Aptos" w:cs="Aparajita"/>
          <w:color w:val="000000" w:themeColor="text1"/>
        </w:rPr>
        <w:t xml:space="preserve"> </w:t>
      </w:r>
      <m:oMath>
        <m:func>
          <m:funcPr>
            <m:ctrlPr>
              <w:rPr>
                <w:rFonts w:ascii="Cambria Math" w:hAnsi="Cambria Math" w:cs="Aparajita"/>
                <w:color w:val="000000" w:themeColor="text1"/>
              </w:rPr>
            </m:ctrlPr>
          </m:funcPr>
          <m:fName>
            <m:sSub>
              <m:sSubPr>
                <m:ctrlPr>
                  <w:rPr>
                    <w:rFonts w:ascii="Cambria Math" w:hAnsi="Cambria Math" w:cs="Aparajita"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Aparajita"/>
                    <w:color w:val="000000" w:themeColor="text1"/>
                  </w:rPr>
                  <m:t>log</m:t>
                </m:r>
              </m:e>
              <m:sub>
                <m:r>
                  <w:rPr>
                    <w:rFonts w:ascii="Cambria Math" w:hAnsi="Cambria Math" w:cs="Aparajita"/>
                    <w:color w:val="000000" w:themeColor="text1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Aparajita"/>
                <w:color w:val="000000" w:themeColor="text1"/>
              </w:rPr>
              <m:t>(Cells/mL)</m:t>
            </m:r>
          </m:e>
        </m:func>
        <m:r>
          <w:rPr>
            <w:rFonts w:ascii="Cambria Math" w:hAnsi="Cambria Math" w:cs="Aparajita"/>
            <w:color w:val="000000" w:themeColor="text1"/>
          </w:rPr>
          <m:t>=2.49</m:t>
        </m:r>
      </m:oMath>
      <w:r w:rsidRPr="00014B27">
        <w:rPr>
          <w:rFonts w:ascii="Aptos" w:hAnsi="Aptos" w:cs="Aparajita"/>
          <w:color w:val="000000" w:themeColor="text1"/>
        </w:rPr>
        <w:t xml:space="preserve"> cells per day and 1.33 cells per day for low shedders. (</w:t>
      </w:r>
      <w:r>
        <w:rPr>
          <w:rFonts w:ascii="Aptos" w:hAnsi="Aptos" w:cs="Aparajita"/>
          <w:color w:val="000000" w:themeColor="text1"/>
        </w:rPr>
        <w:t>B</w:t>
      </w:r>
      <w:r w:rsidRPr="00014B27">
        <w:rPr>
          <w:rFonts w:ascii="Aptos" w:hAnsi="Aptos" w:cs="Aparajita"/>
          <w:color w:val="000000" w:themeColor="text1"/>
        </w:rPr>
        <w:t>) Box</w:t>
      </w:r>
      <w:r>
        <w:rPr>
          <w:rFonts w:ascii="Aptos" w:hAnsi="Aptos" w:cs="Aparajita"/>
          <w:color w:val="000000" w:themeColor="text1"/>
        </w:rPr>
        <w:t xml:space="preserve"> </w:t>
      </w:r>
      <w:r w:rsidRPr="00014B27">
        <w:rPr>
          <w:rFonts w:ascii="Aptos" w:hAnsi="Aptos" w:cs="Aparajita"/>
          <w:color w:val="000000" w:themeColor="text1"/>
        </w:rPr>
        <w:t>plot</w:t>
      </w:r>
      <w:r>
        <w:rPr>
          <w:rFonts w:ascii="Aptos" w:hAnsi="Aptos" w:cs="Aparajita"/>
          <w:color w:val="000000" w:themeColor="text1"/>
        </w:rPr>
        <w:t xml:space="preserve">s </w:t>
      </w:r>
      <w:r w:rsidRPr="00014B27">
        <w:rPr>
          <w:rFonts w:ascii="Aptos" w:hAnsi="Aptos" w:cs="Aparajita"/>
          <w:color w:val="000000" w:themeColor="text1"/>
        </w:rPr>
        <w:t>of (</w:t>
      </w:r>
      <w:proofErr w:type="spellStart"/>
      <w:r w:rsidRPr="00014B27">
        <w:rPr>
          <w:rFonts w:ascii="Aptos" w:hAnsi="Aptos" w:cs="Aparajita"/>
          <w:color w:val="000000" w:themeColor="text1"/>
        </w:rPr>
        <w:t>i</w:t>
      </w:r>
      <w:proofErr w:type="spellEnd"/>
      <w:r w:rsidRPr="00014B27">
        <w:rPr>
          <w:rFonts w:ascii="Aptos" w:hAnsi="Aptos" w:cs="Aparajita"/>
          <w:color w:val="000000" w:themeColor="text1"/>
        </w:rPr>
        <w:t xml:space="preserve">) peak effector cell population size, (ii) time to peak, (iii) area under the </w:t>
      </w:r>
      <w:r>
        <w:rPr>
          <w:rFonts w:ascii="Aptos" w:hAnsi="Aptos" w:cs="Aparajita"/>
          <w:color w:val="000000" w:themeColor="text1"/>
        </w:rPr>
        <w:t xml:space="preserve">effector cell </w:t>
      </w:r>
      <w:r w:rsidRPr="00014B27">
        <w:rPr>
          <w:rFonts w:ascii="Aptos" w:hAnsi="Aptos" w:cs="Aparajita"/>
          <w:color w:val="000000" w:themeColor="text1"/>
        </w:rPr>
        <w:t>curve (AUC), and (iv) effector cell expansion rate for high and low shedders, as simulated by the viral dynamics model.</w:t>
      </w:r>
    </w:p>
    <w:sectPr w:rsidR="00472C69" w:rsidRPr="003E0C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AC4"/>
    <w:rsid w:val="00016F90"/>
    <w:rsid w:val="00036397"/>
    <w:rsid w:val="00063509"/>
    <w:rsid w:val="000665DE"/>
    <w:rsid w:val="000A0C0D"/>
    <w:rsid w:val="000E420F"/>
    <w:rsid w:val="00191743"/>
    <w:rsid w:val="001B1D74"/>
    <w:rsid w:val="00260EE8"/>
    <w:rsid w:val="002957E3"/>
    <w:rsid w:val="002E37E7"/>
    <w:rsid w:val="002F69BA"/>
    <w:rsid w:val="00301406"/>
    <w:rsid w:val="00303AC4"/>
    <w:rsid w:val="00315F3E"/>
    <w:rsid w:val="003A39C6"/>
    <w:rsid w:val="003D781C"/>
    <w:rsid w:val="003E0CA1"/>
    <w:rsid w:val="00420E17"/>
    <w:rsid w:val="00434B90"/>
    <w:rsid w:val="00472C69"/>
    <w:rsid w:val="004A6A93"/>
    <w:rsid w:val="0055006F"/>
    <w:rsid w:val="00590C7E"/>
    <w:rsid w:val="006C08FF"/>
    <w:rsid w:val="006C1F66"/>
    <w:rsid w:val="006D022E"/>
    <w:rsid w:val="006D25E9"/>
    <w:rsid w:val="007037BF"/>
    <w:rsid w:val="00731AD8"/>
    <w:rsid w:val="007C28F8"/>
    <w:rsid w:val="00810429"/>
    <w:rsid w:val="0084397F"/>
    <w:rsid w:val="008E2536"/>
    <w:rsid w:val="00973D8F"/>
    <w:rsid w:val="00984BD8"/>
    <w:rsid w:val="009C158C"/>
    <w:rsid w:val="009E4AEB"/>
    <w:rsid w:val="00A13075"/>
    <w:rsid w:val="00A64624"/>
    <w:rsid w:val="00A96717"/>
    <w:rsid w:val="00AA2B54"/>
    <w:rsid w:val="00AE67A0"/>
    <w:rsid w:val="00B05262"/>
    <w:rsid w:val="00B12408"/>
    <w:rsid w:val="00B20EA6"/>
    <w:rsid w:val="00B35B8A"/>
    <w:rsid w:val="00B459BF"/>
    <w:rsid w:val="00B84220"/>
    <w:rsid w:val="00B92DF5"/>
    <w:rsid w:val="00C3388D"/>
    <w:rsid w:val="00CB4BE8"/>
    <w:rsid w:val="00D73FFF"/>
    <w:rsid w:val="00E60073"/>
    <w:rsid w:val="00E91B0B"/>
    <w:rsid w:val="00EB3517"/>
    <w:rsid w:val="00EF70FC"/>
    <w:rsid w:val="00F32147"/>
    <w:rsid w:val="00F37037"/>
    <w:rsid w:val="00F47247"/>
    <w:rsid w:val="00F5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A4A236"/>
  <w15:chartTrackingRefBased/>
  <w15:docId w15:val="{BC9D0FA6-C5F3-1B42-9255-FD1F7086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3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3A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A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A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A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3A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A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A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A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A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A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A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3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3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3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3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3A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3A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3A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A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A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3AC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303A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9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9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9BA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A6A93"/>
    <w:pPr>
      <w:spacing w:after="200" w:line="240" w:lineRule="auto"/>
    </w:pPr>
    <w:rPr>
      <w:rFonts w:ascii="Lato" w:eastAsia="Times New Roman" w:hAnsi="Lato" w:cs="Times New Roman"/>
      <w:i/>
      <w:iCs/>
      <w:color w:val="0E2841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56960EC-DF06-8E44-B22D-F9174C03B393}">
  <we:reference id="6A7BD4F3-0563-43AF-8C08-79110EEBDFF6" version="1.1.4.0" store="EXCatalog" storeType="EXCatalog"/>
  <we:alternateReferences>
    <we:reference id="WA104381155" version="1.1.4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Tower, Angela</dc:creator>
  <cp:keywords/>
  <dc:description/>
  <cp:lastModifiedBy>Tower, Angela</cp:lastModifiedBy>
  <cp:revision>10</cp:revision>
  <dcterms:created xsi:type="dcterms:W3CDTF">2026-06-26T23:40:00Z</dcterms:created>
  <dcterms:modified xsi:type="dcterms:W3CDTF">2026-06-26T23:59:00Z</dcterms:modified>
</cp:coreProperties>
</file>