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07B98" w14:textId="1A54E932" w:rsidR="00487ED9" w:rsidRDefault="00ED1772" w:rsidP="00ED177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14:ligatures w14:val="none"/>
        </w:rPr>
      </w:pPr>
      <w:r w:rsidRPr="00ED1772">
        <w:rPr>
          <w:rFonts w:ascii="Times New Roman" w:eastAsia="Times New Roman" w:hAnsi="Times New Roman" w:cs="Times New Roman"/>
          <w:b/>
          <w:bCs/>
          <w:color w:val="000000"/>
          <w:sz w:val="24"/>
          <w14:ligatures w14:val="none"/>
        </w:rPr>
        <w:t>Supplementary Tables</w:t>
      </w:r>
    </w:p>
    <w:p w14:paraId="034876D0" w14:textId="77777777" w:rsidR="00ED1772" w:rsidRPr="00ED1772" w:rsidRDefault="00ED1772" w:rsidP="00ED177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14:ligatures w14:val="none"/>
        </w:rPr>
      </w:pPr>
    </w:p>
    <w:p w14:paraId="054DEC68" w14:textId="014EAD9C" w:rsidR="00ED1772" w:rsidRPr="00ED1772" w:rsidRDefault="005B29F9" w:rsidP="00ED1772">
      <w:pPr>
        <w:pStyle w:val="ae"/>
        <w:keepNext/>
        <w:jc w:val="center"/>
        <w:rPr>
          <w:rFonts w:ascii="Times New Roman" w:hAnsi="Times New Roman" w:cs="Times New Roman"/>
        </w:rPr>
      </w:pPr>
      <w:r w:rsidRPr="005B29F9">
        <w:rPr>
          <w:rFonts w:ascii="Times New Roman" w:hAnsi="Times New Roman" w:cs="Times New Roman"/>
          <w:b/>
          <w:bCs/>
        </w:rPr>
        <w:t>Supplementary Table S1</w:t>
      </w:r>
      <w:r w:rsidR="00ED1772" w:rsidRPr="00ED1772">
        <w:rPr>
          <w:rFonts w:ascii="Times New Roman" w:hAnsi="Times New Roman" w:cs="Times New Roman"/>
        </w:rPr>
        <w:t xml:space="preserve"> Association of the C-reactive Protein–Triglyceride–Glucose Index with Incident Asthma in Middle-Aged and Older Adults: A 7-Year Nationwide Prospective Cohort Study</w:t>
      </w:r>
    </w:p>
    <w:tbl>
      <w:tblPr>
        <w:tblW w:w="10207" w:type="dxa"/>
        <w:tblInd w:w="-993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2"/>
        <w:gridCol w:w="1864"/>
        <w:gridCol w:w="1271"/>
        <w:gridCol w:w="1848"/>
        <w:gridCol w:w="1412"/>
      </w:tblGrid>
      <w:tr w:rsidR="00487ED9" w:rsidRPr="00972093" w14:paraId="2CE0D2DF" w14:textId="77777777" w:rsidTr="0058638B">
        <w:trPr>
          <w:trHeight w:val="20"/>
        </w:trPr>
        <w:tc>
          <w:tcPr>
            <w:tcW w:w="3812" w:type="dxa"/>
            <w:tcBorders>
              <w:top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51E37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3135" w:type="dxa"/>
            <w:gridSpan w:val="2"/>
            <w:tcBorders>
              <w:top w:val="single" w:sz="12" w:space="0" w:color="auto"/>
              <w:bottom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0E4E672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8695B4F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Model 2</w:t>
            </w:r>
          </w:p>
        </w:tc>
      </w:tr>
      <w:tr w:rsidR="00487ED9" w:rsidRPr="00972093" w14:paraId="741F8154" w14:textId="77777777" w:rsidTr="0058638B">
        <w:trPr>
          <w:trHeight w:val="20"/>
        </w:trPr>
        <w:tc>
          <w:tcPr>
            <w:tcW w:w="3812" w:type="dxa"/>
            <w:tcBorders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68CE7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864" w:type="dxa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8563B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s</w:t>
            </w: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0E6E1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D63095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s</w:t>
            </w: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2C515" w14:textId="77777777" w:rsidR="00487ED9" w:rsidRPr="00972093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P-value</w:t>
            </w:r>
          </w:p>
        </w:tc>
      </w:tr>
      <w:tr w:rsidR="00487ED9" w:rsidRPr="003F26F6" w14:paraId="29D4BEDC" w14:textId="77777777" w:rsidTr="0058638B">
        <w:trPr>
          <w:trHeight w:val="20"/>
        </w:trPr>
        <w:tc>
          <w:tcPr>
            <w:tcW w:w="3812" w:type="dxa"/>
            <w:tcBorders>
              <w:top w:val="single" w:sz="6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7B17763" w14:textId="1E54E070" w:rsidR="00487ED9" w:rsidRPr="003F26F6" w:rsidRDefault="00487ED9" w:rsidP="0058638B">
            <w:pPr>
              <w:spacing w:before="20" w:after="20"/>
              <w:ind w:right="20"/>
              <w:jc w:val="left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 xml:space="preserve">Competing Risk Model (Death) </w:t>
            </w:r>
          </w:p>
        </w:tc>
        <w:tc>
          <w:tcPr>
            <w:tcW w:w="1864" w:type="dxa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E052D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1" w:type="dxa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9850F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848" w:type="dxa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27813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412" w:type="dxa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552C3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487ED9" w:rsidRPr="003F26F6" w14:paraId="290D37C4" w14:textId="77777777" w:rsidTr="0058638B">
        <w:trPr>
          <w:trHeight w:val="20"/>
        </w:trPr>
        <w:tc>
          <w:tcPr>
            <w:tcW w:w="3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AC45A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CTI (continuous)</w:t>
            </w:r>
          </w:p>
        </w:tc>
        <w:tc>
          <w:tcPr>
            <w:tcW w:w="186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BA701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1.14 (1.04, 1.26)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2CA4C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18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7A5E4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1.18 (1.05, 1.33)</w:t>
            </w:r>
          </w:p>
        </w:tc>
        <w:tc>
          <w:tcPr>
            <w:tcW w:w="14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40555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0.007</w:t>
            </w:r>
          </w:p>
        </w:tc>
      </w:tr>
      <w:tr w:rsidR="00487ED9" w:rsidRPr="003F26F6" w14:paraId="646B9690" w14:textId="77777777" w:rsidTr="0058638B">
        <w:trPr>
          <w:trHeight w:val="20"/>
        </w:trPr>
        <w:tc>
          <w:tcPr>
            <w:tcW w:w="3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12248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CTI Quartiles</w:t>
            </w:r>
          </w:p>
        </w:tc>
        <w:tc>
          <w:tcPr>
            <w:tcW w:w="186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D1A52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57807F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8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E977A2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4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F401E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487ED9" w:rsidRPr="003F26F6" w14:paraId="6B45BE39" w14:textId="77777777" w:rsidTr="0058638B">
        <w:trPr>
          <w:trHeight w:val="20"/>
        </w:trPr>
        <w:tc>
          <w:tcPr>
            <w:tcW w:w="3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C0016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186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C0370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CC969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7A64C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4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0393B0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—</w:t>
            </w:r>
          </w:p>
        </w:tc>
      </w:tr>
      <w:tr w:rsidR="00487ED9" w:rsidRPr="003F26F6" w14:paraId="506C9007" w14:textId="77777777" w:rsidTr="0058638B">
        <w:trPr>
          <w:trHeight w:val="20"/>
        </w:trPr>
        <w:tc>
          <w:tcPr>
            <w:tcW w:w="3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F7123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186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4433A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1.38 (1.05, 1.81)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3D71F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0.022</w:t>
            </w:r>
          </w:p>
        </w:tc>
        <w:tc>
          <w:tcPr>
            <w:tcW w:w="18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08BF0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1.40 (1.06, 1.85)</w:t>
            </w:r>
          </w:p>
        </w:tc>
        <w:tc>
          <w:tcPr>
            <w:tcW w:w="14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56190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0.019</w:t>
            </w:r>
          </w:p>
        </w:tc>
      </w:tr>
      <w:tr w:rsidR="00487ED9" w:rsidRPr="003F26F6" w14:paraId="48B70758" w14:textId="77777777" w:rsidTr="0058638B">
        <w:trPr>
          <w:trHeight w:val="20"/>
        </w:trPr>
        <w:tc>
          <w:tcPr>
            <w:tcW w:w="3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E37A7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186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9FD13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1.52 (1.16, 1.98)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EA20A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184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B0ED5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1.57 (1.17, 2.10)</w:t>
            </w:r>
          </w:p>
        </w:tc>
        <w:tc>
          <w:tcPr>
            <w:tcW w:w="141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4D9DE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</w:tr>
      <w:tr w:rsidR="00487ED9" w:rsidRPr="003F26F6" w14:paraId="6FF24862" w14:textId="77777777" w:rsidTr="0058638B">
        <w:trPr>
          <w:trHeight w:val="20"/>
        </w:trPr>
        <w:tc>
          <w:tcPr>
            <w:tcW w:w="3812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191D0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1864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3A00B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1.45 (1.10, 1.91)</w:t>
            </w:r>
          </w:p>
        </w:tc>
        <w:tc>
          <w:tcPr>
            <w:tcW w:w="1271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FFAAC7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0.008</w:t>
            </w:r>
          </w:p>
        </w:tc>
        <w:tc>
          <w:tcPr>
            <w:tcW w:w="1848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75388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1.57 (1.15, 2.15)</w:t>
            </w:r>
          </w:p>
        </w:tc>
        <w:tc>
          <w:tcPr>
            <w:tcW w:w="1412" w:type="dxa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C6DEF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0.005</w:t>
            </w:r>
          </w:p>
        </w:tc>
      </w:tr>
      <w:tr w:rsidR="00487ED9" w:rsidRPr="003F26F6" w14:paraId="6183E4F2" w14:textId="77777777" w:rsidTr="0058638B">
        <w:trPr>
          <w:trHeight w:val="20"/>
        </w:trPr>
        <w:tc>
          <w:tcPr>
            <w:tcW w:w="3812" w:type="dxa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CFBA48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P for trend</w:t>
            </w:r>
          </w:p>
        </w:tc>
        <w:tc>
          <w:tcPr>
            <w:tcW w:w="1864" w:type="dxa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2A3E8A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1" w:type="dxa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ADFA90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725CA0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5838B2" w14:textId="77777777" w:rsidR="00487ED9" w:rsidRPr="003F26F6" w:rsidRDefault="00487ED9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F26F6"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&lt;0.001</w:t>
            </w:r>
          </w:p>
        </w:tc>
      </w:tr>
    </w:tbl>
    <w:p w14:paraId="659E082A" w14:textId="77777777" w:rsidR="0076592A" w:rsidRPr="0076592A" w:rsidRDefault="0076592A" w:rsidP="0076592A">
      <w:pPr>
        <w:widowControl/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</w:pPr>
      <w:r w:rsidRPr="0076592A"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  <w:t xml:space="preserve">Abbreviations: </w:t>
      </w:r>
      <w:r w:rsidRPr="0076592A">
        <w:rPr>
          <w:rFonts w:ascii="Times New Roman" w:eastAsia="DejaVu Sans" w:hAnsi="Times New Roman" w:cs="Times New Roman"/>
          <w:color w:val="000000"/>
          <w:sz w:val="18"/>
          <w:szCs w:val="18"/>
          <w14:ligatures w14:val="none"/>
        </w:rPr>
        <w:t>CI, confidence interval; sHR, subdistribution hazard ratio.</w:t>
      </w:r>
    </w:p>
    <w:p w14:paraId="7AAC1CD4" w14:textId="77777777" w:rsidR="0076592A" w:rsidRPr="0076592A" w:rsidRDefault="0076592A" w:rsidP="0076592A">
      <w:pPr>
        <w:widowControl/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</w:pPr>
      <w:r w:rsidRPr="0076592A"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  <w:t xml:space="preserve">Models: </w:t>
      </w:r>
      <w:r w:rsidRPr="0076592A">
        <w:rPr>
          <w:rFonts w:ascii="Times New Roman" w:eastAsia="DejaVu Sans" w:hAnsi="Times New Roman" w:cs="Times New Roman"/>
          <w:color w:val="000000"/>
          <w:sz w:val="18"/>
          <w:szCs w:val="18"/>
          <w14:ligatures w14:val="none"/>
        </w:rPr>
        <w:t>Model 1 was unadjusted. Model 2 was adjusted for age, gender, education level, marital status, residence, exercise, sleep duration, smoking status, hypertension, stroke, arthritis, hyperlipidemia, disability status, platelet count, HDL-C, LDL-C, and medication use.</w:t>
      </w:r>
    </w:p>
    <w:p w14:paraId="19D9CC06" w14:textId="37DAEE99" w:rsidR="003859E1" w:rsidRDefault="0076592A" w:rsidP="0076592A">
      <w:pPr>
        <w:widowControl/>
        <w:rPr>
          <w:rFonts w:ascii="Times New Roman" w:eastAsia="Times New Roman" w:hAnsi="Times New Roman" w:cs="Times New Roman"/>
          <w:color w:val="000000"/>
          <w:sz w:val="24"/>
          <w14:ligatures w14:val="none"/>
        </w:rPr>
      </w:pPr>
      <w:r w:rsidRPr="0076592A"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  <w:t xml:space="preserve">Note: </w:t>
      </w:r>
      <w:r w:rsidRPr="0076592A">
        <w:rPr>
          <w:rFonts w:ascii="Times New Roman" w:eastAsia="DejaVu Sans" w:hAnsi="Times New Roman" w:cs="Times New Roman"/>
          <w:color w:val="000000"/>
          <w:sz w:val="18"/>
          <w:szCs w:val="18"/>
          <w14:ligatures w14:val="none"/>
        </w:rPr>
        <w:t>All-cause mortality during follow-up was treated as a competing event. Subdistribution hazard ratios (sHRs) and 95% CIs were estimated using the Fine–Gray method.</w:t>
      </w:r>
      <w:r w:rsidR="003859E1">
        <w:rPr>
          <w:rFonts w:ascii="Times New Roman" w:eastAsia="Times New Roman" w:hAnsi="Times New Roman" w:cs="Times New Roman"/>
          <w:color w:val="000000"/>
          <w:sz w:val="24"/>
          <w14:ligatures w14:val="none"/>
        </w:rPr>
        <w:br w:type="page"/>
      </w:r>
    </w:p>
    <w:p w14:paraId="681E3BB4" w14:textId="49861846" w:rsidR="003859E1" w:rsidRPr="003859E1" w:rsidRDefault="005B29F9" w:rsidP="003859E1">
      <w:pPr>
        <w:pStyle w:val="ae"/>
        <w:keepNext/>
        <w:jc w:val="center"/>
        <w:rPr>
          <w:rFonts w:ascii="Times New Roman" w:hAnsi="Times New Roman" w:cs="Times New Roman"/>
        </w:rPr>
      </w:pPr>
      <w:r w:rsidRPr="005B29F9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bCs/>
        </w:rPr>
        <w:t>2</w:t>
      </w:r>
      <w:r w:rsidR="003859E1" w:rsidRPr="003859E1">
        <w:rPr>
          <w:rFonts w:ascii="Times New Roman" w:hAnsi="Times New Roman" w:cs="Times New Roman"/>
        </w:rPr>
        <w:t xml:space="preserve"> Association of the C-reactive Protein–Triglyceride–Glucose Index with Incident Asthma in Middle-Aged and Older Adults: A 7-Year Nationwide Prospective Cohort Study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1"/>
        <w:gridCol w:w="1610"/>
        <w:gridCol w:w="960"/>
        <w:gridCol w:w="1610"/>
        <w:gridCol w:w="960"/>
      </w:tblGrid>
      <w:tr w:rsidR="00D83205" w:rsidRPr="00972093" w14:paraId="0BB7A1BC" w14:textId="77777777" w:rsidTr="000976E9">
        <w:trPr>
          <w:trHeight w:val="57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74CE5" w14:textId="77777777" w:rsidR="00D83205" w:rsidRPr="00972093" w:rsidRDefault="00D83205" w:rsidP="000976E9">
            <w:pPr>
              <w:spacing w:before="20" w:after="20"/>
              <w:ind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6BDC336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8F6B62C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Model 2</w:t>
            </w:r>
          </w:p>
        </w:tc>
      </w:tr>
      <w:tr w:rsidR="00D83205" w:rsidRPr="00972093" w14:paraId="28E33288" w14:textId="77777777" w:rsidTr="000976E9">
        <w:trPr>
          <w:trHeight w:val="57"/>
          <w:jc w:val="center"/>
        </w:trPr>
        <w:tc>
          <w:tcPr>
            <w:tcW w:w="0" w:type="auto"/>
            <w:vMerge/>
            <w:tcBorders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4646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D1C68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7C32E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7B03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065ED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P-value</w:t>
            </w:r>
          </w:p>
        </w:tc>
      </w:tr>
      <w:tr w:rsidR="00D83205" w:rsidRPr="00972093" w14:paraId="08530721" w14:textId="77777777" w:rsidTr="000976E9">
        <w:trPr>
          <w:trHeight w:val="57"/>
          <w:jc w:val="center"/>
        </w:trPr>
        <w:tc>
          <w:tcPr>
            <w:tcW w:w="0" w:type="auto"/>
            <w:tcBorders>
              <w:top w:val="single" w:sz="6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F16416E" w14:textId="77777777" w:rsidR="00D83205" w:rsidRPr="00972093" w:rsidRDefault="00D83205" w:rsidP="0058638B">
            <w:pPr>
              <w:spacing w:before="20" w:after="20"/>
              <w:ind w:right="20"/>
              <w:jc w:val="left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Alternative Categorization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8F161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B0D69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5ACE8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672DC0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D83205" w:rsidRPr="00972093" w14:paraId="2960ED29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45316F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CTI (continuous)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86753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1.15 (1.03, 1.27)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4BD5F6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C186E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1.18 (1.04, 1.33)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21A8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0.009</w:t>
            </w:r>
          </w:p>
        </w:tc>
      </w:tr>
      <w:tr w:rsidR="00D83205" w:rsidRPr="00972093" w14:paraId="14E66727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6770D3F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Binary Classification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3EB14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9E12C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43B5E3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58B86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D83205" w:rsidRPr="00972093" w14:paraId="7384FD1A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003F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Low Level [5.83, 8.69)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5929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5A5F7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CB8E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8ECE17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—</w:t>
            </w:r>
          </w:p>
        </w:tc>
      </w:tr>
      <w:tr w:rsidR="00D83205" w:rsidRPr="00972093" w14:paraId="45174A0B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EEC9D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 xml:space="preserve"> </w:t>
            </w: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High Level [8.69, 13.2</w:t>
            </w: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29055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1.26 (1.05, 1.51)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7C214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0.014</w:t>
            </w: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4D51C2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1.29 (1.05, 1.59)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646D0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</w:t>
            </w: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39</w:t>
            </w:r>
          </w:p>
        </w:tc>
      </w:tr>
      <w:tr w:rsidR="00D83205" w:rsidRPr="00972093" w14:paraId="1CA5A80C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04F7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P for trend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5E01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304AF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</w:t>
            </w: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7931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32B02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</w:t>
            </w: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37</w:t>
            </w:r>
          </w:p>
        </w:tc>
      </w:tr>
      <w:tr w:rsidR="00D83205" w:rsidRPr="00972093" w14:paraId="6AF1466B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C904E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A8BFCD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D2EF8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C79B2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55F2E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D83205" w:rsidRPr="00972093" w14:paraId="53CBA06C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527677D" w14:textId="77777777" w:rsidR="00D83205" w:rsidRPr="00972093" w:rsidRDefault="00D83205" w:rsidP="0058638B">
            <w:pPr>
              <w:spacing w:before="20" w:after="20"/>
              <w:ind w:right="20"/>
              <w:jc w:val="left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Excluding First 2 Years of Follow-up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A008D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3E867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E7A6B0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27DA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D83205" w:rsidRPr="00086BCE" w14:paraId="04F7891D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D63BE1" w14:textId="77777777" w:rsidR="00D83205" w:rsidRPr="00086BCE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086BCE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CTI (continuous)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40F1D" w14:textId="77777777" w:rsidR="00D83205" w:rsidRPr="00086BCE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086BCE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1.15 (1.04, 1.28)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4A659" w14:textId="77777777" w:rsidR="00D83205" w:rsidRPr="00086BCE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086BCE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E83DD" w14:textId="77777777" w:rsidR="00D83205" w:rsidRPr="00086BCE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086BCE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1.18 (1.04, 1.34)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5A5D4" w14:textId="77777777" w:rsidR="00D83205" w:rsidRPr="00086BCE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086BCE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0.009</w:t>
            </w:r>
          </w:p>
        </w:tc>
      </w:tr>
      <w:tr w:rsidR="00D83205" w:rsidRPr="00972093" w14:paraId="485D76BB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3E1DF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CTI Quartiles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CF4A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2F0A2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62647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7712C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D83205" w:rsidRPr="00972093" w14:paraId="4EDDCA2B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0C44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973B5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CB7D2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4E21C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31873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—</w:t>
            </w:r>
          </w:p>
        </w:tc>
      </w:tr>
      <w:tr w:rsidR="00D83205" w:rsidRPr="00972093" w14:paraId="33EAD571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1BE05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39CF6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1.42 (1.07, 1.87)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9465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D0BB7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1.41 (1.06, 1.88)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752A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0.017</w:t>
            </w:r>
          </w:p>
        </w:tc>
      </w:tr>
      <w:tr w:rsidR="00D83205" w:rsidRPr="00972093" w14:paraId="0189D157" w14:textId="77777777" w:rsidTr="000976E9">
        <w:trPr>
          <w:trHeight w:val="57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0B24C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F6A4B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1.52 (1.15, 1.99)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DA453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C5DF58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1.54 (1.15, 2.07)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5E89E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0.004</w:t>
            </w:r>
          </w:p>
        </w:tc>
      </w:tr>
      <w:tr w:rsidR="00D83205" w:rsidRPr="00972093" w14:paraId="41E1F0B1" w14:textId="77777777" w:rsidTr="000976E9">
        <w:trPr>
          <w:trHeight w:val="57"/>
          <w:jc w:val="center"/>
        </w:trPr>
        <w:tc>
          <w:tcPr>
            <w:tcW w:w="0" w:type="auto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30A537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0" w:type="auto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3EE1B6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1.48 (1.12, 1.96)</w:t>
            </w:r>
          </w:p>
        </w:tc>
        <w:tc>
          <w:tcPr>
            <w:tcW w:w="0" w:type="auto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5C0F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0" w:type="auto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8D4F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1.57 (1.14, 2.16)</w:t>
            </w:r>
          </w:p>
        </w:tc>
        <w:tc>
          <w:tcPr>
            <w:tcW w:w="0" w:type="auto"/>
            <w:tcBorders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FF6C13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972093"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0.005</w:t>
            </w:r>
          </w:p>
        </w:tc>
      </w:tr>
      <w:tr w:rsidR="00D83205" w:rsidRPr="00972093" w14:paraId="1DAF3CD2" w14:textId="77777777" w:rsidTr="000976E9">
        <w:trPr>
          <w:trHeight w:val="20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B7D56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P for trend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640735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757A96" w14:textId="77777777" w:rsidR="00D83205" w:rsidRPr="00232034" w:rsidRDefault="00D83205" w:rsidP="0058638B">
            <w:pPr>
              <w:spacing w:before="20" w:after="20"/>
              <w:ind w:left="300" w:right="20"/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&lt;</w:t>
            </w: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0.00</w:t>
            </w:r>
            <w:r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C896A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604E79" w14:textId="77777777" w:rsidR="00D83205" w:rsidRPr="00972093" w:rsidRDefault="00D83205" w:rsidP="0058638B">
            <w:pPr>
              <w:spacing w:before="20" w:after="20"/>
              <w:ind w:left="300" w:right="20"/>
              <w:jc w:val="center"/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&lt;</w:t>
            </w:r>
            <w:r>
              <w:rPr>
                <w:rFonts w:ascii="Times New Roman" w:eastAsia="DejaVu Sans" w:hAnsi="Times New Roman" w:cs="Times New Roman" w:hint="eastAsia"/>
                <w:color w:val="000000"/>
                <w:sz w:val="18"/>
                <w:szCs w:val="18"/>
                <w14:ligatures w14:val="none"/>
              </w:rPr>
              <w:t>0.00</w:t>
            </w:r>
            <w:r>
              <w:rPr>
                <w:rFonts w:ascii="Times New Roman" w:eastAsia="DejaVu Sans" w:hAnsi="Times New Roman" w:cs="Times New Roman"/>
                <w:color w:val="000000"/>
                <w:sz w:val="18"/>
                <w:szCs w:val="18"/>
                <w14:ligatures w14:val="none"/>
              </w:rPr>
              <w:t>1</w:t>
            </w:r>
          </w:p>
        </w:tc>
      </w:tr>
    </w:tbl>
    <w:p w14:paraId="33E4DD31" w14:textId="77777777" w:rsidR="0076592A" w:rsidRDefault="0076592A" w:rsidP="0076592A">
      <w:pPr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</w:pPr>
      <w:r w:rsidRPr="0076592A"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  <w:t xml:space="preserve">Abbreviations: </w:t>
      </w:r>
      <w:r w:rsidRPr="0076592A">
        <w:rPr>
          <w:rFonts w:ascii="Times New Roman" w:eastAsia="DejaVu Sans" w:hAnsi="Times New Roman" w:cs="Times New Roman"/>
          <w:color w:val="000000"/>
          <w:sz w:val="18"/>
          <w:szCs w:val="18"/>
          <w14:ligatures w14:val="none"/>
        </w:rPr>
        <w:t xml:space="preserve">CI, confidence interval; HR, hazard ratio; Ref, reference. </w:t>
      </w:r>
    </w:p>
    <w:p w14:paraId="33CB2DEC" w14:textId="37C8F828" w:rsidR="00D83205" w:rsidRPr="00515AEC" w:rsidRDefault="0076592A" w:rsidP="0076592A">
      <w:pPr>
        <w:rPr>
          <w:rFonts w:ascii="Times New Roman" w:eastAsia="DejaVu Sans" w:hAnsi="Times New Roman" w:cs="Times New Roman"/>
          <w:color w:val="000000"/>
          <w:sz w:val="18"/>
          <w:szCs w:val="18"/>
          <w14:ligatures w14:val="none"/>
        </w:rPr>
      </w:pPr>
      <w:r w:rsidRPr="0076592A">
        <w:rPr>
          <w:rFonts w:ascii="Times New Roman" w:eastAsia="DejaVu Sans" w:hAnsi="Times New Roman" w:cs="Times New Roman"/>
          <w:b/>
          <w:bCs/>
          <w:color w:val="000000"/>
          <w:sz w:val="18"/>
          <w:szCs w:val="18"/>
          <w14:ligatures w14:val="none"/>
        </w:rPr>
        <w:t xml:space="preserve">Models: </w:t>
      </w:r>
      <w:r w:rsidRPr="0076592A">
        <w:rPr>
          <w:rFonts w:ascii="Times New Roman" w:eastAsia="DejaVu Sans" w:hAnsi="Times New Roman" w:cs="Times New Roman"/>
          <w:color w:val="000000"/>
          <w:sz w:val="18"/>
          <w:szCs w:val="18"/>
          <w14:ligatures w14:val="none"/>
        </w:rPr>
        <w:t>Model 1 was unadjusted. Model 2 was adjusted for age, gender, education level, marital status, residence, exercise, sleep duration, smoking status, hypertension, stroke, arthritis, hyperlipidemia, disability status, platelet count, HDL-C, LDL-C, and medication use.</w:t>
      </w:r>
    </w:p>
    <w:sectPr w:rsidR="00D83205" w:rsidRPr="00515A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jaVu Sans">
    <w:altName w:val="Verdana"/>
    <w:panose1 w:val="020B0604020202020204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02"/>
    <w:rsid w:val="000652F0"/>
    <w:rsid w:val="00086BCE"/>
    <w:rsid w:val="00087D02"/>
    <w:rsid w:val="000976E9"/>
    <w:rsid w:val="000F745A"/>
    <w:rsid w:val="00184B2A"/>
    <w:rsid w:val="00197602"/>
    <w:rsid w:val="001A6997"/>
    <w:rsid w:val="00201F1C"/>
    <w:rsid w:val="00202F6C"/>
    <w:rsid w:val="00221571"/>
    <w:rsid w:val="00286731"/>
    <w:rsid w:val="0029686D"/>
    <w:rsid w:val="002C2EF0"/>
    <w:rsid w:val="002D70C4"/>
    <w:rsid w:val="002E1C91"/>
    <w:rsid w:val="0030076D"/>
    <w:rsid w:val="00304145"/>
    <w:rsid w:val="00312A64"/>
    <w:rsid w:val="003233F7"/>
    <w:rsid w:val="00326411"/>
    <w:rsid w:val="0032678A"/>
    <w:rsid w:val="003859E1"/>
    <w:rsid w:val="00390B6E"/>
    <w:rsid w:val="00396683"/>
    <w:rsid w:val="003B060C"/>
    <w:rsid w:val="003B468C"/>
    <w:rsid w:val="003E5ADE"/>
    <w:rsid w:val="003F26F6"/>
    <w:rsid w:val="00410EE8"/>
    <w:rsid w:val="004159CB"/>
    <w:rsid w:val="004267BF"/>
    <w:rsid w:val="00440163"/>
    <w:rsid w:val="00463790"/>
    <w:rsid w:val="00470ED2"/>
    <w:rsid w:val="00487ED9"/>
    <w:rsid w:val="004C47FE"/>
    <w:rsid w:val="004D019B"/>
    <w:rsid w:val="004D42AA"/>
    <w:rsid w:val="004D5A56"/>
    <w:rsid w:val="005052E7"/>
    <w:rsid w:val="00515AEC"/>
    <w:rsid w:val="005175E8"/>
    <w:rsid w:val="00520337"/>
    <w:rsid w:val="00555810"/>
    <w:rsid w:val="005624A0"/>
    <w:rsid w:val="00590913"/>
    <w:rsid w:val="005A0440"/>
    <w:rsid w:val="005B2750"/>
    <w:rsid w:val="005B29F9"/>
    <w:rsid w:val="005D553C"/>
    <w:rsid w:val="005F0016"/>
    <w:rsid w:val="0066578F"/>
    <w:rsid w:val="00666D9C"/>
    <w:rsid w:val="00673451"/>
    <w:rsid w:val="0067613E"/>
    <w:rsid w:val="006A58FC"/>
    <w:rsid w:val="006E29B7"/>
    <w:rsid w:val="007116D9"/>
    <w:rsid w:val="00726783"/>
    <w:rsid w:val="00750B33"/>
    <w:rsid w:val="00751723"/>
    <w:rsid w:val="0076592A"/>
    <w:rsid w:val="0076726D"/>
    <w:rsid w:val="007A30F7"/>
    <w:rsid w:val="007C04CD"/>
    <w:rsid w:val="0080642A"/>
    <w:rsid w:val="008537F7"/>
    <w:rsid w:val="00853A81"/>
    <w:rsid w:val="00853E66"/>
    <w:rsid w:val="00863C9D"/>
    <w:rsid w:val="008945BC"/>
    <w:rsid w:val="00894DDA"/>
    <w:rsid w:val="008B4285"/>
    <w:rsid w:val="008C0910"/>
    <w:rsid w:val="008D36DF"/>
    <w:rsid w:val="00925D7F"/>
    <w:rsid w:val="00953BBC"/>
    <w:rsid w:val="009A5C15"/>
    <w:rsid w:val="009D7F2A"/>
    <w:rsid w:val="009F1B9D"/>
    <w:rsid w:val="00A051A5"/>
    <w:rsid w:val="00A76987"/>
    <w:rsid w:val="00AA155E"/>
    <w:rsid w:val="00AB4E82"/>
    <w:rsid w:val="00AD741F"/>
    <w:rsid w:val="00AE27E6"/>
    <w:rsid w:val="00AE4F49"/>
    <w:rsid w:val="00AF2D06"/>
    <w:rsid w:val="00AF7322"/>
    <w:rsid w:val="00B664F4"/>
    <w:rsid w:val="00B903F2"/>
    <w:rsid w:val="00B93CDD"/>
    <w:rsid w:val="00BA7A45"/>
    <w:rsid w:val="00BC1101"/>
    <w:rsid w:val="00BC3901"/>
    <w:rsid w:val="00BE5470"/>
    <w:rsid w:val="00BF0B26"/>
    <w:rsid w:val="00C305F1"/>
    <w:rsid w:val="00C42689"/>
    <w:rsid w:val="00C42E5C"/>
    <w:rsid w:val="00C5209B"/>
    <w:rsid w:val="00C532E6"/>
    <w:rsid w:val="00C56C39"/>
    <w:rsid w:val="00C6265F"/>
    <w:rsid w:val="00C716D5"/>
    <w:rsid w:val="00C975DF"/>
    <w:rsid w:val="00CF7D14"/>
    <w:rsid w:val="00D174B5"/>
    <w:rsid w:val="00D3356E"/>
    <w:rsid w:val="00D53D7F"/>
    <w:rsid w:val="00D83205"/>
    <w:rsid w:val="00D869E5"/>
    <w:rsid w:val="00D922F1"/>
    <w:rsid w:val="00DA0AB7"/>
    <w:rsid w:val="00DA66A6"/>
    <w:rsid w:val="00DB288C"/>
    <w:rsid w:val="00E252A3"/>
    <w:rsid w:val="00E86CEC"/>
    <w:rsid w:val="00E91FCA"/>
    <w:rsid w:val="00E93D61"/>
    <w:rsid w:val="00ED1772"/>
    <w:rsid w:val="00F00AD2"/>
    <w:rsid w:val="00F0569D"/>
    <w:rsid w:val="00F13340"/>
    <w:rsid w:val="00F1724C"/>
    <w:rsid w:val="00F26843"/>
    <w:rsid w:val="00F579B4"/>
    <w:rsid w:val="00F868E8"/>
    <w:rsid w:val="00F9489F"/>
    <w:rsid w:val="00FC17D7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A4FC4"/>
  <w15:chartTrackingRefBased/>
  <w15:docId w15:val="{9914460D-C46F-5C47-AB43-2DB5BC03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76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6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6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6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6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6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6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6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76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7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7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760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760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976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76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76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76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76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6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76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76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76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76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76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7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76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7602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ED1772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c12040</dc:creator>
  <cp:keywords/>
  <dc:description/>
  <cp:lastModifiedBy>15990078352@163.com</cp:lastModifiedBy>
  <cp:revision>2</cp:revision>
  <dcterms:created xsi:type="dcterms:W3CDTF">2026-07-07T15:16:00Z</dcterms:created>
  <dcterms:modified xsi:type="dcterms:W3CDTF">2026-07-07T15:16:00Z</dcterms:modified>
</cp:coreProperties>
</file>