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3270" w14:textId="77777777" w:rsidR="00D25A4C" w:rsidRDefault="00D25A4C" w:rsidP="007C7C8E">
      <w:pPr>
        <w:rPr>
          <w:b/>
          <w:bCs/>
        </w:rPr>
      </w:pPr>
    </w:p>
    <w:sdt>
      <w:sdtPr>
        <w:rPr>
          <w:rFonts w:ascii="Arial" w:eastAsiaTheme="minorHAnsi" w:hAnsi="Arial" w:cstheme="minorBidi"/>
          <w:color w:val="auto"/>
          <w:kern w:val="2"/>
          <w:sz w:val="22"/>
          <w:szCs w:val="24"/>
          <w:lang w:val="en-GB"/>
          <w14:ligatures w14:val="standardContextual"/>
        </w:rPr>
        <w:id w:val="-669487005"/>
        <w:docPartObj>
          <w:docPartGallery w:val="Table of Contents"/>
          <w:docPartUnique/>
        </w:docPartObj>
      </w:sdtPr>
      <w:sdtEndPr>
        <w:rPr>
          <w:b/>
          <w:bCs/>
          <w:noProof/>
        </w:rPr>
      </w:sdtEndPr>
      <w:sdtContent>
        <w:p w14:paraId="6E8C9302" w14:textId="6A417403" w:rsidR="00BB07DA" w:rsidRDefault="00BB07DA" w:rsidP="007C7C8E">
          <w:pPr>
            <w:pStyle w:val="TOCHeading"/>
          </w:pPr>
          <w:r>
            <w:t>Contents</w:t>
          </w:r>
        </w:p>
        <w:p w14:paraId="7496952D" w14:textId="50D6D5F4" w:rsidR="00B116A1" w:rsidRDefault="00BB07DA">
          <w:pPr>
            <w:pStyle w:val="TOC1"/>
            <w:rPr>
              <w:rFonts w:asciiTheme="minorHAnsi" w:eastAsiaTheme="minorEastAsia" w:hAnsiTheme="minorHAnsi"/>
              <w:noProof/>
              <w:sz w:val="24"/>
              <w:lang w:val="en-KE" w:eastAsia="en-KE"/>
            </w:rPr>
          </w:pPr>
          <w:r>
            <w:fldChar w:fldCharType="begin"/>
          </w:r>
          <w:r>
            <w:instrText xml:space="preserve"> TOC \o "1-3" \h \z \u </w:instrText>
          </w:r>
          <w:r>
            <w:fldChar w:fldCharType="separate"/>
          </w:r>
          <w:hyperlink w:anchor="_Toc234333142" w:history="1">
            <w:r w:rsidR="00B116A1" w:rsidRPr="004B5051">
              <w:rPr>
                <w:rStyle w:val="Hyperlink"/>
                <w:noProof/>
              </w:rPr>
              <w:t xml:space="preserve"> Supplementary notes 1: Study area</w:t>
            </w:r>
            <w:r w:rsidR="00B116A1">
              <w:rPr>
                <w:noProof/>
                <w:webHidden/>
              </w:rPr>
              <w:tab/>
            </w:r>
            <w:r w:rsidR="00B116A1">
              <w:rPr>
                <w:noProof/>
                <w:webHidden/>
              </w:rPr>
              <w:fldChar w:fldCharType="begin"/>
            </w:r>
            <w:r w:rsidR="00B116A1">
              <w:rPr>
                <w:noProof/>
                <w:webHidden/>
              </w:rPr>
              <w:instrText xml:space="preserve"> PAGEREF _Toc234333142 \h </w:instrText>
            </w:r>
            <w:r w:rsidR="00B116A1">
              <w:rPr>
                <w:noProof/>
                <w:webHidden/>
              </w:rPr>
            </w:r>
            <w:r w:rsidR="00B116A1">
              <w:rPr>
                <w:noProof/>
                <w:webHidden/>
              </w:rPr>
              <w:fldChar w:fldCharType="separate"/>
            </w:r>
            <w:r w:rsidR="00B116A1">
              <w:rPr>
                <w:noProof/>
                <w:webHidden/>
              </w:rPr>
              <w:t>2</w:t>
            </w:r>
            <w:r w:rsidR="00B116A1">
              <w:rPr>
                <w:noProof/>
                <w:webHidden/>
              </w:rPr>
              <w:fldChar w:fldCharType="end"/>
            </w:r>
          </w:hyperlink>
        </w:p>
        <w:p w14:paraId="4FE5CB8B" w14:textId="52C547F2" w:rsidR="00B116A1" w:rsidRDefault="00B116A1">
          <w:pPr>
            <w:pStyle w:val="TOC1"/>
            <w:rPr>
              <w:rFonts w:asciiTheme="minorHAnsi" w:eastAsiaTheme="minorEastAsia" w:hAnsiTheme="minorHAnsi"/>
              <w:noProof/>
              <w:sz w:val="24"/>
              <w:lang w:val="en-KE" w:eastAsia="en-KE"/>
            </w:rPr>
          </w:pPr>
          <w:hyperlink w:anchor="_Toc234333143" w:history="1">
            <w:r w:rsidRPr="004B5051">
              <w:rPr>
                <w:rStyle w:val="Hyperlink"/>
                <w:noProof/>
              </w:rPr>
              <w:t xml:space="preserve"> Supplementary notes 2: Data Assembly</w:t>
            </w:r>
            <w:r>
              <w:rPr>
                <w:noProof/>
                <w:webHidden/>
              </w:rPr>
              <w:tab/>
            </w:r>
            <w:r>
              <w:rPr>
                <w:noProof/>
                <w:webHidden/>
              </w:rPr>
              <w:fldChar w:fldCharType="begin"/>
            </w:r>
            <w:r>
              <w:rPr>
                <w:noProof/>
                <w:webHidden/>
              </w:rPr>
              <w:instrText xml:space="preserve"> PAGEREF _Toc234333143 \h </w:instrText>
            </w:r>
            <w:r>
              <w:rPr>
                <w:noProof/>
                <w:webHidden/>
              </w:rPr>
            </w:r>
            <w:r>
              <w:rPr>
                <w:noProof/>
                <w:webHidden/>
              </w:rPr>
              <w:fldChar w:fldCharType="separate"/>
            </w:r>
            <w:r>
              <w:rPr>
                <w:noProof/>
                <w:webHidden/>
              </w:rPr>
              <w:t>3</w:t>
            </w:r>
            <w:r>
              <w:rPr>
                <w:noProof/>
                <w:webHidden/>
              </w:rPr>
              <w:fldChar w:fldCharType="end"/>
            </w:r>
          </w:hyperlink>
        </w:p>
        <w:p w14:paraId="3DBE786D" w14:textId="64C101B4"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44" w:history="1">
            <w:r w:rsidRPr="004B5051">
              <w:rPr>
                <w:rStyle w:val="Hyperlink"/>
                <w:noProof/>
              </w:rPr>
              <w:t>2.1. Availability</w:t>
            </w:r>
            <w:r>
              <w:rPr>
                <w:noProof/>
                <w:webHidden/>
              </w:rPr>
              <w:tab/>
            </w:r>
            <w:r>
              <w:rPr>
                <w:noProof/>
                <w:webHidden/>
              </w:rPr>
              <w:fldChar w:fldCharType="begin"/>
            </w:r>
            <w:r>
              <w:rPr>
                <w:noProof/>
                <w:webHidden/>
              </w:rPr>
              <w:instrText xml:space="preserve"> PAGEREF _Toc234333144 \h </w:instrText>
            </w:r>
            <w:r>
              <w:rPr>
                <w:noProof/>
                <w:webHidden/>
              </w:rPr>
            </w:r>
            <w:r>
              <w:rPr>
                <w:noProof/>
                <w:webHidden/>
              </w:rPr>
              <w:fldChar w:fldCharType="separate"/>
            </w:r>
            <w:r>
              <w:rPr>
                <w:noProof/>
                <w:webHidden/>
              </w:rPr>
              <w:t>3</w:t>
            </w:r>
            <w:r>
              <w:rPr>
                <w:noProof/>
                <w:webHidden/>
              </w:rPr>
              <w:fldChar w:fldCharType="end"/>
            </w:r>
          </w:hyperlink>
        </w:p>
        <w:p w14:paraId="4F1EBAC6" w14:textId="3A42D7D0" w:rsidR="00B116A1" w:rsidRDefault="00B116A1">
          <w:pPr>
            <w:pStyle w:val="TOC3"/>
            <w:tabs>
              <w:tab w:val="left" w:pos="1440"/>
              <w:tab w:val="right" w:leader="dot" w:pos="9016"/>
            </w:tabs>
            <w:rPr>
              <w:rFonts w:asciiTheme="minorHAnsi" w:eastAsiaTheme="minorEastAsia" w:hAnsiTheme="minorHAnsi"/>
              <w:noProof/>
              <w:sz w:val="24"/>
              <w:lang w:val="en-KE" w:eastAsia="en-KE"/>
            </w:rPr>
          </w:pPr>
          <w:hyperlink w:anchor="_Toc234333145" w:history="1">
            <w:r w:rsidRPr="004B5051">
              <w:rPr>
                <w:rStyle w:val="Hyperlink"/>
                <w:noProof/>
              </w:rPr>
              <w:t>2.1.1.</w:t>
            </w:r>
            <w:r>
              <w:rPr>
                <w:rFonts w:asciiTheme="minorHAnsi" w:eastAsiaTheme="minorEastAsia" w:hAnsiTheme="minorHAnsi"/>
                <w:noProof/>
                <w:sz w:val="24"/>
                <w:lang w:val="en-KE" w:eastAsia="en-KE"/>
              </w:rPr>
              <w:tab/>
            </w:r>
            <w:r w:rsidRPr="004B5051">
              <w:rPr>
                <w:rStyle w:val="Hyperlink"/>
                <w:noProof/>
              </w:rPr>
              <w:t>Kenya’s Healthcare system hierarchy</w:t>
            </w:r>
            <w:r>
              <w:rPr>
                <w:noProof/>
                <w:webHidden/>
              </w:rPr>
              <w:tab/>
            </w:r>
            <w:r>
              <w:rPr>
                <w:noProof/>
                <w:webHidden/>
              </w:rPr>
              <w:fldChar w:fldCharType="begin"/>
            </w:r>
            <w:r>
              <w:rPr>
                <w:noProof/>
                <w:webHidden/>
              </w:rPr>
              <w:instrText xml:space="preserve"> PAGEREF _Toc234333145 \h </w:instrText>
            </w:r>
            <w:r>
              <w:rPr>
                <w:noProof/>
                <w:webHidden/>
              </w:rPr>
            </w:r>
            <w:r>
              <w:rPr>
                <w:noProof/>
                <w:webHidden/>
              </w:rPr>
              <w:fldChar w:fldCharType="separate"/>
            </w:r>
            <w:r>
              <w:rPr>
                <w:noProof/>
                <w:webHidden/>
              </w:rPr>
              <w:t>3</w:t>
            </w:r>
            <w:r>
              <w:rPr>
                <w:noProof/>
                <w:webHidden/>
              </w:rPr>
              <w:fldChar w:fldCharType="end"/>
            </w:r>
          </w:hyperlink>
        </w:p>
        <w:p w14:paraId="68F01B37" w14:textId="028F66C9" w:rsidR="00B116A1" w:rsidRDefault="00B116A1">
          <w:pPr>
            <w:pStyle w:val="TOC3"/>
            <w:tabs>
              <w:tab w:val="left" w:pos="1440"/>
              <w:tab w:val="right" w:leader="dot" w:pos="9016"/>
            </w:tabs>
            <w:rPr>
              <w:rFonts w:asciiTheme="minorHAnsi" w:eastAsiaTheme="minorEastAsia" w:hAnsiTheme="minorHAnsi"/>
              <w:noProof/>
              <w:sz w:val="24"/>
              <w:lang w:val="en-KE" w:eastAsia="en-KE"/>
            </w:rPr>
          </w:pPr>
          <w:hyperlink w:anchor="_Toc234333146" w:history="1">
            <w:r w:rsidRPr="004B5051">
              <w:rPr>
                <w:rStyle w:val="Hyperlink"/>
                <w:noProof/>
              </w:rPr>
              <w:t>2.1.2.</w:t>
            </w:r>
            <w:r>
              <w:rPr>
                <w:rFonts w:asciiTheme="minorHAnsi" w:eastAsiaTheme="minorEastAsia" w:hAnsiTheme="minorHAnsi"/>
                <w:noProof/>
                <w:sz w:val="24"/>
                <w:lang w:val="en-KE" w:eastAsia="en-KE"/>
              </w:rPr>
              <w:tab/>
            </w:r>
            <w:r w:rsidRPr="004B5051">
              <w:rPr>
                <w:rStyle w:val="Hyperlink"/>
                <w:noProof/>
              </w:rPr>
              <w:t>Facility inclusion/exclusion</w:t>
            </w:r>
            <w:r>
              <w:rPr>
                <w:noProof/>
                <w:webHidden/>
              </w:rPr>
              <w:tab/>
            </w:r>
            <w:r>
              <w:rPr>
                <w:noProof/>
                <w:webHidden/>
              </w:rPr>
              <w:fldChar w:fldCharType="begin"/>
            </w:r>
            <w:r>
              <w:rPr>
                <w:noProof/>
                <w:webHidden/>
              </w:rPr>
              <w:instrText xml:space="preserve"> PAGEREF _Toc234333146 \h </w:instrText>
            </w:r>
            <w:r>
              <w:rPr>
                <w:noProof/>
                <w:webHidden/>
              </w:rPr>
            </w:r>
            <w:r>
              <w:rPr>
                <w:noProof/>
                <w:webHidden/>
              </w:rPr>
              <w:fldChar w:fldCharType="separate"/>
            </w:r>
            <w:r>
              <w:rPr>
                <w:noProof/>
                <w:webHidden/>
              </w:rPr>
              <w:t>4</w:t>
            </w:r>
            <w:r>
              <w:rPr>
                <w:noProof/>
                <w:webHidden/>
              </w:rPr>
              <w:fldChar w:fldCharType="end"/>
            </w:r>
          </w:hyperlink>
        </w:p>
        <w:p w14:paraId="5E50EC4A" w14:textId="4E1B8CB1"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47" w:history="1">
            <w:r w:rsidRPr="004B5051">
              <w:rPr>
                <w:rStyle w:val="Hyperlink"/>
                <w:noProof/>
              </w:rPr>
              <w:t>2.2. Geographic access</w:t>
            </w:r>
            <w:r>
              <w:rPr>
                <w:noProof/>
                <w:webHidden/>
              </w:rPr>
              <w:tab/>
            </w:r>
            <w:r>
              <w:rPr>
                <w:noProof/>
                <w:webHidden/>
              </w:rPr>
              <w:fldChar w:fldCharType="begin"/>
            </w:r>
            <w:r>
              <w:rPr>
                <w:noProof/>
                <w:webHidden/>
              </w:rPr>
              <w:instrText xml:space="preserve"> PAGEREF _Toc234333147 \h </w:instrText>
            </w:r>
            <w:r>
              <w:rPr>
                <w:noProof/>
                <w:webHidden/>
              </w:rPr>
            </w:r>
            <w:r>
              <w:rPr>
                <w:noProof/>
                <w:webHidden/>
              </w:rPr>
              <w:fldChar w:fldCharType="separate"/>
            </w:r>
            <w:r>
              <w:rPr>
                <w:noProof/>
                <w:webHidden/>
              </w:rPr>
              <w:t>6</w:t>
            </w:r>
            <w:r>
              <w:rPr>
                <w:noProof/>
                <w:webHidden/>
              </w:rPr>
              <w:fldChar w:fldCharType="end"/>
            </w:r>
          </w:hyperlink>
        </w:p>
        <w:p w14:paraId="6185AE85" w14:textId="702C90C5"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48" w:history="1">
            <w:r w:rsidRPr="004B5051">
              <w:rPr>
                <w:rStyle w:val="Hyperlink"/>
                <w:noProof/>
              </w:rPr>
              <w:t>2.3. Affordability</w:t>
            </w:r>
            <w:r>
              <w:rPr>
                <w:noProof/>
                <w:webHidden/>
              </w:rPr>
              <w:tab/>
            </w:r>
            <w:r>
              <w:rPr>
                <w:noProof/>
                <w:webHidden/>
              </w:rPr>
              <w:fldChar w:fldCharType="begin"/>
            </w:r>
            <w:r>
              <w:rPr>
                <w:noProof/>
                <w:webHidden/>
              </w:rPr>
              <w:instrText xml:space="preserve"> PAGEREF _Toc234333148 \h </w:instrText>
            </w:r>
            <w:r>
              <w:rPr>
                <w:noProof/>
                <w:webHidden/>
              </w:rPr>
            </w:r>
            <w:r>
              <w:rPr>
                <w:noProof/>
                <w:webHidden/>
              </w:rPr>
              <w:fldChar w:fldCharType="separate"/>
            </w:r>
            <w:r>
              <w:rPr>
                <w:noProof/>
                <w:webHidden/>
              </w:rPr>
              <w:t>6</w:t>
            </w:r>
            <w:r>
              <w:rPr>
                <w:noProof/>
                <w:webHidden/>
              </w:rPr>
              <w:fldChar w:fldCharType="end"/>
            </w:r>
          </w:hyperlink>
        </w:p>
        <w:p w14:paraId="608503C6" w14:textId="32FB147D"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49" w:history="1">
            <w:r w:rsidRPr="004B5051">
              <w:rPr>
                <w:rStyle w:val="Hyperlink"/>
                <w:noProof/>
              </w:rPr>
              <w:t>2.4. Accommodation and Acceptability</w:t>
            </w:r>
            <w:r>
              <w:rPr>
                <w:noProof/>
                <w:webHidden/>
              </w:rPr>
              <w:tab/>
            </w:r>
            <w:r>
              <w:rPr>
                <w:noProof/>
                <w:webHidden/>
              </w:rPr>
              <w:fldChar w:fldCharType="begin"/>
            </w:r>
            <w:r>
              <w:rPr>
                <w:noProof/>
                <w:webHidden/>
              </w:rPr>
              <w:instrText xml:space="preserve"> PAGEREF _Toc234333149 \h </w:instrText>
            </w:r>
            <w:r>
              <w:rPr>
                <w:noProof/>
                <w:webHidden/>
              </w:rPr>
            </w:r>
            <w:r>
              <w:rPr>
                <w:noProof/>
                <w:webHidden/>
              </w:rPr>
              <w:fldChar w:fldCharType="separate"/>
            </w:r>
            <w:r>
              <w:rPr>
                <w:noProof/>
                <w:webHidden/>
              </w:rPr>
              <w:t>7</w:t>
            </w:r>
            <w:r>
              <w:rPr>
                <w:noProof/>
                <w:webHidden/>
              </w:rPr>
              <w:fldChar w:fldCharType="end"/>
            </w:r>
          </w:hyperlink>
        </w:p>
        <w:p w14:paraId="69EEAC80" w14:textId="75DC4632" w:rsidR="00B116A1" w:rsidRDefault="00B116A1">
          <w:pPr>
            <w:pStyle w:val="TOC1"/>
            <w:rPr>
              <w:rFonts w:asciiTheme="minorHAnsi" w:eastAsiaTheme="minorEastAsia" w:hAnsiTheme="minorHAnsi"/>
              <w:noProof/>
              <w:sz w:val="24"/>
              <w:lang w:val="en-KE" w:eastAsia="en-KE"/>
            </w:rPr>
          </w:pPr>
          <w:hyperlink w:anchor="_Toc234333150" w:history="1">
            <w:r w:rsidRPr="004B5051">
              <w:rPr>
                <w:rStyle w:val="Hyperlink"/>
                <w:noProof/>
              </w:rPr>
              <w:t xml:space="preserve"> Supplementary notes 3: Geospatial modelling</w:t>
            </w:r>
            <w:r>
              <w:rPr>
                <w:noProof/>
                <w:webHidden/>
              </w:rPr>
              <w:tab/>
            </w:r>
            <w:r>
              <w:rPr>
                <w:noProof/>
                <w:webHidden/>
              </w:rPr>
              <w:fldChar w:fldCharType="begin"/>
            </w:r>
            <w:r>
              <w:rPr>
                <w:noProof/>
                <w:webHidden/>
              </w:rPr>
              <w:instrText xml:space="preserve"> PAGEREF _Toc234333150 \h </w:instrText>
            </w:r>
            <w:r>
              <w:rPr>
                <w:noProof/>
                <w:webHidden/>
              </w:rPr>
            </w:r>
            <w:r>
              <w:rPr>
                <w:noProof/>
                <w:webHidden/>
              </w:rPr>
              <w:fldChar w:fldCharType="separate"/>
            </w:r>
            <w:r>
              <w:rPr>
                <w:noProof/>
                <w:webHidden/>
              </w:rPr>
              <w:t>10</w:t>
            </w:r>
            <w:r>
              <w:rPr>
                <w:noProof/>
                <w:webHidden/>
              </w:rPr>
              <w:fldChar w:fldCharType="end"/>
            </w:r>
          </w:hyperlink>
        </w:p>
        <w:p w14:paraId="045CA815" w14:textId="5F186CF2"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51" w:history="1">
            <w:r w:rsidRPr="004B5051">
              <w:rPr>
                <w:rStyle w:val="Hyperlink"/>
                <w:noProof/>
              </w:rPr>
              <w:t>3.1. Enhanced Two Step Floating Catchment Area (E2SFCA) for Service Availability</w:t>
            </w:r>
            <w:r>
              <w:rPr>
                <w:noProof/>
                <w:webHidden/>
              </w:rPr>
              <w:tab/>
            </w:r>
            <w:r>
              <w:rPr>
                <w:noProof/>
                <w:webHidden/>
              </w:rPr>
              <w:fldChar w:fldCharType="begin"/>
            </w:r>
            <w:r>
              <w:rPr>
                <w:noProof/>
                <w:webHidden/>
              </w:rPr>
              <w:instrText xml:space="preserve"> PAGEREF _Toc234333151 \h </w:instrText>
            </w:r>
            <w:r>
              <w:rPr>
                <w:noProof/>
                <w:webHidden/>
              </w:rPr>
            </w:r>
            <w:r>
              <w:rPr>
                <w:noProof/>
                <w:webHidden/>
              </w:rPr>
              <w:fldChar w:fldCharType="separate"/>
            </w:r>
            <w:r>
              <w:rPr>
                <w:noProof/>
                <w:webHidden/>
              </w:rPr>
              <w:t>10</w:t>
            </w:r>
            <w:r>
              <w:rPr>
                <w:noProof/>
                <w:webHidden/>
              </w:rPr>
              <w:fldChar w:fldCharType="end"/>
            </w:r>
          </w:hyperlink>
        </w:p>
        <w:p w14:paraId="71A8F196" w14:textId="102EC523"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52" w:history="1">
            <w:r w:rsidRPr="004B5051">
              <w:rPr>
                <w:rStyle w:val="Hyperlink"/>
                <w:noProof/>
              </w:rPr>
              <w:t>3.2. Modelling travel time for Geographic Accessibility</w:t>
            </w:r>
            <w:r>
              <w:rPr>
                <w:noProof/>
                <w:webHidden/>
              </w:rPr>
              <w:tab/>
            </w:r>
            <w:r>
              <w:rPr>
                <w:noProof/>
                <w:webHidden/>
              </w:rPr>
              <w:fldChar w:fldCharType="begin"/>
            </w:r>
            <w:r>
              <w:rPr>
                <w:noProof/>
                <w:webHidden/>
              </w:rPr>
              <w:instrText xml:space="preserve"> PAGEREF _Toc234333152 \h </w:instrText>
            </w:r>
            <w:r>
              <w:rPr>
                <w:noProof/>
                <w:webHidden/>
              </w:rPr>
            </w:r>
            <w:r>
              <w:rPr>
                <w:noProof/>
                <w:webHidden/>
              </w:rPr>
              <w:fldChar w:fldCharType="separate"/>
            </w:r>
            <w:r>
              <w:rPr>
                <w:noProof/>
                <w:webHidden/>
              </w:rPr>
              <w:t>10</w:t>
            </w:r>
            <w:r>
              <w:rPr>
                <w:noProof/>
                <w:webHidden/>
              </w:rPr>
              <w:fldChar w:fldCharType="end"/>
            </w:r>
          </w:hyperlink>
        </w:p>
        <w:p w14:paraId="7948FE07" w14:textId="52135BF2"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53" w:history="1">
            <w:r w:rsidRPr="004B5051">
              <w:rPr>
                <w:rStyle w:val="Hyperlink"/>
                <w:noProof/>
              </w:rPr>
              <w:t>3.3. Model-based geostatistical (MBG) interpolation for Affordability, Accommodation, and Acceptability</w:t>
            </w:r>
            <w:r>
              <w:rPr>
                <w:noProof/>
                <w:webHidden/>
              </w:rPr>
              <w:tab/>
            </w:r>
            <w:r>
              <w:rPr>
                <w:noProof/>
                <w:webHidden/>
              </w:rPr>
              <w:fldChar w:fldCharType="begin"/>
            </w:r>
            <w:r>
              <w:rPr>
                <w:noProof/>
                <w:webHidden/>
              </w:rPr>
              <w:instrText xml:space="preserve"> PAGEREF _Toc234333153 \h </w:instrText>
            </w:r>
            <w:r>
              <w:rPr>
                <w:noProof/>
                <w:webHidden/>
              </w:rPr>
            </w:r>
            <w:r>
              <w:rPr>
                <w:noProof/>
                <w:webHidden/>
              </w:rPr>
              <w:fldChar w:fldCharType="separate"/>
            </w:r>
            <w:r>
              <w:rPr>
                <w:noProof/>
                <w:webHidden/>
              </w:rPr>
              <w:t>11</w:t>
            </w:r>
            <w:r>
              <w:rPr>
                <w:noProof/>
                <w:webHidden/>
              </w:rPr>
              <w:fldChar w:fldCharType="end"/>
            </w:r>
          </w:hyperlink>
        </w:p>
        <w:p w14:paraId="00463A2C" w14:textId="6803EA86" w:rsidR="00B116A1" w:rsidRDefault="00B116A1">
          <w:pPr>
            <w:pStyle w:val="TOC3"/>
            <w:tabs>
              <w:tab w:val="left" w:pos="1440"/>
              <w:tab w:val="right" w:leader="dot" w:pos="9016"/>
            </w:tabs>
            <w:rPr>
              <w:rFonts w:asciiTheme="minorHAnsi" w:eastAsiaTheme="minorEastAsia" w:hAnsiTheme="minorHAnsi"/>
              <w:noProof/>
              <w:sz w:val="24"/>
              <w:lang w:val="en-KE" w:eastAsia="en-KE"/>
            </w:rPr>
          </w:pPr>
          <w:hyperlink w:anchor="_Toc234333154" w:history="1">
            <w:r w:rsidRPr="004B5051">
              <w:rPr>
                <w:rStyle w:val="Hyperlink"/>
                <w:noProof/>
              </w:rPr>
              <w:t>3.3.1.</w:t>
            </w:r>
            <w:r>
              <w:rPr>
                <w:rFonts w:asciiTheme="minorHAnsi" w:eastAsiaTheme="minorEastAsia" w:hAnsiTheme="minorHAnsi"/>
                <w:noProof/>
                <w:sz w:val="24"/>
                <w:lang w:val="en-KE" w:eastAsia="en-KE"/>
              </w:rPr>
              <w:tab/>
            </w:r>
            <w:r w:rsidRPr="004B5051">
              <w:rPr>
                <w:rStyle w:val="Hyperlink"/>
                <w:noProof/>
              </w:rPr>
              <w:t>Covariates</w:t>
            </w:r>
            <w:r>
              <w:rPr>
                <w:noProof/>
                <w:webHidden/>
              </w:rPr>
              <w:tab/>
            </w:r>
            <w:r>
              <w:rPr>
                <w:noProof/>
                <w:webHidden/>
              </w:rPr>
              <w:fldChar w:fldCharType="begin"/>
            </w:r>
            <w:r>
              <w:rPr>
                <w:noProof/>
                <w:webHidden/>
              </w:rPr>
              <w:instrText xml:space="preserve"> PAGEREF _Toc234333154 \h </w:instrText>
            </w:r>
            <w:r>
              <w:rPr>
                <w:noProof/>
                <w:webHidden/>
              </w:rPr>
            </w:r>
            <w:r>
              <w:rPr>
                <w:noProof/>
                <w:webHidden/>
              </w:rPr>
              <w:fldChar w:fldCharType="separate"/>
            </w:r>
            <w:r>
              <w:rPr>
                <w:noProof/>
                <w:webHidden/>
              </w:rPr>
              <w:t>11</w:t>
            </w:r>
            <w:r>
              <w:rPr>
                <w:noProof/>
                <w:webHidden/>
              </w:rPr>
              <w:fldChar w:fldCharType="end"/>
            </w:r>
          </w:hyperlink>
        </w:p>
        <w:p w14:paraId="2132658E" w14:textId="000BDB4D" w:rsidR="00B116A1" w:rsidRDefault="00B116A1">
          <w:pPr>
            <w:pStyle w:val="TOC3"/>
            <w:tabs>
              <w:tab w:val="left" w:pos="1440"/>
              <w:tab w:val="right" w:leader="dot" w:pos="9016"/>
            </w:tabs>
            <w:rPr>
              <w:rFonts w:asciiTheme="minorHAnsi" w:eastAsiaTheme="minorEastAsia" w:hAnsiTheme="minorHAnsi"/>
              <w:noProof/>
              <w:sz w:val="24"/>
              <w:lang w:val="en-KE" w:eastAsia="en-KE"/>
            </w:rPr>
          </w:pPr>
          <w:hyperlink w:anchor="_Toc234333155" w:history="1">
            <w:r w:rsidRPr="004B5051">
              <w:rPr>
                <w:rStyle w:val="Hyperlink"/>
                <w:noProof/>
              </w:rPr>
              <w:t>3.3.2.</w:t>
            </w:r>
            <w:r>
              <w:rPr>
                <w:rFonts w:asciiTheme="minorHAnsi" w:eastAsiaTheme="minorEastAsia" w:hAnsiTheme="minorHAnsi"/>
                <w:noProof/>
                <w:sz w:val="24"/>
                <w:lang w:val="en-KE" w:eastAsia="en-KE"/>
              </w:rPr>
              <w:tab/>
            </w:r>
            <w:r w:rsidRPr="004B5051">
              <w:rPr>
                <w:rStyle w:val="Hyperlink"/>
                <w:noProof/>
              </w:rPr>
              <w:t>Evidence of spatial autocorrelation</w:t>
            </w:r>
            <w:r>
              <w:rPr>
                <w:noProof/>
                <w:webHidden/>
              </w:rPr>
              <w:tab/>
            </w:r>
            <w:r>
              <w:rPr>
                <w:noProof/>
                <w:webHidden/>
              </w:rPr>
              <w:fldChar w:fldCharType="begin"/>
            </w:r>
            <w:r>
              <w:rPr>
                <w:noProof/>
                <w:webHidden/>
              </w:rPr>
              <w:instrText xml:space="preserve"> PAGEREF _Toc234333155 \h </w:instrText>
            </w:r>
            <w:r>
              <w:rPr>
                <w:noProof/>
                <w:webHidden/>
              </w:rPr>
            </w:r>
            <w:r>
              <w:rPr>
                <w:noProof/>
                <w:webHidden/>
              </w:rPr>
              <w:fldChar w:fldCharType="separate"/>
            </w:r>
            <w:r>
              <w:rPr>
                <w:noProof/>
                <w:webHidden/>
              </w:rPr>
              <w:t>12</w:t>
            </w:r>
            <w:r>
              <w:rPr>
                <w:noProof/>
                <w:webHidden/>
              </w:rPr>
              <w:fldChar w:fldCharType="end"/>
            </w:r>
          </w:hyperlink>
        </w:p>
        <w:p w14:paraId="256EBB93" w14:textId="39D8B662" w:rsidR="00B116A1" w:rsidRDefault="00B116A1">
          <w:pPr>
            <w:pStyle w:val="TOC3"/>
            <w:tabs>
              <w:tab w:val="left" w:pos="1440"/>
              <w:tab w:val="right" w:leader="dot" w:pos="9016"/>
            </w:tabs>
            <w:rPr>
              <w:rFonts w:asciiTheme="minorHAnsi" w:eastAsiaTheme="minorEastAsia" w:hAnsiTheme="minorHAnsi"/>
              <w:noProof/>
              <w:sz w:val="24"/>
              <w:lang w:val="en-KE" w:eastAsia="en-KE"/>
            </w:rPr>
          </w:pPr>
          <w:hyperlink w:anchor="_Toc234333156" w:history="1">
            <w:r w:rsidRPr="004B5051">
              <w:rPr>
                <w:rStyle w:val="Hyperlink"/>
                <w:noProof/>
              </w:rPr>
              <w:t>3.3.3.</w:t>
            </w:r>
            <w:r>
              <w:rPr>
                <w:rFonts w:asciiTheme="minorHAnsi" w:eastAsiaTheme="minorEastAsia" w:hAnsiTheme="minorHAnsi"/>
                <w:noProof/>
                <w:sz w:val="24"/>
                <w:lang w:val="en-KE" w:eastAsia="en-KE"/>
              </w:rPr>
              <w:tab/>
            </w:r>
            <w:r w:rsidRPr="004B5051">
              <w:rPr>
                <w:rStyle w:val="Hyperlink"/>
                <w:noProof/>
              </w:rPr>
              <w:t>MESH</w:t>
            </w:r>
            <w:r>
              <w:rPr>
                <w:noProof/>
                <w:webHidden/>
              </w:rPr>
              <w:tab/>
            </w:r>
            <w:r>
              <w:rPr>
                <w:noProof/>
                <w:webHidden/>
              </w:rPr>
              <w:fldChar w:fldCharType="begin"/>
            </w:r>
            <w:r>
              <w:rPr>
                <w:noProof/>
                <w:webHidden/>
              </w:rPr>
              <w:instrText xml:space="preserve"> PAGEREF _Toc234333156 \h </w:instrText>
            </w:r>
            <w:r>
              <w:rPr>
                <w:noProof/>
                <w:webHidden/>
              </w:rPr>
            </w:r>
            <w:r>
              <w:rPr>
                <w:noProof/>
                <w:webHidden/>
              </w:rPr>
              <w:fldChar w:fldCharType="separate"/>
            </w:r>
            <w:r>
              <w:rPr>
                <w:noProof/>
                <w:webHidden/>
              </w:rPr>
              <w:t>14</w:t>
            </w:r>
            <w:r>
              <w:rPr>
                <w:noProof/>
                <w:webHidden/>
              </w:rPr>
              <w:fldChar w:fldCharType="end"/>
            </w:r>
          </w:hyperlink>
        </w:p>
        <w:p w14:paraId="241EC71A" w14:textId="3E77E608" w:rsidR="00B116A1" w:rsidRDefault="00B116A1">
          <w:pPr>
            <w:pStyle w:val="TOC3"/>
            <w:tabs>
              <w:tab w:val="left" w:pos="1440"/>
              <w:tab w:val="right" w:leader="dot" w:pos="9016"/>
            </w:tabs>
            <w:rPr>
              <w:rFonts w:asciiTheme="minorHAnsi" w:eastAsiaTheme="minorEastAsia" w:hAnsiTheme="minorHAnsi"/>
              <w:noProof/>
              <w:sz w:val="24"/>
              <w:lang w:val="en-KE" w:eastAsia="en-KE"/>
            </w:rPr>
          </w:pPr>
          <w:hyperlink w:anchor="_Toc234333157" w:history="1">
            <w:r w:rsidRPr="004B5051">
              <w:rPr>
                <w:rStyle w:val="Hyperlink"/>
                <w:noProof/>
              </w:rPr>
              <w:t>3.3.4.</w:t>
            </w:r>
            <w:r>
              <w:rPr>
                <w:rFonts w:asciiTheme="minorHAnsi" w:eastAsiaTheme="minorEastAsia" w:hAnsiTheme="minorHAnsi"/>
                <w:noProof/>
                <w:sz w:val="24"/>
                <w:lang w:val="en-KE" w:eastAsia="en-KE"/>
              </w:rPr>
              <w:tab/>
            </w:r>
            <w:r w:rsidRPr="004B5051">
              <w:rPr>
                <w:rStyle w:val="Hyperlink"/>
                <w:noProof/>
              </w:rPr>
              <w:t>Model fitting and interpolation</w:t>
            </w:r>
            <w:r>
              <w:rPr>
                <w:noProof/>
                <w:webHidden/>
              </w:rPr>
              <w:tab/>
            </w:r>
            <w:r>
              <w:rPr>
                <w:noProof/>
                <w:webHidden/>
              </w:rPr>
              <w:fldChar w:fldCharType="begin"/>
            </w:r>
            <w:r>
              <w:rPr>
                <w:noProof/>
                <w:webHidden/>
              </w:rPr>
              <w:instrText xml:space="preserve"> PAGEREF _Toc234333157 \h </w:instrText>
            </w:r>
            <w:r>
              <w:rPr>
                <w:noProof/>
                <w:webHidden/>
              </w:rPr>
            </w:r>
            <w:r>
              <w:rPr>
                <w:noProof/>
                <w:webHidden/>
              </w:rPr>
              <w:fldChar w:fldCharType="separate"/>
            </w:r>
            <w:r>
              <w:rPr>
                <w:noProof/>
                <w:webHidden/>
              </w:rPr>
              <w:t>15</w:t>
            </w:r>
            <w:r>
              <w:rPr>
                <w:noProof/>
                <w:webHidden/>
              </w:rPr>
              <w:fldChar w:fldCharType="end"/>
            </w:r>
          </w:hyperlink>
        </w:p>
        <w:p w14:paraId="4BC8FBF9" w14:textId="317E91BB" w:rsidR="00B116A1" w:rsidRDefault="00B116A1">
          <w:pPr>
            <w:pStyle w:val="TOC3"/>
            <w:tabs>
              <w:tab w:val="left" w:pos="1440"/>
              <w:tab w:val="right" w:leader="dot" w:pos="9016"/>
            </w:tabs>
            <w:rPr>
              <w:rFonts w:asciiTheme="minorHAnsi" w:eastAsiaTheme="minorEastAsia" w:hAnsiTheme="minorHAnsi"/>
              <w:noProof/>
              <w:sz w:val="24"/>
              <w:lang w:val="en-KE" w:eastAsia="en-KE"/>
            </w:rPr>
          </w:pPr>
          <w:hyperlink w:anchor="_Toc234333158" w:history="1">
            <w:r w:rsidRPr="004B5051">
              <w:rPr>
                <w:rStyle w:val="Hyperlink"/>
                <w:noProof/>
              </w:rPr>
              <w:t>3.3.5.</w:t>
            </w:r>
            <w:r>
              <w:rPr>
                <w:rFonts w:asciiTheme="minorHAnsi" w:eastAsiaTheme="minorEastAsia" w:hAnsiTheme="minorHAnsi"/>
                <w:noProof/>
                <w:sz w:val="24"/>
                <w:lang w:val="en-KE" w:eastAsia="en-KE"/>
              </w:rPr>
              <w:tab/>
            </w:r>
            <w:r w:rsidRPr="004B5051">
              <w:rPr>
                <w:rStyle w:val="Hyperlink"/>
                <w:noProof/>
              </w:rPr>
              <w:t>Dasymetric adjustment</w:t>
            </w:r>
            <w:r>
              <w:rPr>
                <w:noProof/>
                <w:webHidden/>
              </w:rPr>
              <w:tab/>
            </w:r>
            <w:r>
              <w:rPr>
                <w:noProof/>
                <w:webHidden/>
              </w:rPr>
              <w:fldChar w:fldCharType="begin"/>
            </w:r>
            <w:r>
              <w:rPr>
                <w:noProof/>
                <w:webHidden/>
              </w:rPr>
              <w:instrText xml:space="preserve"> PAGEREF _Toc234333158 \h </w:instrText>
            </w:r>
            <w:r>
              <w:rPr>
                <w:noProof/>
                <w:webHidden/>
              </w:rPr>
            </w:r>
            <w:r>
              <w:rPr>
                <w:noProof/>
                <w:webHidden/>
              </w:rPr>
              <w:fldChar w:fldCharType="separate"/>
            </w:r>
            <w:r>
              <w:rPr>
                <w:noProof/>
                <w:webHidden/>
              </w:rPr>
              <w:t>15</w:t>
            </w:r>
            <w:r>
              <w:rPr>
                <w:noProof/>
                <w:webHidden/>
              </w:rPr>
              <w:fldChar w:fldCharType="end"/>
            </w:r>
          </w:hyperlink>
        </w:p>
        <w:p w14:paraId="78775CE4" w14:textId="04347481" w:rsidR="00B116A1" w:rsidRDefault="00B116A1">
          <w:pPr>
            <w:pStyle w:val="TOC1"/>
            <w:rPr>
              <w:rFonts w:asciiTheme="minorHAnsi" w:eastAsiaTheme="minorEastAsia" w:hAnsiTheme="minorHAnsi"/>
              <w:noProof/>
              <w:sz w:val="24"/>
              <w:lang w:val="en-KE" w:eastAsia="en-KE"/>
            </w:rPr>
          </w:pPr>
          <w:hyperlink w:anchor="_Toc234333159" w:history="1">
            <w:r w:rsidRPr="004B5051">
              <w:rPr>
                <w:rStyle w:val="Hyperlink"/>
                <w:noProof/>
              </w:rPr>
              <w:t xml:space="preserve"> Supplementary notes 4: Composite score construction</w:t>
            </w:r>
            <w:r>
              <w:rPr>
                <w:noProof/>
                <w:webHidden/>
              </w:rPr>
              <w:tab/>
            </w:r>
            <w:r>
              <w:rPr>
                <w:noProof/>
                <w:webHidden/>
              </w:rPr>
              <w:fldChar w:fldCharType="begin"/>
            </w:r>
            <w:r>
              <w:rPr>
                <w:noProof/>
                <w:webHidden/>
              </w:rPr>
              <w:instrText xml:space="preserve"> PAGEREF _Toc234333159 \h </w:instrText>
            </w:r>
            <w:r>
              <w:rPr>
                <w:noProof/>
                <w:webHidden/>
              </w:rPr>
            </w:r>
            <w:r>
              <w:rPr>
                <w:noProof/>
                <w:webHidden/>
              </w:rPr>
              <w:fldChar w:fldCharType="separate"/>
            </w:r>
            <w:r>
              <w:rPr>
                <w:noProof/>
                <w:webHidden/>
              </w:rPr>
              <w:t>16</w:t>
            </w:r>
            <w:r>
              <w:rPr>
                <w:noProof/>
                <w:webHidden/>
              </w:rPr>
              <w:fldChar w:fldCharType="end"/>
            </w:r>
          </w:hyperlink>
        </w:p>
        <w:p w14:paraId="16338414" w14:textId="4BA8814B"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60" w:history="1">
            <w:r w:rsidRPr="004B5051">
              <w:rPr>
                <w:rStyle w:val="Hyperlink"/>
                <w:noProof/>
              </w:rPr>
              <w:t>4.1. Dimension Outlier Handling and normalisation</w:t>
            </w:r>
            <w:r>
              <w:rPr>
                <w:noProof/>
                <w:webHidden/>
              </w:rPr>
              <w:tab/>
            </w:r>
            <w:r>
              <w:rPr>
                <w:noProof/>
                <w:webHidden/>
              </w:rPr>
              <w:fldChar w:fldCharType="begin"/>
            </w:r>
            <w:r>
              <w:rPr>
                <w:noProof/>
                <w:webHidden/>
              </w:rPr>
              <w:instrText xml:space="preserve"> PAGEREF _Toc234333160 \h </w:instrText>
            </w:r>
            <w:r>
              <w:rPr>
                <w:noProof/>
                <w:webHidden/>
              </w:rPr>
            </w:r>
            <w:r>
              <w:rPr>
                <w:noProof/>
                <w:webHidden/>
              </w:rPr>
              <w:fldChar w:fldCharType="separate"/>
            </w:r>
            <w:r>
              <w:rPr>
                <w:noProof/>
                <w:webHidden/>
              </w:rPr>
              <w:t>16</w:t>
            </w:r>
            <w:r>
              <w:rPr>
                <w:noProof/>
                <w:webHidden/>
              </w:rPr>
              <w:fldChar w:fldCharType="end"/>
            </w:r>
          </w:hyperlink>
        </w:p>
        <w:p w14:paraId="515EA072" w14:textId="123253C6"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61" w:history="1">
            <w:r w:rsidRPr="004B5051">
              <w:rPr>
                <w:rStyle w:val="Hyperlink"/>
                <w:noProof/>
              </w:rPr>
              <w:t>4.2. Principal Component Analysis</w:t>
            </w:r>
            <w:r>
              <w:rPr>
                <w:noProof/>
                <w:webHidden/>
              </w:rPr>
              <w:tab/>
            </w:r>
            <w:r>
              <w:rPr>
                <w:noProof/>
                <w:webHidden/>
              </w:rPr>
              <w:fldChar w:fldCharType="begin"/>
            </w:r>
            <w:r>
              <w:rPr>
                <w:noProof/>
                <w:webHidden/>
              </w:rPr>
              <w:instrText xml:space="preserve"> PAGEREF _Toc234333161 \h </w:instrText>
            </w:r>
            <w:r>
              <w:rPr>
                <w:noProof/>
                <w:webHidden/>
              </w:rPr>
            </w:r>
            <w:r>
              <w:rPr>
                <w:noProof/>
                <w:webHidden/>
              </w:rPr>
              <w:fldChar w:fldCharType="separate"/>
            </w:r>
            <w:r>
              <w:rPr>
                <w:noProof/>
                <w:webHidden/>
              </w:rPr>
              <w:t>16</w:t>
            </w:r>
            <w:r>
              <w:rPr>
                <w:noProof/>
                <w:webHidden/>
              </w:rPr>
              <w:fldChar w:fldCharType="end"/>
            </w:r>
          </w:hyperlink>
        </w:p>
        <w:p w14:paraId="363E238F" w14:textId="218D53A5" w:rsidR="00B116A1" w:rsidRDefault="00B116A1">
          <w:pPr>
            <w:pStyle w:val="TOC2"/>
            <w:tabs>
              <w:tab w:val="right" w:leader="dot" w:pos="9016"/>
            </w:tabs>
            <w:rPr>
              <w:rFonts w:asciiTheme="minorHAnsi" w:eastAsiaTheme="minorEastAsia" w:hAnsiTheme="minorHAnsi"/>
              <w:noProof/>
              <w:sz w:val="24"/>
              <w:lang w:val="en-KE" w:eastAsia="en-KE"/>
            </w:rPr>
          </w:pPr>
          <w:hyperlink w:anchor="_Toc234333162" w:history="1">
            <w:r w:rsidRPr="004B5051">
              <w:rPr>
                <w:rStyle w:val="Hyperlink"/>
                <w:noProof/>
              </w:rPr>
              <w:t>4.3. Relationship between travel time, access dimensions and composite access score</w:t>
            </w:r>
            <w:r>
              <w:rPr>
                <w:noProof/>
                <w:webHidden/>
              </w:rPr>
              <w:tab/>
            </w:r>
            <w:r>
              <w:rPr>
                <w:noProof/>
                <w:webHidden/>
              </w:rPr>
              <w:fldChar w:fldCharType="begin"/>
            </w:r>
            <w:r>
              <w:rPr>
                <w:noProof/>
                <w:webHidden/>
              </w:rPr>
              <w:instrText xml:space="preserve"> PAGEREF _Toc234333162 \h </w:instrText>
            </w:r>
            <w:r>
              <w:rPr>
                <w:noProof/>
                <w:webHidden/>
              </w:rPr>
            </w:r>
            <w:r>
              <w:rPr>
                <w:noProof/>
                <w:webHidden/>
              </w:rPr>
              <w:fldChar w:fldCharType="separate"/>
            </w:r>
            <w:r>
              <w:rPr>
                <w:noProof/>
                <w:webHidden/>
              </w:rPr>
              <w:t>17</w:t>
            </w:r>
            <w:r>
              <w:rPr>
                <w:noProof/>
                <w:webHidden/>
              </w:rPr>
              <w:fldChar w:fldCharType="end"/>
            </w:r>
          </w:hyperlink>
        </w:p>
        <w:p w14:paraId="08E6FF3E" w14:textId="23E97E79" w:rsidR="00B116A1" w:rsidRDefault="00B116A1">
          <w:pPr>
            <w:pStyle w:val="TOC1"/>
            <w:rPr>
              <w:rFonts w:asciiTheme="minorHAnsi" w:eastAsiaTheme="minorEastAsia" w:hAnsiTheme="minorHAnsi"/>
              <w:noProof/>
              <w:sz w:val="24"/>
              <w:lang w:val="en-KE" w:eastAsia="en-KE"/>
            </w:rPr>
          </w:pPr>
          <w:hyperlink w:anchor="_Toc234333163" w:history="1">
            <w:r w:rsidRPr="004B5051">
              <w:rPr>
                <w:rStyle w:val="Hyperlink"/>
                <w:noProof/>
              </w:rPr>
              <w:t xml:space="preserve"> Supplementary notes 4: Results</w:t>
            </w:r>
            <w:r>
              <w:rPr>
                <w:noProof/>
                <w:webHidden/>
              </w:rPr>
              <w:tab/>
            </w:r>
            <w:r>
              <w:rPr>
                <w:noProof/>
                <w:webHidden/>
              </w:rPr>
              <w:fldChar w:fldCharType="begin"/>
            </w:r>
            <w:r>
              <w:rPr>
                <w:noProof/>
                <w:webHidden/>
              </w:rPr>
              <w:instrText xml:space="preserve"> PAGEREF _Toc234333163 \h </w:instrText>
            </w:r>
            <w:r>
              <w:rPr>
                <w:noProof/>
                <w:webHidden/>
              </w:rPr>
            </w:r>
            <w:r>
              <w:rPr>
                <w:noProof/>
                <w:webHidden/>
              </w:rPr>
              <w:fldChar w:fldCharType="separate"/>
            </w:r>
            <w:r>
              <w:rPr>
                <w:noProof/>
                <w:webHidden/>
              </w:rPr>
              <w:t>18</w:t>
            </w:r>
            <w:r>
              <w:rPr>
                <w:noProof/>
                <w:webHidden/>
              </w:rPr>
              <w:fldChar w:fldCharType="end"/>
            </w:r>
          </w:hyperlink>
        </w:p>
        <w:p w14:paraId="21F0A4B8" w14:textId="20DA9C48" w:rsidR="00BB07DA" w:rsidRDefault="00BB07DA" w:rsidP="007C7C8E">
          <w:r>
            <w:rPr>
              <w:b/>
              <w:bCs/>
              <w:noProof/>
            </w:rPr>
            <w:fldChar w:fldCharType="end"/>
          </w:r>
        </w:p>
      </w:sdtContent>
    </w:sdt>
    <w:p w14:paraId="004327E7" w14:textId="77777777" w:rsidR="00BB07DA" w:rsidRDefault="00BB07DA" w:rsidP="007C7C8E">
      <w:pPr>
        <w:rPr>
          <w:b/>
          <w:bCs/>
        </w:rPr>
      </w:pPr>
    </w:p>
    <w:p w14:paraId="698B1A3A" w14:textId="77777777" w:rsidR="00D25A4C" w:rsidRDefault="00D25A4C" w:rsidP="007C7C8E">
      <w:pPr>
        <w:rPr>
          <w:b/>
          <w:bCs/>
        </w:rPr>
      </w:pPr>
    </w:p>
    <w:p w14:paraId="2068C8F3" w14:textId="7C1DD7C7" w:rsidR="00D25A4C" w:rsidRPr="00723D9C" w:rsidRDefault="00D25A4C" w:rsidP="007C7C8E">
      <w:pPr>
        <w:pStyle w:val="Heading1"/>
        <w:numPr>
          <w:ilvl w:val="0"/>
          <w:numId w:val="0"/>
        </w:numPr>
        <w:rPr>
          <w:bCs/>
        </w:rPr>
      </w:pPr>
    </w:p>
    <w:p w14:paraId="37370794" w14:textId="77777777" w:rsidR="00723D9C" w:rsidRDefault="00723D9C" w:rsidP="007C7C8E">
      <w:pPr>
        <w:rPr>
          <w:rFonts w:eastAsiaTheme="majorEastAsia" w:cstheme="majorBidi"/>
          <w:b/>
          <w:sz w:val="28"/>
          <w:szCs w:val="40"/>
        </w:rPr>
      </w:pPr>
      <w:r>
        <w:br w:type="page"/>
      </w:r>
    </w:p>
    <w:p w14:paraId="7BD7BEBE" w14:textId="2DDBC218" w:rsidR="00371768" w:rsidRDefault="005900EF" w:rsidP="007C7C8E">
      <w:pPr>
        <w:pStyle w:val="Heading1"/>
      </w:pPr>
      <w:bookmarkStart w:id="0" w:name="_Toc234333142"/>
      <w:r w:rsidRPr="00723D9C">
        <w:lastRenderedPageBreak/>
        <w:t>Supplementary</w:t>
      </w:r>
      <w:r w:rsidRPr="00AA494C">
        <w:t xml:space="preserve"> notes 1: </w:t>
      </w:r>
      <w:r w:rsidR="00A47C8B">
        <w:t>Study area</w:t>
      </w:r>
      <w:bookmarkEnd w:id="0"/>
    </w:p>
    <w:p w14:paraId="54DCFC0D" w14:textId="2992728C" w:rsidR="00A47C8B" w:rsidRDefault="00B340D4" w:rsidP="003C5187">
      <w:pPr>
        <w:pStyle w:val="Figurespace"/>
      </w:pPr>
      <w:r>
        <w:drawing>
          <wp:inline distT="0" distB="0" distL="0" distR="0" wp14:anchorId="72413B79" wp14:editId="789D47AF">
            <wp:extent cx="5731510" cy="4053840"/>
            <wp:effectExtent l="0" t="0" r="2540" b="3810"/>
            <wp:docPr id="1593854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54901" name="Picture 15938549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53840"/>
                    </a:xfrm>
                    <a:prstGeom prst="rect">
                      <a:avLst/>
                    </a:prstGeom>
                  </pic:spPr>
                </pic:pic>
              </a:graphicData>
            </a:graphic>
          </wp:inline>
        </w:drawing>
      </w:r>
    </w:p>
    <w:p w14:paraId="7193E8E6" w14:textId="4EDD6346" w:rsidR="003C5187" w:rsidRDefault="00E378EF" w:rsidP="003C5187">
      <w:pPr>
        <w:pStyle w:val="Figurelabel"/>
      </w:pPr>
      <w:r w:rsidRPr="00AA494C">
        <w:rPr>
          <w:b/>
        </w:rPr>
        <w:t xml:space="preserve">Supplementary </w:t>
      </w:r>
      <w:r w:rsidR="003C5187" w:rsidRPr="00EC4E7E">
        <w:rPr>
          <w:b/>
        </w:rPr>
        <w:t>Figure 1:</w:t>
      </w:r>
      <w:r w:rsidR="003C5187" w:rsidRPr="00EC4E7E">
        <w:t xml:space="preserve"> Study area map showing the 47 counties in Kenya.</w:t>
      </w:r>
    </w:p>
    <w:p w14:paraId="708019A4" w14:textId="77777777" w:rsidR="00A47C8B" w:rsidRDefault="00A47C8B" w:rsidP="00A47C8B"/>
    <w:p w14:paraId="3CC0CFDE" w14:textId="77777777" w:rsidR="00A47C8B" w:rsidRDefault="00A47C8B" w:rsidP="00A47C8B"/>
    <w:p w14:paraId="7340F579" w14:textId="77777777" w:rsidR="003C5187" w:rsidRDefault="003C5187">
      <w:pPr>
        <w:spacing w:after="0" w:line="240" w:lineRule="auto"/>
        <w:rPr>
          <w:rFonts w:eastAsiaTheme="majorEastAsia" w:cstheme="majorBidi"/>
          <w:b/>
          <w:sz w:val="28"/>
          <w:szCs w:val="40"/>
        </w:rPr>
      </w:pPr>
      <w:r>
        <w:br w:type="page"/>
      </w:r>
    </w:p>
    <w:p w14:paraId="4D1A61A8" w14:textId="64932186" w:rsidR="00A47C8B" w:rsidRPr="00A47C8B" w:rsidRDefault="00A47C8B" w:rsidP="00A47C8B">
      <w:pPr>
        <w:pStyle w:val="Heading1"/>
      </w:pPr>
      <w:bookmarkStart w:id="1" w:name="_Toc234333143"/>
      <w:r>
        <w:lastRenderedPageBreak/>
        <w:t>S</w:t>
      </w:r>
      <w:r w:rsidRPr="00723D9C">
        <w:t>upplementary</w:t>
      </w:r>
      <w:r w:rsidRPr="00AA494C">
        <w:t xml:space="preserve"> notes </w:t>
      </w:r>
      <w:r>
        <w:t>2</w:t>
      </w:r>
      <w:r w:rsidRPr="00AA494C">
        <w:t xml:space="preserve">: </w:t>
      </w:r>
      <w:r>
        <w:t>Data Assembly</w:t>
      </w:r>
      <w:bookmarkEnd w:id="1"/>
    </w:p>
    <w:p w14:paraId="05079F28" w14:textId="2886C808" w:rsidR="00371768" w:rsidRPr="00AA494C" w:rsidRDefault="00371768" w:rsidP="00371768">
      <w:r w:rsidRPr="00AA494C">
        <w:t>This section provides additional details on the</w:t>
      </w:r>
      <w:r w:rsidR="008638E9">
        <w:t xml:space="preserve"> data assembly process;</w:t>
      </w:r>
      <w:r w:rsidRPr="00AA494C">
        <w:t xml:space="preserve"> data sources and processing steps summarised in the main manuscript.</w:t>
      </w:r>
    </w:p>
    <w:p w14:paraId="66C6A5D1" w14:textId="2346FF32" w:rsidR="00371768" w:rsidRDefault="00371768" w:rsidP="00371768">
      <w:pPr>
        <w:pStyle w:val="Heading2"/>
      </w:pPr>
      <w:bookmarkStart w:id="2" w:name="_Toc234333144"/>
      <w:r w:rsidRPr="00A4409E">
        <w:t>Availability</w:t>
      </w:r>
      <w:bookmarkEnd w:id="2"/>
    </w:p>
    <w:p w14:paraId="365212E7" w14:textId="1EBD7F3A" w:rsidR="00021DEA" w:rsidRPr="00AA494C" w:rsidRDefault="00021DEA" w:rsidP="00371768">
      <w:pPr>
        <w:pStyle w:val="Heading3"/>
      </w:pPr>
      <w:bookmarkStart w:id="3" w:name="_Toc234333145"/>
      <w:r w:rsidRPr="00AA494C">
        <w:t>Kenya’s Healthcare system hierarchy</w:t>
      </w:r>
      <w:bookmarkEnd w:id="3"/>
      <w:r w:rsidRPr="00AA494C">
        <w:t xml:space="preserve"> </w:t>
      </w:r>
    </w:p>
    <w:p w14:paraId="27AB368C" w14:textId="0D00DF5F" w:rsidR="00021DEA" w:rsidRPr="00AA494C" w:rsidRDefault="007E3A25" w:rsidP="006F1A09">
      <w:pPr>
        <w:pStyle w:val="Tablelabel"/>
      </w:pPr>
      <w:r w:rsidRPr="00307F02">
        <w:rPr>
          <w:b/>
          <w:bCs/>
        </w:rPr>
        <w:t xml:space="preserve">Supplementary </w:t>
      </w:r>
      <w:r w:rsidR="00021DEA" w:rsidRPr="00307F02">
        <w:rPr>
          <w:b/>
          <w:bCs/>
        </w:rPr>
        <w:t>Table 1:</w:t>
      </w:r>
      <w:r w:rsidR="00021DEA" w:rsidRPr="00AA494C">
        <w:t xml:space="preserve"> Levels of healthcare service delivery in Kenya</w:t>
      </w:r>
    </w:p>
    <w:tbl>
      <w:tblPr>
        <w:tblStyle w:val="TableGrid"/>
        <w:tblW w:w="0" w:type="auto"/>
        <w:jc w:val="center"/>
        <w:tblLook w:val="04A0" w:firstRow="1" w:lastRow="0" w:firstColumn="1" w:lastColumn="0" w:noHBand="0" w:noVBand="1"/>
      </w:tblPr>
      <w:tblGrid>
        <w:gridCol w:w="757"/>
        <w:gridCol w:w="1417"/>
        <w:gridCol w:w="1507"/>
        <w:gridCol w:w="5245"/>
      </w:tblGrid>
      <w:tr w:rsidR="009E2404" w:rsidRPr="00AA494C" w14:paraId="22BE02CB" w14:textId="77777777" w:rsidTr="007460A8">
        <w:trPr>
          <w:trHeight w:val="170"/>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6E58735F" w14:textId="77777777" w:rsidR="009E2404" w:rsidRPr="00AA494C" w:rsidRDefault="009E2404" w:rsidP="007C7C8E">
            <w:pPr>
              <w:spacing w:after="0" w:line="240" w:lineRule="auto"/>
              <w:rPr>
                <w:b/>
                <w:bCs/>
                <w:sz w:val="20"/>
                <w:szCs w:val="20"/>
              </w:rPr>
            </w:pPr>
            <w:r w:rsidRPr="00AA494C">
              <w:rPr>
                <w:b/>
                <w:bCs/>
                <w:sz w:val="20"/>
                <w:szCs w:val="20"/>
              </w:rPr>
              <w:t>Level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4EED89" w14:textId="77777777" w:rsidR="009E2404" w:rsidRPr="00AA494C" w:rsidRDefault="009E2404" w:rsidP="007C7C8E">
            <w:pPr>
              <w:spacing w:after="0" w:line="240" w:lineRule="auto"/>
              <w:rPr>
                <w:b/>
                <w:bCs/>
                <w:sz w:val="20"/>
                <w:szCs w:val="20"/>
              </w:rPr>
            </w:pPr>
            <w:r w:rsidRPr="00AA494C">
              <w:rPr>
                <w:b/>
                <w:bCs/>
                <w:sz w:val="20"/>
                <w:szCs w:val="20"/>
              </w:rPr>
              <w:t>Facility Type</w:t>
            </w:r>
          </w:p>
        </w:tc>
        <w:tc>
          <w:tcPr>
            <w:tcW w:w="1507" w:type="dxa"/>
          </w:tcPr>
          <w:p w14:paraId="310FCAEA" w14:textId="461CDBF1" w:rsidR="009E2404" w:rsidRPr="00AA494C" w:rsidRDefault="00F456E3" w:rsidP="007460A8">
            <w:pPr>
              <w:spacing w:after="0" w:line="240" w:lineRule="auto"/>
              <w:jc w:val="center"/>
              <w:rPr>
                <w:b/>
                <w:bCs/>
                <w:sz w:val="20"/>
                <w:szCs w:val="20"/>
              </w:rPr>
            </w:pPr>
            <w:r w:rsidRPr="00AA494C">
              <w:rPr>
                <w:b/>
                <w:bCs/>
                <w:sz w:val="20"/>
                <w:szCs w:val="20"/>
              </w:rPr>
              <w:t>Designated catchments</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8FB7B82" w14:textId="501E2F77" w:rsidR="009E2404" w:rsidRPr="00AA494C" w:rsidRDefault="009E2404" w:rsidP="007C7C8E">
            <w:pPr>
              <w:spacing w:after="0" w:line="240" w:lineRule="auto"/>
              <w:rPr>
                <w:b/>
                <w:bCs/>
                <w:sz w:val="20"/>
                <w:szCs w:val="20"/>
              </w:rPr>
            </w:pPr>
            <w:r w:rsidRPr="00AA494C">
              <w:rPr>
                <w:b/>
                <w:bCs/>
                <w:sz w:val="20"/>
                <w:szCs w:val="20"/>
              </w:rPr>
              <w:t>Services</w:t>
            </w:r>
          </w:p>
        </w:tc>
      </w:tr>
      <w:tr w:rsidR="009E2404" w:rsidRPr="00AA494C" w14:paraId="1F899650" w14:textId="77777777" w:rsidTr="0006638C">
        <w:trPr>
          <w:trHeight w:val="1701"/>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6E7DF40B" w14:textId="77777777" w:rsidR="009E2404" w:rsidRPr="00AA494C" w:rsidRDefault="009E2404" w:rsidP="007C7C8E">
            <w:pPr>
              <w:spacing w:after="0" w:line="240" w:lineRule="auto"/>
              <w:rPr>
                <w:sz w:val="20"/>
                <w:szCs w:val="20"/>
              </w:rPr>
            </w:pPr>
            <w:r w:rsidRPr="00AA494C">
              <w:rPr>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084314" w14:textId="77777777" w:rsidR="009E2404" w:rsidRPr="00AA494C" w:rsidRDefault="009E2404" w:rsidP="007C7C8E">
            <w:pPr>
              <w:spacing w:after="0" w:line="240" w:lineRule="auto"/>
              <w:rPr>
                <w:sz w:val="20"/>
                <w:szCs w:val="20"/>
              </w:rPr>
            </w:pPr>
            <w:r w:rsidRPr="00AA494C">
              <w:rPr>
                <w:sz w:val="20"/>
                <w:szCs w:val="20"/>
              </w:rPr>
              <w:t>Community</w:t>
            </w:r>
          </w:p>
        </w:tc>
        <w:tc>
          <w:tcPr>
            <w:tcW w:w="1507" w:type="dxa"/>
            <w:vAlign w:val="center"/>
          </w:tcPr>
          <w:p w14:paraId="0EAA4316" w14:textId="42F47E43" w:rsidR="009E2404" w:rsidRPr="00AA494C" w:rsidRDefault="003B255A" w:rsidP="00BF49DA">
            <w:pPr>
              <w:spacing w:after="0" w:line="240" w:lineRule="auto"/>
              <w:ind w:left="720"/>
              <w:rPr>
                <w:sz w:val="20"/>
                <w:szCs w:val="20"/>
              </w:rPr>
            </w:pPr>
            <w:r>
              <w:rPr>
                <w:sz w:val="20"/>
                <w:szCs w:val="20"/>
              </w:rPr>
              <w:t>-</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502447C" w14:textId="6D1D0DE0" w:rsidR="009E2404" w:rsidRPr="00AA494C" w:rsidRDefault="009E2404" w:rsidP="007C7C8E">
            <w:pPr>
              <w:numPr>
                <w:ilvl w:val="0"/>
                <w:numId w:val="3"/>
              </w:numPr>
              <w:spacing w:after="0" w:line="240" w:lineRule="auto"/>
              <w:ind w:left="148" w:hanging="213"/>
              <w:rPr>
                <w:sz w:val="20"/>
                <w:szCs w:val="20"/>
              </w:rPr>
            </w:pPr>
            <w:r w:rsidRPr="00AA494C">
              <w:rPr>
                <w:sz w:val="20"/>
                <w:szCs w:val="20"/>
              </w:rPr>
              <w:t>Promotion of healthier behaviours amongst communities</w:t>
            </w:r>
          </w:p>
          <w:p w14:paraId="230A2A61" w14:textId="2C1501F1" w:rsidR="009E2404" w:rsidRPr="00AA494C" w:rsidRDefault="009E2404" w:rsidP="007C7C8E">
            <w:pPr>
              <w:numPr>
                <w:ilvl w:val="0"/>
                <w:numId w:val="3"/>
              </w:numPr>
              <w:spacing w:after="0" w:line="240" w:lineRule="auto"/>
              <w:ind w:left="148" w:hanging="213"/>
              <w:rPr>
                <w:sz w:val="20"/>
                <w:szCs w:val="20"/>
              </w:rPr>
            </w:pPr>
            <w:r w:rsidRPr="00AA494C">
              <w:rPr>
                <w:sz w:val="20"/>
                <w:szCs w:val="20"/>
              </w:rPr>
              <w:t>Testing services (HIV, Blood sugar, blood pressure, malaria RDT</w:t>
            </w:r>
            <w:r w:rsidR="0006638C">
              <w:rPr>
                <w:sz w:val="20"/>
                <w:szCs w:val="20"/>
              </w:rPr>
              <w:t>)</w:t>
            </w:r>
          </w:p>
          <w:p w14:paraId="5808A334" w14:textId="77777777" w:rsidR="009E2404" w:rsidRPr="00AA494C" w:rsidRDefault="009E2404" w:rsidP="007C7C8E">
            <w:pPr>
              <w:numPr>
                <w:ilvl w:val="0"/>
                <w:numId w:val="3"/>
              </w:numPr>
              <w:spacing w:after="0" w:line="240" w:lineRule="auto"/>
              <w:ind w:left="148" w:hanging="213"/>
              <w:rPr>
                <w:sz w:val="20"/>
                <w:szCs w:val="20"/>
              </w:rPr>
            </w:pPr>
            <w:r w:rsidRPr="00AA494C">
              <w:rPr>
                <w:sz w:val="20"/>
                <w:szCs w:val="20"/>
              </w:rPr>
              <w:t>Treatment of minor ailments</w:t>
            </w:r>
          </w:p>
          <w:p w14:paraId="5E69E52B" w14:textId="77777777" w:rsidR="009E2404" w:rsidRPr="00AA494C" w:rsidRDefault="009E2404" w:rsidP="007C7C8E">
            <w:pPr>
              <w:numPr>
                <w:ilvl w:val="0"/>
                <w:numId w:val="3"/>
              </w:numPr>
              <w:spacing w:after="0" w:line="240" w:lineRule="auto"/>
              <w:ind w:left="148" w:hanging="213"/>
              <w:rPr>
                <w:sz w:val="20"/>
                <w:szCs w:val="20"/>
              </w:rPr>
            </w:pPr>
            <w:r w:rsidRPr="00AA494C">
              <w:rPr>
                <w:sz w:val="20"/>
                <w:szCs w:val="20"/>
              </w:rPr>
              <w:t>Facilitating referrals</w:t>
            </w:r>
          </w:p>
        </w:tc>
      </w:tr>
      <w:tr w:rsidR="009E2404" w:rsidRPr="00AA494C" w14:paraId="07A63990" w14:textId="77777777" w:rsidTr="0006638C">
        <w:trPr>
          <w:trHeight w:val="1814"/>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7C583FEB" w14:textId="77777777" w:rsidR="009E2404" w:rsidRPr="00AA494C" w:rsidRDefault="009E2404" w:rsidP="007C7C8E">
            <w:pPr>
              <w:spacing w:after="0" w:line="240" w:lineRule="auto"/>
              <w:rPr>
                <w:sz w:val="20"/>
                <w:szCs w:val="20"/>
              </w:rPr>
            </w:pPr>
            <w:r w:rsidRPr="00AA494C">
              <w:rPr>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9917CD" w14:textId="77777777" w:rsidR="009E2404" w:rsidRPr="00AA494C" w:rsidRDefault="009E2404" w:rsidP="007C7C8E">
            <w:pPr>
              <w:spacing w:after="0" w:line="240" w:lineRule="auto"/>
              <w:rPr>
                <w:sz w:val="20"/>
                <w:szCs w:val="20"/>
              </w:rPr>
            </w:pPr>
            <w:r w:rsidRPr="00AA494C">
              <w:rPr>
                <w:sz w:val="20"/>
                <w:szCs w:val="20"/>
              </w:rPr>
              <w:t>Dispensaries and Clinics</w:t>
            </w:r>
          </w:p>
        </w:tc>
        <w:tc>
          <w:tcPr>
            <w:tcW w:w="1507" w:type="dxa"/>
            <w:vAlign w:val="center"/>
          </w:tcPr>
          <w:p w14:paraId="6586C025" w14:textId="451BBFD2" w:rsidR="007460A8" w:rsidRDefault="009E2404" w:rsidP="007460A8">
            <w:pPr>
              <w:spacing w:after="0" w:line="240" w:lineRule="auto"/>
              <w:jc w:val="center"/>
              <w:rPr>
                <w:sz w:val="20"/>
                <w:szCs w:val="20"/>
              </w:rPr>
            </w:pPr>
            <w:r w:rsidRPr="00AA494C">
              <w:rPr>
                <w:sz w:val="20"/>
                <w:szCs w:val="20"/>
              </w:rPr>
              <w:t>10,000</w:t>
            </w:r>
          </w:p>
          <w:p w14:paraId="0654ECD5" w14:textId="2E2BE897" w:rsidR="009E2404" w:rsidRPr="00AA494C" w:rsidRDefault="009E2404" w:rsidP="007460A8">
            <w:pPr>
              <w:spacing w:after="0" w:line="240" w:lineRule="auto"/>
              <w:jc w:val="center"/>
              <w:rPr>
                <w:sz w:val="20"/>
                <w:szCs w:val="20"/>
              </w:rPr>
            </w:pPr>
            <w:r w:rsidRPr="00AA494C">
              <w:rPr>
                <w:sz w:val="20"/>
                <w:szCs w:val="20"/>
              </w:rPr>
              <w:t>population</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C32F002" w14:textId="3637661B" w:rsidR="009E2404" w:rsidRPr="00AA494C" w:rsidRDefault="009E2404" w:rsidP="007C7C8E">
            <w:pPr>
              <w:spacing w:after="0" w:line="240" w:lineRule="auto"/>
              <w:rPr>
                <w:sz w:val="20"/>
                <w:szCs w:val="20"/>
              </w:rPr>
            </w:pPr>
            <w:r w:rsidRPr="00AA494C">
              <w:rPr>
                <w:sz w:val="20"/>
                <w:szCs w:val="20"/>
              </w:rPr>
              <w:t>In addition to all services offered in level 1 facilities</w:t>
            </w:r>
          </w:p>
          <w:p w14:paraId="792E6313" w14:textId="77777777" w:rsidR="009E2404" w:rsidRPr="00AA494C" w:rsidRDefault="009E2404" w:rsidP="007C7C8E">
            <w:pPr>
              <w:numPr>
                <w:ilvl w:val="0"/>
                <w:numId w:val="3"/>
              </w:numPr>
              <w:spacing w:after="0" w:line="240" w:lineRule="auto"/>
              <w:ind w:left="289" w:hanging="213"/>
              <w:rPr>
                <w:sz w:val="20"/>
                <w:szCs w:val="20"/>
              </w:rPr>
            </w:pPr>
            <w:r w:rsidRPr="00AA494C">
              <w:rPr>
                <w:sz w:val="20"/>
                <w:szCs w:val="20"/>
              </w:rPr>
              <w:t>Basic outpatient diagnostic, medical and rehabilitative services</w:t>
            </w:r>
          </w:p>
          <w:p w14:paraId="039BD4E7" w14:textId="77777777" w:rsidR="009E2404" w:rsidRPr="00AA494C" w:rsidRDefault="009E2404" w:rsidP="007C7C8E">
            <w:pPr>
              <w:numPr>
                <w:ilvl w:val="0"/>
                <w:numId w:val="3"/>
              </w:numPr>
              <w:spacing w:after="0" w:line="240" w:lineRule="auto"/>
              <w:ind w:left="289" w:hanging="213"/>
              <w:rPr>
                <w:sz w:val="20"/>
                <w:szCs w:val="20"/>
              </w:rPr>
            </w:pPr>
            <w:r w:rsidRPr="00AA494C">
              <w:rPr>
                <w:sz w:val="20"/>
                <w:szCs w:val="20"/>
              </w:rPr>
              <w:t>Disease prevention and health promotion</w:t>
            </w:r>
          </w:p>
          <w:p w14:paraId="0C436548" w14:textId="77777777" w:rsidR="009E2404" w:rsidRPr="00AA494C" w:rsidRDefault="009E2404" w:rsidP="007C7C8E">
            <w:pPr>
              <w:numPr>
                <w:ilvl w:val="0"/>
                <w:numId w:val="3"/>
              </w:numPr>
              <w:spacing w:after="0" w:line="240" w:lineRule="auto"/>
              <w:ind w:left="289" w:hanging="213"/>
              <w:rPr>
                <w:sz w:val="20"/>
                <w:szCs w:val="20"/>
              </w:rPr>
            </w:pPr>
            <w:r w:rsidRPr="00AA494C">
              <w:rPr>
                <w:sz w:val="20"/>
                <w:szCs w:val="20"/>
              </w:rPr>
              <w:t>Antenatal and postnatal services</w:t>
            </w:r>
          </w:p>
          <w:p w14:paraId="109139F3" w14:textId="77777777" w:rsidR="009E2404" w:rsidRPr="00AA494C" w:rsidRDefault="009E2404" w:rsidP="007C7C8E">
            <w:pPr>
              <w:numPr>
                <w:ilvl w:val="0"/>
                <w:numId w:val="3"/>
              </w:numPr>
              <w:spacing w:after="0" w:line="240" w:lineRule="auto"/>
              <w:ind w:left="289" w:hanging="213"/>
              <w:rPr>
                <w:sz w:val="20"/>
                <w:szCs w:val="20"/>
              </w:rPr>
            </w:pPr>
            <w:r w:rsidRPr="00AA494C">
              <w:rPr>
                <w:sz w:val="20"/>
                <w:szCs w:val="20"/>
              </w:rPr>
              <w:t>Pharmacy</w:t>
            </w:r>
          </w:p>
          <w:p w14:paraId="2E68DAFF" w14:textId="77777777" w:rsidR="009E2404" w:rsidRPr="00AA494C" w:rsidRDefault="009E2404" w:rsidP="007C7C8E">
            <w:pPr>
              <w:numPr>
                <w:ilvl w:val="0"/>
                <w:numId w:val="3"/>
              </w:numPr>
              <w:spacing w:after="0" w:line="240" w:lineRule="auto"/>
              <w:ind w:left="289" w:hanging="213"/>
              <w:rPr>
                <w:sz w:val="20"/>
                <w:szCs w:val="20"/>
              </w:rPr>
            </w:pPr>
            <w:r w:rsidRPr="00AA494C">
              <w:rPr>
                <w:sz w:val="20"/>
                <w:szCs w:val="20"/>
              </w:rPr>
              <w:t>Family Planning</w:t>
            </w:r>
          </w:p>
        </w:tc>
      </w:tr>
      <w:tr w:rsidR="009E2404" w:rsidRPr="00AA494C" w14:paraId="0BCF53C8" w14:textId="77777777" w:rsidTr="0006638C">
        <w:trPr>
          <w:trHeight w:val="1417"/>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0EFB0363" w14:textId="77777777" w:rsidR="009E2404" w:rsidRPr="00AA494C" w:rsidRDefault="009E2404" w:rsidP="007C7C8E">
            <w:pPr>
              <w:spacing w:after="0" w:line="240" w:lineRule="auto"/>
              <w:rPr>
                <w:sz w:val="20"/>
                <w:szCs w:val="20"/>
              </w:rPr>
            </w:pPr>
            <w:r w:rsidRPr="00AA494C">
              <w:rPr>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BD97AC" w14:textId="77777777" w:rsidR="009E2404" w:rsidRPr="00AA494C" w:rsidRDefault="009E2404" w:rsidP="007C7C8E">
            <w:pPr>
              <w:spacing w:after="0" w:line="240" w:lineRule="auto"/>
              <w:rPr>
                <w:sz w:val="20"/>
                <w:szCs w:val="20"/>
              </w:rPr>
            </w:pPr>
            <w:r w:rsidRPr="00AA494C">
              <w:rPr>
                <w:sz w:val="20"/>
                <w:szCs w:val="20"/>
              </w:rPr>
              <w:t>Health Centers</w:t>
            </w:r>
          </w:p>
        </w:tc>
        <w:tc>
          <w:tcPr>
            <w:tcW w:w="1507" w:type="dxa"/>
            <w:vAlign w:val="center"/>
          </w:tcPr>
          <w:p w14:paraId="21D4C45A" w14:textId="549AB9EC" w:rsidR="007460A8" w:rsidRDefault="009E2404" w:rsidP="007460A8">
            <w:pPr>
              <w:spacing w:after="0" w:line="240" w:lineRule="auto"/>
              <w:jc w:val="center"/>
              <w:rPr>
                <w:sz w:val="20"/>
                <w:szCs w:val="20"/>
              </w:rPr>
            </w:pPr>
            <w:r w:rsidRPr="00AA494C">
              <w:rPr>
                <w:sz w:val="20"/>
                <w:szCs w:val="20"/>
              </w:rPr>
              <w:t>30,000</w:t>
            </w:r>
          </w:p>
          <w:p w14:paraId="764A8BA5" w14:textId="7D863CBB" w:rsidR="009E2404" w:rsidRPr="00AA494C" w:rsidRDefault="009E2404" w:rsidP="007460A8">
            <w:pPr>
              <w:spacing w:after="0" w:line="240" w:lineRule="auto"/>
              <w:jc w:val="center"/>
              <w:rPr>
                <w:sz w:val="20"/>
                <w:szCs w:val="20"/>
              </w:rPr>
            </w:pPr>
            <w:r w:rsidRPr="00AA494C">
              <w:rPr>
                <w:sz w:val="20"/>
                <w:szCs w:val="20"/>
              </w:rPr>
              <w:t>population</w:t>
            </w:r>
          </w:p>
        </w:tc>
        <w:tc>
          <w:tcPr>
            <w:tcW w:w="5245" w:type="dxa"/>
            <w:tcBorders>
              <w:top w:val="single" w:sz="4" w:space="0" w:color="auto"/>
              <w:left w:val="single" w:sz="4" w:space="0" w:color="auto"/>
              <w:bottom w:val="single" w:sz="4" w:space="0" w:color="auto"/>
              <w:right w:val="single" w:sz="4" w:space="0" w:color="auto"/>
            </w:tcBorders>
            <w:vAlign w:val="center"/>
          </w:tcPr>
          <w:p w14:paraId="5A708FDA" w14:textId="41E12B65" w:rsidR="009E2404" w:rsidRPr="00AA494C" w:rsidRDefault="009E2404" w:rsidP="007C7C8E">
            <w:pPr>
              <w:spacing w:after="0" w:line="240" w:lineRule="auto"/>
              <w:rPr>
                <w:sz w:val="20"/>
                <w:szCs w:val="20"/>
              </w:rPr>
            </w:pPr>
            <w:r w:rsidRPr="00AA494C">
              <w:rPr>
                <w:sz w:val="20"/>
                <w:szCs w:val="20"/>
              </w:rPr>
              <w:t>Offer Basic Emergency obstetric and newborn care (BEmONC) in addition to all services offered in level 2 facilities</w:t>
            </w:r>
            <w:r w:rsidRPr="00AA494C">
              <w:rPr>
                <w:sz w:val="20"/>
                <w:szCs w:val="20"/>
                <w:vertAlign w:val="superscript"/>
              </w:rPr>
              <w:t>1</w:t>
            </w:r>
            <w:r w:rsidRPr="00AA494C">
              <w:rPr>
                <w:sz w:val="20"/>
                <w:szCs w:val="20"/>
              </w:rPr>
              <w:t>.</w:t>
            </w:r>
          </w:p>
          <w:p w14:paraId="0C7BFE16" w14:textId="57FFBD45" w:rsidR="009E2404" w:rsidRPr="00AA494C" w:rsidRDefault="009E2404" w:rsidP="007460A8">
            <w:pPr>
              <w:spacing w:after="0" w:line="240" w:lineRule="auto"/>
              <w:rPr>
                <w:sz w:val="20"/>
                <w:szCs w:val="20"/>
                <w:vertAlign w:val="superscript"/>
              </w:rPr>
            </w:pPr>
            <w:r w:rsidRPr="00AA494C">
              <w:rPr>
                <w:sz w:val="20"/>
                <w:szCs w:val="20"/>
              </w:rPr>
              <w:t>Some facilities offer Inpatient services for emergency clients awaiting referral or under observation</w:t>
            </w:r>
            <w:r w:rsidRPr="00AA494C">
              <w:rPr>
                <w:sz w:val="20"/>
                <w:szCs w:val="20"/>
                <w:vertAlign w:val="superscript"/>
              </w:rPr>
              <w:t>2</w:t>
            </w:r>
          </w:p>
        </w:tc>
      </w:tr>
      <w:tr w:rsidR="009E2404" w:rsidRPr="00AA494C" w14:paraId="1A0A2848" w14:textId="77777777" w:rsidTr="0006638C">
        <w:trPr>
          <w:trHeight w:val="1077"/>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2BCDE591" w14:textId="77777777" w:rsidR="009E2404" w:rsidRPr="00AA494C" w:rsidRDefault="009E2404" w:rsidP="007C7C8E">
            <w:pPr>
              <w:spacing w:after="0" w:line="240" w:lineRule="auto"/>
              <w:rPr>
                <w:sz w:val="20"/>
                <w:szCs w:val="20"/>
              </w:rPr>
            </w:pPr>
            <w:r w:rsidRPr="00AA494C">
              <w:rPr>
                <w:sz w:val="20"/>
                <w:szCs w:val="20"/>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ECB136" w14:textId="77777777" w:rsidR="009E2404" w:rsidRPr="00AA494C" w:rsidRDefault="009E2404" w:rsidP="007C7C8E">
            <w:pPr>
              <w:spacing w:after="0" w:line="240" w:lineRule="auto"/>
              <w:rPr>
                <w:sz w:val="20"/>
                <w:szCs w:val="20"/>
              </w:rPr>
            </w:pPr>
            <w:r w:rsidRPr="00AA494C">
              <w:rPr>
                <w:sz w:val="20"/>
                <w:szCs w:val="20"/>
              </w:rPr>
              <w:t>Primary Care facilities</w:t>
            </w:r>
          </w:p>
        </w:tc>
        <w:tc>
          <w:tcPr>
            <w:tcW w:w="1507" w:type="dxa"/>
            <w:vAlign w:val="center"/>
          </w:tcPr>
          <w:p w14:paraId="39952558" w14:textId="4EDB7C62" w:rsidR="007460A8" w:rsidRDefault="009E2404" w:rsidP="007460A8">
            <w:pPr>
              <w:spacing w:after="0" w:line="240" w:lineRule="auto"/>
              <w:jc w:val="center"/>
              <w:rPr>
                <w:sz w:val="20"/>
                <w:szCs w:val="20"/>
              </w:rPr>
            </w:pPr>
            <w:r w:rsidRPr="00AA494C">
              <w:rPr>
                <w:sz w:val="20"/>
                <w:szCs w:val="20"/>
              </w:rPr>
              <w:t>100,000</w:t>
            </w:r>
          </w:p>
          <w:p w14:paraId="0C2B7A49" w14:textId="7A7D7241" w:rsidR="009E2404" w:rsidRPr="00AA494C" w:rsidRDefault="009E2404" w:rsidP="007460A8">
            <w:pPr>
              <w:spacing w:after="0" w:line="240" w:lineRule="auto"/>
              <w:jc w:val="center"/>
              <w:rPr>
                <w:sz w:val="20"/>
                <w:szCs w:val="20"/>
              </w:rPr>
            </w:pPr>
            <w:r w:rsidRPr="00AA494C">
              <w:rPr>
                <w:sz w:val="20"/>
                <w:szCs w:val="20"/>
              </w:rPr>
              <w:t>population</w:t>
            </w:r>
          </w:p>
        </w:tc>
        <w:tc>
          <w:tcPr>
            <w:tcW w:w="5245" w:type="dxa"/>
            <w:vMerge w:val="restart"/>
            <w:tcBorders>
              <w:top w:val="single" w:sz="4" w:space="0" w:color="auto"/>
              <w:left w:val="single" w:sz="4" w:space="0" w:color="auto"/>
              <w:bottom w:val="single" w:sz="4" w:space="0" w:color="auto"/>
              <w:right w:val="single" w:sz="4" w:space="0" w:color="auto"/>
            </w:tcBorders>
            <w:vAlign w:val="center"/>
            <w:hideMark/>
          </w:tcPr>
          <w:p w14:paraId="57572DAC" w14:textId="6EAF2791" w:rsidR="009E2404" w:rsidRPr="00AA494C" w:rsidRDefault="009E2404" w:rsidP="007C7C8E">
            <w:pPr>
              <w:spacing w:after="0" w:line="240" w:lineRule="auto"/>
              <w:rPr>
                <w:sz w:val="20"/>
                <w:szCs w:val="20"/>
              </w:rPr>
            </w:pPr>
            <w:r w:rsidRPr="00AA494C">
              <w:rPr>
                <w:sz w:val="20"/>
                <w:szCs w:val="20"/>
              </w:rPr>
              <w:t>Offer comprehensive Emergency obstetric and newborn care (CEmONC) and handle referrals from lower</w:t>
            </w:r>
            <w:r w:rsidR="003B255A">
              <w:rPr>
                <w:sz w:val="20"/>
                <w:szCs w:val="20"/>
              </w:rPr>
              <w:t>-</w:t>
            </w:r>
            <w:r w:rsidRPr="00AA494C">
              <w:rPr>
                <w:sz w:val="20"/>
                <w:szCs w:val="20"/>
              </w:rPr>
              <w:t>level hospitals</w:t>
            </w:r>
            <w:r w:rsidRPr="00AA494C">
              <w:rPr>
                <w:sz w:val="20"/>
                <w:szCs w:val="20"/>
                <w:vertAlign w:val="superscript"/>
              </w:rPr>
              <w:t>1</w:t>
            </w:r>
            <w:r w:rsidRPr="00AA494C">
              <w:rPr>
                <w:sz w:val="20"/>
                <w:szCs w:val="20"/>
              </w:rPr>
              <w:t>. Some of the services include</w:t>
            </w:r>
            <w:r w:rsidRPr="00AA494C">
              <w:rPr>
                <w:sz w:val="20"/>
                <w:szCs w:val="20"/>
                <w:vertAlign w:val="superscript"/>
              </w:rPr>
              <w:t>2</w:t>
            </w:r>
            <w:r w:rsidRPr="00AA494C">
              <w:rPr>
                <w:sz w:val="20"/>
                <w:szCs w:val="20"/>
              </w:rPr>
              <w:t>:</w:t>
            </w:r>
          </w:p>
          <w:p w14:paraId="467FFD25" w14:textId="77777777" w:rsidR="009E2404" w:rsidRPr="00AA494C" w:rsidRDefault="009E2404" w:rsidP="007C7C8E">
            <w:pPr>
              <w:numPr>
                <w:ilvl w:val="0"/>
                <w:numId w:val="3"/>
              </w:numPr>
              <w:spacing w:after="0" w:line="240" w:lineRule="auto"/>
              <w:ind w:left="289" w:hanging="218"/>
              <w:rPr>
                <w:sz w:val="20"/>
                <w:szCs w:val="20"/>
              </w:rPr>
            </w:pPr>
            <w:r w:rsidRPr="00AA494C">
              <w:rPr>
                <w:sz w:val="20"/>
                <w:szCs w:val="20"/>
              </w:rPr>
              <w:t>Inpatient services</w:t>
            </w:r>
          </w:p>
          <w:p w14:paraId="371F503B" w14:textId="77777777" w:rsidR="009E2404" w:rsidRPr="00AA494C" w:rsidRDefault="009E2404" w:rsidP="007C7C8E">
            <w:pPr>
              <w:numPr>
                <w:ilvl w:val="0"/>
                <w:numId w:val="3"/>
              </w:numPr>
              <w:spacing w:after="0" w:line="240" w:lineRule="auto"/>
              <w:ind w:left="289" w:hanging="218"/>
              <w:rPr>
                <w:sz w:val="20"/>
                <w:szCs w:val="20"/>
              </w:rPr>
            </w:pPr>
            <w:r w:rsidRPr="00AA494C">
              <w:rPr>
                <w:sz w:val="20"/>
                <w:szCs w:val="20"/>
              </w:rPr>
              <w:t>Specialised outpatient services</w:t>
            </w:r>
          </w:p>
          <w:p w14:paraId="4755AE77" w14:textId="77777777" w:rsidR="009E2404" w:rsidRPr="00AA494C" w:rsidRDefault="009E2404" w:rsidP="007C7C8E">
            <w:pPr>
              <w:numPr>
                <w:ilvl w:val="0"/>
                <w:numId w:val="3"/>
              </w:numPr>
              <w:spacing w:after="0" w:line="240" w:lineRule="auto"/>
              <w:ind w:left="289" w:hanging="218"/>
              <w:rPr>
                <w:sz w:val="20"/>
                <w:szCs w:val="20"/>
              </w:rPr>
            </w:pPr>
            <w:r w:rsidRPr="00AA494C">
              <w:rPr>
                <w:sz w:val="20"/>
                <w:szCs w:val="20"/>
              </w:rPr>
              <w:t>Blood transfusion services</w:t>
            </w:r>
          </w:p>
          <w:p w14:paraId="3D12EC90" w14:textId="77777777" w:rsidR="009E2404" w:rsidRPr="00AA494C" w:rsidRDefault="009E2404" w:rsidP="007C7C8E">
            <w:pPr>
              <w:numPr>
                <w:ilvl w:val="0"/>
                <w:numId w:val="3"/>
              </w:numPr>
              <w:spacing w:after="0" w:line="240" w:lineRule="auto"/>
              <w:ind w:left="289" w:hanging="218"/>
              <w:rPr>
                <w:sz w:val="20"/>
                <w:szCs w:val="20"/>
              </w:rPr>
            </w:pPr>
            <w:r w:rsidRPr="00AA494C">
              <w:rPr>
                <w:sz w:val="20"/>
                <w:szCs w:val="20"/>
              </w:rPr>
              <w:t>Comprehensive inpatient diagnostic, medical, surgical, habilitative and rehabilitative care</w:t>
            </w:r>
          </w:p>
        </w:tc>
      </w:tr>
      <w:tr w:rsidR="009E2404" w:rsidRPr="00AA494C" w14:paraId="54416150" w14:textId="77777777" w:rsidTr="007460A8">
        <w:trPr>
          <w:trHeight w:val="710"/>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12B80F13" w14:textId="77777777" w:rsidR="009E2404" w:rsidRPr="00AA494C" w:rsidRDefault="009E2404" w:rsidP="007C7C8E">
            <w:pPr>
              <w:spacing w:after="0" w:line="240" w:lineRule="auto"/>
              <w:rPr>
                <w:sz w:val="20"/>
                <w:szCs w:val="20"/>
              </w:rPr>
            </w:pPr>
            <w:r w:rsidRPr="00AA494C">
              <w:rPr>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27193B" w14:textId="77777777" w:rsidR="009E2404" w:rsidRPr="00AA494C" w:rsidRDefault="009E2404" w:rsidP="007C7C8E">
            <w:pPr>
              <w:spacing w:after="0" w:line="240" w:lineRule="auto"/>
              <w:rPr>
                <w:sz w:val="20"/>
                <w:szCs w:val="20"/>
              </w:rPr>
            </w:pPr>
            <w:r w:rsidRPr="00AA494C">
              <w:rPr>
                <w:sz w:val="20"/>
                <w:szCs w:val="20"/>
              </w:rPr>
              <w:t>Secondary Care facilities</w:t>
            </w:r>
          </w:p>
        </w:tc>
        <w:tc>
          <w:tcPr>
            <w:tcW w:w="1507" w:type="dxa"/>
            <w:vAlign w:val="center"/>
          </w:tcPr>
          <w:p w14:paraId="3D373652" w14:textId="553F99C9" w:rsidR="007460A8" w:rsidRDefault="009E2404" w:rsidP="007460A8">
            <w:pPr>
              <w:spacing w:after="0" w:line="240" w:lineRule="auto"/>
              <w:jc w:val="center"/>
              <w:rPr>
                <w:sz w:val="20"/>
                <w:szCs w:val="20"/>
              </w:rPr>
            </w:pPr>
            <w:r w:rsidRPr="00AA494C">
              <w:rPr>
                <w:sz w:val="20"/>
                <w:szCs w:val="20"/>
              </w:rPr>
              <w:t>1,000,000</w:t>
            </w:r>
          </w:p>
          <w:p w14:paraId="19B76800" w14:textId="29C67304" w:rsidR="009E2404" w:rsidRPr="00AA494C" w:rsidRDefault="009E2404" w:rsidP="007460A8">
            <w:pPr>
              <w:spacing w:after="0" w:line="240" w:lineRule="auto"/>
              <w:jc w:val="center"/>
              <w:rPr>
                <w:sz w:val="20"/>
                <w:szCs w:val="20"/>
              </w:rPr>
            </w:pPr>
            <w:r w:rsidRPr="00AA494C">
              <w:rPr>
                <w:sz w:val="20"/>
                <w:szCs w:val="20"/>
              </w:rPr>
              <w:t>population</w:t>
            </w:r>
          </w:p>
        </w:tc>
        <w:tc>
          <w:tcPr>
            <w:tcW w:w="5245" w:type="dxa"/>
            <w:vMerge/>
            <w:tcBorders>
              <w:top w:val="single" w:sz="4" w:space="0" w:color="auto"/>
              <w:left w:val="single" w:sz="4" w:space="0" w:color="auto"/>
              <w:bottom w:val="single" w:sz="4" w:space="0" w:color="auto"/>
              <w:right w:val="single" w:sz="4" w:space="0" w:color="auto"/>
            </w:tcBorders>
            <w:vAlign w:val="center"/>
            <w:hideMark/>
          </w:tcPr>
          <w:p w14:paraId="08FFB14C" w14:textId="07DF39C1" w:rsidR="009E2404" w:rsidRPr="00AA494C" w:rsidRDefault="009E2404" w:rsidP="007C7C8E">
            <w:pPr>
              <w:spacing w:after="0" w:line="240" w:lineRule="auto"/>
              <w:rPr>
                <w:sz w:val="20"/>
                <w:szCs w:val="20"/>
              </w:rPr>
            </w:pPr>
          </w:p>
        </w:tc>
      </w:tr>
      <w:tr w:rsidR="009E2404" w:rsidRPr="00AA494C" w14:paraId="617CBE14" w14:textId="77777777" w:rsidTr="007460A8">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6B3F1672" w14:textId="77777777" w:rsidR="009E2404" w:rsidRPr="00AA494C" w:rsidRDefault="009E2404" w:rsidP="007C7C8E">
            <w:pPr>
              <w:spacing w:after="0" w:line="240" w:lineRule="auto"/>
              <w:rPr>
                <w:sz w:val="20"/>
                <w:szCs w:val="20"/>
              </w:rPr>
            </w:pPr>
            <w:r w:rsidRPr="00AA494C">
              <w:rPr>
                <w:sz w:val="20"/>
                <w:szCs w:val="20"/>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4D1231" w14:textId="77777777" w:rsidR="009E2404" w:rsidRPr="00AA494C" w:rsidRDefault="009E2404" w:rsidP="007C7C8E">
            <w:pPr>
              <w:spacing w:after="0" w:line="240" w:lineRule="auto"/>
              <w:rPr>
                <w:sz w:val="20"/>
                <w:szCs w:val="20"/>
              </w:rPr>
            </w:pPr>
            <w:r w:rsidRPr="00AA494C">
              <w:rPr>
                <w:sz w:val="20"/>
                <w:szCs w:val="20"/>
              </w:rPr>
              <w:t>Tertiary Care facilities</w:t>
            </w:r>
          </w:p>
        </w:tc>
        <w:tc>
          <w:tcPr>
            <w:tcW w:w="1507" w:type="dxa"/>
            <w:vAlign w:val="center"/>
          </w:tcPr>
          <w:p w14:paraId="1D23038C" w14:textId="5E7F7661" w:rsidR="009E2404" w:rsidRPr="00AA494C" w:rsidRDefault="00F456E3" w:rsidP="007460A8">
            <w:pPr>
              <w:spacing w:after="0" w:line="240" w:lineRule="auto"/>
              <w:jc w:val="center"/>
              <w:rPr>
                <w:sz w:val="20"/>
                <w:szCs w:val="20"/>
              </w:rPr>
            </w:pPr>
            <w:r w:rsidRPr="00AA494C">
              <w:rPr>
                <w:sz w:val="20"/>
                <w:szCs w:val="20"/>
              </w:rPr>
              <w:t>National</w:t>
            </w:r>
          </w:p>
        </w:tc>
        <w:tc>
          <w:tcPr>
            <w:tcW w:w="5245" w:type="dxa"/>
            <w:vMerge/>
            <w:tcBorders>
              <w:top w:val="single" w:sz="4" w:space="0" w:color="auto"/>
              <w:left w:val="single" w:sz="4" w:space="0" w:color="auto"/>
              <w:bottom w:val="single" w:sz="4" w:space="0" w:color="auto"/>
              <w:right w:val="single" w:sz="4" w:space="0" w:color="auto"/>
            </w:tcBorders>
            <w:vAlign w:val="center"/>
            <w:hideMark/>
          </w:tcPr>
          <w:p w14:paraId="1DBFC888" w14:textId="3381FF11" w:rsidR="009E2404" w:rsidRPr="00AA494C" w:rsidRDefault="009E2404" w:rsidP="007C7C8E">
            <w:pPr>
              <w:spacing w:after="0" w:line="240" w:lineRule="auto"/>
              <w:rPr>
                <w:sz w:val="20"/>
                <w:szCs w:val="20"/>
              </w:rPr>
            </w:pPr>
          </w:p>
        </w:tc>
      </w:tr>
    </w:tbl>
    <w:p w14:paraId="2830F686" w14:textId="3D0738F5" w:rsidR="00A441F2" w:rsidRPr="00371768" w:rsidRDefault="00021DEA" w:rsidP="00371768">
      <w:pPr>
        <w:rPr>
          <w:sz w:val="16"/>
          <w:szCs w:val="16"/>
        </w:rPr>
      </w:pPr>
      <w:r w:rsidRPr="00AA494C">
        <w:rPr>
          <w:sz w:val="16"/>
          <w:szCs w:val="16"/>
          <w:vertAlign w:val="superscript"/>
        </w:rPr>
        <w:t>1</w:t>
      </w:r>
      <w:r w:rsidRPr="00AA494C">
        <w:rPr>
          <w:sz w:val="16"/>
          <w:szCs w:val="16"/>
        </w:rPr>
        <w:t xml:space="preserve"> </w:t>
      </w:r>
      <w:r w:rsidR="006D1638" w:rsidRPr="006D1638">
        <w:rPr>
          <w:rFonts w:cs="Arial"/>
          <w:color w:val="000000"/>
          <w:sz w:val="16"/>
          <w:szCs w:val="16"/>
        </w:rPr>
        <w:t>[1]</w:t>
      </w:r>
      <w:r w:rsidRPr="00AA494C">
        <w:rPr>
          <w:sz w:val="16"/>
          <w:szCs w:val="16"/>
        </w:rPr>
        <w:t xml:space="preserve">, </w:t>
      </w:r>
      <w:r w:rsidRPr="00AA494C">
        <w:rPr>
          <w:sz w:val="16"/>
          <w:szCs w:val="16"/>
          <w:vertAlign w:val="superscript"/>
        </w:rPr>
        <w:t>2</w:t>
      </w:r>
      <w:r w:rsidRPr="00AA494C">
        <w:rPr>
          <w:sz w:val="16"/>
          <w:szCs w:val="16"/>
        </w:rPr>
        <w:t xml:space="preserve"> </w:t>
      </w:r>
      <w:r w:rsidR="006D1638" w:rsidRPr="006D1638">
        <w:rPr>
          <w:rFonts w:cs="Arial"/>
          <w:color w:val="000000"/>
          <w:sz w:val="16"/>
          <w:szCs w:val="16"/>
        </w:rPr>
        <w:t>[2]</w:t>
      </w:r>
    </w:p>
    <w:p w14:paraId="062DD78D" w14:textId="72B6123B" w:rsidR="00B961A8" w:rsidRDefault="00327988" w:rsidP="00927240">
      <w:pPr>
        <w:spacing w:before="240"/>
      </w:pPr>
      <w:r w:rsidRPr="00AA494C">
        <w:t>Health facility data was obtained from a national census of all facilities providing healthcare services in Kenya conducted in August 2023 by the Ministry of Health (MoH) to assess service availability and readiness</w:t>
      </w:r>
      <w:r w:rsidR="00264148">
        <w:t xml:space="preserve"> </w:t>
      </w:r>
      <w:r w:rsidR="006D1638" w:rsidRPr="006D1638">
        <w:rPr>
          <w:rFonts w:cs="Arial"/>
          <w:color w:val="000000"/>
        </w:rPr>
        <w:t>[3]</w:t>
      </w:r>
      <w:r w:rsidRPr="00AA494C">
        <w:t xml:space="preserve">. </w:t>
      </w:r>
      <w:r w:rsidR="00CC110B" w:rsidRPr="00AA494C">
        <w:t>The census provides facility</w:t>
      </w:r>
      <w:r w:rsidR="00CC110B" w:rsidRPr="00AA494C">
        <w:rPr>
          <w:rFonts w:ascii="Cambria Math" w:hAnsi="Cambria Math" w:cs="Cambria Math"/>
        </w:rPr>
        <w:t>‑</w:t>
      </w:r>
      <w:r w:rsidR="00CC110B" w:rsidRPr="00AA494C">
        <w:t xml:space="preserve">level data on human resources, equipment, infrastructure, and services. </w:t>
      </w:r>
    </w:p>
    <w:p w14:paraId="01050DB1" w14:textId="63FAB18B" w:rsidR="00F9491E" w:rsidRDefault="00CC110B" w:rsidP="007460A8">
      <w:r w:rsidRPr="00AA494C">
        <w:t>The complete dataset comprised 12,375 enumerated facilities.</w:t>
      </w:r>
      <w:r w:rsidR="00371768">
        <w:t xml:space="preserve"> </w:t>
      </w:r>
      <w:r w:rsidR="00587006">
        <w:t>F</w:t>
      </w:r>
      <w:r w:rsidR="00327988" w:rsidRPr="00AA494C">
        <w:t xml:space="preserve">acilities capable of providing inpatient paediatric emergency care based on MoH guidelines </w:t>
      </w:r>
      <w:r w:rsidR="00587006">
        <w:t xml:space="preserve">were </w:t>
      </w:r>
      <w:r w:rsidR="00587006" w:rsidRPr="00AA494C">
        <w:t>identified</w:t>
      </w:r>
      <w:r w:rsidR="005753F9">
        <w:t xml:space="preserve"> </w:t>
      </w:r>
      <w:r w:rsidR="006D1638" w:rsidRPr="006D1638">
        <w:rPr>
          <w:rFonts w:cs="Arial"/>
          <w:color w:val="000000"/>
        </w:rPr>
        <w:t>[3]</w:t>
      </w:r>
      <w:r w:rsidR="00327988" w:rsidRPr="00AA494C">
        <w:t xml:space="preserve">. </w:t>
      </w:r>
      <w:r w:rsidR="001900F5" w:rsidRPr="00AA494C">
        <w:t>Eligible facilities were required to be public</w:t>
      </w:r>
      <w:r w:rsidR="00443602">
        <w:t xml:space="preserve"> (owned by the </w:t>
      </w:r>
      <w:r w:rsidR="001C7ADC">
        <w:t>govern</w:t>
      </w:r>
      <w:r w:rsidR="00153E82">
        <w:t>ment</w:t>
      </w:r>
      <w:r w:rsidR="00443602">
        <w:t>)</w:t>
      </w:r>
      <w:r w:rsidR="001900F5" w:rsidRPr="00AA494C">
        <w:t xml:space="preserve">, to have a paediatric ward, a medical officer or paediatrician, a nurse, a paediatric medical or surgical ward, a sluice room, sanitary facilities, inpatient beds (excluding delivery beds), oxygen, and a suction machine. </w:t>
      </w:r>
      <w:r w:rsidR="001900F5" w:rsidRPr="00AA494C">
        <w:lastRenderedPageBreak/>
        <w:t xml:space="preserve">Facilities also had to be classified by the MoH as providing emergency care. Applying these criteria yielded a final analytical sample of 183 public facilities. Supplementary Figure </w:t>
      </w:r>
      <w:r w:rsidR="00211325">
        <w:t>2</w:t>
      </w:r>
      <w:r w:rsidR="001900F5" w:rsidRPr="00AA494C">
        <w:t xml:space="preserve"> illustrates the inclusion/exclusion process, and Supplementary Figure </w:t>
      </w:r>
      <w:r w:rsidR="00211325">
        <w:t>3</w:t>
      </w:r>
      <w:r w:rsidR="001900F5" w:rsidRPr="00AA494C">
        <w:t xml:space="preserve"> shows the spatial distribution of the eligible facilities.</w:t>
      </w:r>
    </w:p>
    <w:p w14:paraId="677494F4" w14:textId="2DE2B166" w:rsidR="00F3630F" w:rsidRPr="00F9491E" w:rsidRDefault="00F3630F" w:rsidP="00F3630F">
      <w:pPr>
        <w:pStyle w:val="Heading3"/>
      </w:pPr>
      <w:bookmarkStart w:id="4" w:name="_Toc234333146"/>
      <w:r>
        <w:t>Facility inclusion/exclusion</w:t>
      </w:r>
      <w:bookmarkEnd w:id="4"/>
    </w:p>
    <w:p w14:paraId="071C741C" w14:textId="5AE68CB0" w:rsidR="006F3BDD" w:rsidRPr="00AA494C" w:rsidRDefault="002373B2" w:rsidP="00E905AA">
      <w:pPr>
        <w:pStyle w:val="Figurespace"/>
      </w:pPr>
      <w:r w:rsidRPr="00AA494C">
        <w:drawing>
          <wp:inline distT="0" distB="0" distL="0" distR="0" wp14:anchorId="59B01F84" wp14:editId="24D2D7BE">
            <wp:extent cx="5002784" cy="7038975"/>
            <wp:effectExtent l="0" t="0" r="7620" b="0"/>
            <wp:docPr id="4858028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02822"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8943" cy="7103922"/>
                    </a:xfrm>
                    <a:prstGeom prst="rect">
                      <a:avLst/>
                    </a:prstGeom>
                  </pic:spPr>
                </pic:pic>
              </a:graphicData>
            </a:graphic>
          </wp:inline>
        </w:drawing>
      </w:r>
    </w:p>
    <w:p w14:paraId="12C9936E" w14:textId="781CF194" w:rsidR="006F3BDD" w:rsidRPr="00AA494C" w:rsidRDefault="001053E6" w:rsidP="00B06D33">
      <w:pPr>
        <w:pStyle w:val="Figurelabel"/>
      </w:pPr>
      <w:r w:rsidRPr="00AA494C">
        <w:rPr>
          <w:b/>
        </w:rPr>
        <w:t xml:space="preserve">Supplementary </w:t>
      </w:r>
      <w:r w:rsidR="006F3BDD" w:rsidRPr="00AA494C">
        <w:rPr>
          <w:b/>
        </w:rPr>
        <w:t xml:space="preserve">Figure </w:t>
      </w:r>
      <w:r w:rsidR="006746BB">
        <w:rPr>
          <w:b/>
        </w:rPr>
        <w:t>2</w:t>
      </w:r>
      <w:r w:rsidR="006F3BDD" w:rsidRPr="00AA494C">
        <w:rPr>
          <w:b/>
        </w:rPr>
        <w:t>:</w:t>
      </w:r>
      <w:r w:rsidR="006F3BDD" w:rsidRPr="00AA494C">
        <w:t xml:space="preserve"> Inclusion exclusion criterion</w:t>
      </w:r>
      <w:r w:rsidR="00B25675" w:rsidRPr="00AA494C">
        <w:t xml:space="preserve">. </w:t>
      </w:r>
    </w:p>
    <w:p w14:paraId="30A384C5" w14:textId="46B92424" w:rsidR="004E3D52" w:rsidRPr="00AA494C" w:rsidRDefault="00561F67" w:rsidP="007C7C8E">
      <w:pPr>
        <w:spacing w:after="0" w:line="240" w:lineRule="auto"/>
        <w:rPr>
          <w:sz w:val="16"/>
          <w:szCs w:val="16"/>
        </w:rPr>
      </w:pPr>
      <w:r w:rsidRPr="00AA494C">
        <w:rPr>
          <w:sz w:val="16"/>
          <w:szCs w:val="16"/>
        </w:rPr>
        <w:t xml:space="preserve">According to the MoH </w:t>
      </w:r>
      <w:r w:rsidR="009417E1" w:rsidRPr="00AA494C">
        <w:rPr>
          <w:sz w:val="16"/>
          <w:szCs w:val="16"/>
        </w:rPr>
        <w:t xml:space="preserve">facility census report, the following are what constitute a facility capable </w:t>
      </w:r>
      <w:r w:rsidR="004E3D52" w:rsidRPr="00AA494C">
        <w:rPr>
          <w:sz w:val="16"/>
          <w:szCs w:val="16"/>
        </w:rPr>
        <w:t>of providing inpatient paediatric care</w:t>
      </w:r>
    </w:p>
    <w:p w14:paraId="6C902FBB" w14:textId="0B254A64" w:rsidR="002373B2" w:rsidRPr="00AA494C" w:rsidRDefault="00D24850" w:rsidP="007C7C8E">
      <w:pPr>
        <w:spacing w:after="0" w:line="240" w:lineRule="auto"/>
        <w:rPr>
          <w:sz w:val="16"/>
          <w:szCs w:val="16"/>
        </w:rPr>
      </w:pPr>
      <w:r w:rsidRPr="00AA494C">
        <w:rPr>
          <w:sz w:val="16"/>
          <w:szCs w:val="16"/>
        </w:rPr>
        <w:t>A – Facilities that have a paediatric ward</w:t>
      </w:r>
    </w:p>
    <w:p w14:paraId="1E73A7F2" w14:textId="2A338158" w:rsidR="00D24850" w:rsidRPr="00AA494C" w:rsidRDefault="00D24850" w:rsidP="007C7C8E">
      <w:pPr>
        <w:spacing w:after="0" w:line="240" w:lineRule="auto"/>
        <w:rPr>
          <w:sz w:val="16"/>
          <w:szCs w:val="16"/>
        </w:rPr>
      </w:pPr>
      <w:r w:rsidRPr="00AA494C">
        <w:rPr>
          <w:sz w:val="16"/>
          <w:szCs w:val="16"/>
        </w:rPr>
        <w:lastRenderedPageBreak/>
        <w:t>B – Facilities that have a medical officer/</w:t>
      </w:r>
      <w:r w:rsidR="004E3D52" w:rsidRPr="00AA494C">
        <w:rPr>
          <w:sz w:val="16"/>
          <w:szCs w:val="16"/>
        </w:rPr>
        <w:t>paediatrician</w:t>
      </w:r>
      <w:r w:rsidRPr="00AA494C">
        <w:rPr>
          <w:sz w:val="16"/>
          <w:szCs w:val="16"/>
        </w:rPr>
        <w:t xml:space="preserve"> and a nurse</w:t>
      </w:r>
    </w:p>
    <w:p w14:paraId="71A43A74" w14:textId="3FE8B6A6" w:rsidR="00D24850" w:rsidRPr="00AA494C" w:rsidRDefault="00D24850" w:rsidP="007C7C8E">
      <w:pPr>
        <w:spacing w:after="0" w:line="240" w:lineRule="auto"/>
        <w:rPr>
          <w:sz w:val="16"/>
          <w:szCs w:val="16"/>
        </w:rPr>
      </w:pPr>
      <w:r w:rsidRPr="00AA494C">
        <w:rPr>
          <w:sz w:val="16"/>
          <w:szCs w:val="16"/>
        </w:rPr>
        <w:t>C – Facilities that have either paediatric medical or paediatric surgical ward, sluice room, hand</w:t>
      </w:r>
      <w:r w:rsidR="00561F67" w:rsidRPr="00AA494C">
        <w:rPr>
          <w:sz w:val="16"/>
          <w:szCs w:val="16"/>
        </w:rPr>
        <w:t xml:space="preserve"> wash basin, toilets/sanitary facilities</w:t>
      </w:r>
    </w:p>
    <w:p w14:paraId="2FEFBC43" w14:textId="3EF4721E" w:rsidR="00802B01" w:rsidRPr="00AA494C" w:rsidRDefault="00561F67" w:rsidP="007C7C8E">
      <w:pPr>
        <w:spacing w:after="0" w:line="240" w:lineRule="auto"/>
        <w:rPr>
          <w:sz w:val="16"/>
          <w:szCs w:val="16"/>
        </w:rPr>
      </w:pPr>
      <w:r w:rsidRPr="00AA494C">
        <w:rPr>
          <w:sz w:val="16"/>
          <w:szCs w:val="16"/>
        </w:rPr>
        <w:t>D – Facilities with inpatient beds excluding delivery beds, oxygen, suction machine</w:t>
      </w:r>
    </w:p>
    <w:p w14:paraId="73B6E712" w14:textId="29035740" w:rsidR="00927240" w:rsidRDefault="00960FC8" w:rsidP="00E905AA">
      <w:pPr>
        <w:spacing w:after="0" w:line="240" w:lineRule="auto"/>
        <w:rPr>
          <w:sz w:val="16"/>
          <w:szCs w:val="16"/>
        </w:rPr>
      </w:pPr>
      <w:r w:rsidRPr="00AA494C">
        <w:rPr>
          <w:sz w:val="16"/>
          <w:szCs w:val="16"/>
        </w:rPr>
        <w:t xml:space="preserve">Facilities </w:t>
      </w:r>
      <w:r w:rsidR="00E74458" w:rsidRPr="00AA494C">
        <w:rPr>
          <w:sz w:val="16"/>
          <w:szCs w:val="16"/>
        </w:rPr>
        <w:t xml:space="preserve">were </w:t>
      </w:r>
      <w:r w:rsidRPr="00AA494C">
        <w:rPr>
          <w:sz w:val="16"/>
          <w:szCs w:val="16"/>
        </w:rPr>
        <w:t xml:space="preserve">classified </w:t>
      </w:r>
      <w:r w:rsidR="00E74458" w:rsidRPr="00AA494C">
        <w:rPr>
          <w:sz w:val="16"/>
          <w:szCs w:val="16"/>
        </w:rPr>
        <w:t>based on</w:t>
      </w:r>
      <w:r w:rsidR="000E305D" w:rsidRPr="00AA494C">
        <w:rPr>
          <w:sz w:val="16"/>
          <w:szCs w:val="16"/>
        </w:rPr>
        <w:t xml:space="preserve"> </w:t>
      </w:r>
      <w:r w:rsidR="0002229E" w:rsidRPr="00AA494C">
        <w:rPr>
          <w:sz w:val="16"/>
          <w:szCs w:val="16"/>
        </w:rPr>
        <w:t>e</w:t>
      </w:r>
      <w:r w:rsidR="000E305D" w:rsidRPr="00AA494C">
        <w:rPr>
          <w:sz w:val="16"/>
          <w:szCs w:val="16"/>
        </w:rPr>
        <w:t>mergency</w:t>
      </w:r>
      <w:r w:rsidR="000D4D9A" w:rsidRPr="00AA494C">
        <w:rPr>
          <w:sz w:val="16"/>
          <w:szCs w:val="16"/>
        </w:rPr>
        <w:t xml:space="preserve"> </w:t>
      </w:r>
      <w:r w:rsidR="0002229E" w:rsidRPr="00AA494C">
        <w:rPr>
          <w:sz w:val="16"/>
          <w:szCs w:val="16"/>
        </w:rPr>
        <w:t>care</w:t>
      </w:r>
      <w:r w:rsidR="000D4D9A" w:rsidRPr="00AA494C">
        <w:rPr>
          <w:sz w:val="16"/>
          <w:szCs w:val="16"/>
        </w:rPr>
        <w:t xml:space="preserve"> </w:t>
      </w:r>
      <w:r w:rsidR="000E305D" w:rsidRPr="00AA494C">
        <w:rPr>
          <w:sz w:val="16"/>
          <w:szCs w:val="16"/>
        </w:rPr>
        <w:t xml:space="preserve">provision </w:t>
      </w:r>
      <w:r w:rsidR="00E74458" w:rsidRPr="00AA494C">
        <w:rPr>
          <w:sz w:val="16"/>
          <w:szCs w:val="16"/>
        </w:rPr>
        <w:t xml:space="preserve">by MoH using </w:t>
      </w:r>
      <w:r w:rsidR="00E00F7F" w:rsidRPr="00AA494C">
        <w:rPr>
          <w:sz w:val="16"/>
          <w:szCs w:val="16"/>
        </w:rPr>
        <w:t>a</w:t>
      </w:r>
      <w:r w:rsidR="00E74458" w:rsidRPr="00AA494C">
        <w:rPr>
          <w:sz w:val="16"/>
          <w:szCs w:val="16"/>
        </w:rPr>
        <w:t xml:space="preserve"> binary (Yes/No) variable.</w:t>
      </w:r>
    </w:p>
    <w:p w14:paraId="7CE9B35E" w14:textId="77777777" w:rsidR="00567C8F" w:rsidRDefault="00567C8F" w:rsidP="00E905AA">
      <w:pPr>
        <w:spacing w:after="0" w:line="240" w:lineRule="auto"/>
        <w:rPr>
          <w:sz w:val="16"/>
          <w:szCs w:val="16"/>
        </w:rPr>
      </w:pPr>
    </w:p>
    <w:p w14:paraId="24C7E530" w14:textId="77777777" w:rsidR="00567C8F" w:rsidRDefault="00567C8F" w:rsidP="00E905AA">
      <w:pPr>
        <w:spacing w:after="0" w:line="240" w:lineRule="auto"/>
        <w:rPr>
          <w:sz w:val="16"/>
          <w:szCs w:val="16"/>
        </w:rPr>
      </w:pPr>
    </w:p>
    <w:p w14:paraId="38F17964" w14:textId="77777777" w:rsidR="00567C8F" w:rsidRPr="00E905AA" w:rsidRDefault="00567C8F" w:rsidP="00E905AA">
      <w:pPr>
        <w:spacing w:after="0" w:line="240" w:lineRule="auto"/>
        <w:rPr>
          <w:sz w:val="16"/>
          <w:szCs w:val="16"/>
        </w:rPr>
      </w:pPr>
    </w:p>
    <w:p w14:paraId="7D91F94F" w14:textId="3D5AD383" w:rsidR="000D4CF9" w:rsidRPr="00AA494C" w:rsidRDefault="008402FA" w:rsidP="00E905AA">
      <w:pPr>
        <w:pStyle w:val="Figurespace"/>
      </w:pPr>
      <w:r>
        <w:drawing>
          <wp:inline distT="0" distB="0" distL="0" distR="0" wp14:anchorId="607122F4" wp14:editId="2DB04A8F">
            <wp:extent cx="4467479" cy="5657850"/>
            <wp:effectExtent l="0" t="0" r="9525" b="0"/>
            <wp:docPr id="3607139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13970" name="Picture 3607139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86365" cy="5681768"/>
                    </a:xfrm>
                    <a:prstGeom prst="rect">
                      <a:avLst/>
                    </a:prstGeom>
                  </pic:spPr>
                </pic:pic>
              </a:graphicData>
            </a:graphic>
          </wp:inline>
        </w:drawing>
      </w:r>
    </w:p>
    <w:p w14:paraId="63336642" w14:textId="267D78D4" w:rsidR="00C92261" w:rsidRPr="00AA494C" w:rsidRDefault="00426027" w:rsidP="00B06D33">
      <w:pPr>
        <w:pStyle w:val="Figurelabel"/>
      </w:pPr>
      <w:r w:rsidRPr="008402FA">
        <w:rPr>
          <w:b/>
        </w:rPr>
        <w:t xml:space="preserve">Supplementary Figure </w:t>
      </w:r>
      <w:r w:rsidR="00567C8F">
        <w:rPr>
          <w:b/>
        </w:rPr>
        <w:t>3</w:t>
      </w:r>
      <w:r w:rsidR="000D1425" w:rsidRPr="008402FA">
        <w:t>:</w:t>
      </w:r>
      <w:r w:rsidR="00D434E8" w:rsidRPr="008402FA">
        <w:rPr>
          <w:b/>
        </w:rPr>
        <w:t xml:space="preserve"> </w:t>
      </w:r>
      <w:r w:rsidR="007759ED" w:rsidRPr="008402FA">
        <w:t xml:space="preserve">Spatial distribution of the 183 eligible public </w:t>
      </w:r>
      <w:r w:rsidR="00117A27">
        <w:t xml:space="preserve">(government-owned) </w:t>
      </w:r>
      <w:r w:rsidR="007759ED" w:rsidRPr="008402FA">
        <w:t>facilities providing inpatient paediatric emergency care</w:t>
      </w:r>
      <w:r w:rsidR="00117A27">
        <w:t xml:space="preserve"> in Kenya</w:t>
      </w:r>
      <w:r w:rsidR="007759ED" w:rsidRPr="008402FA">
        <w:t>.</w:t>
      </w:r>
      <w:r w:rsidR="00AC73C9" w:rsidRPr="00AA494C">
        <w:t xml:space="preserve"> </w:t>
      </w:r>
    </w:p>
    <w:p w14:paraId="0753383E" w14:textId="5D5AD075" w:rsidR="00C92261" w:rsidRPr="00AA494C" w:rsidRDefault="005034E3" w:rsidP="007C7C8E">
      <w:pPr>
        <w:pStyle w:val="Heading2"/>
      </w:pPr>
      <w:bookmarkStart w:id="5" w:name="_Toc234333147"/>
      <w:r w:rsidRPr="00AA494C">
        <w:lastRenderedPageBreak/>
        <w:t>Geographic access</w:t>
      </w:r>
      <w:bookmarkEnd w:id="5"/>
      <w:r w:rsidRPr="00AA494C">
        <w:t xml:space="preserve"> </w:t>
      </w:r>
    </w:p>
    <w:p w14:paraId="19103C5F" w14:textId="39077A20" w:rsidR="00C8453B" w:rsidRPr="00AA494C" w:rsidRDefault="00AB5567" w:rsidP="00E905AA">
      <w:pPr>
        <w:pStyle w:val="Figurespace"/>
      </w:pPr>
      <w:r>
        <w:drawing>
          <wp:inline distT="0" distB="0" distL="0" distR="0" wp14:anchorId="6EE4E448" wp14:editId="10BA0756">
            <wp:extent cx="5731510" cy="5034915"/>
            <wp:effectExtent l="0" t="0" r="2540" b="0"/>
            <wp:docPr id="967397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97874" name="Picture 9673978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034915"/>
                    </a:xfrm>
                    <a:prstGeom prst="rect">
                      <a:avLst/>
                    </a:prstGeom>
                  </pic:spPr>
                </pic:pic>
              </a:graphicData>
            </a:graphic>
          </wp:inline>
        </w:drawing>
      </w:r>
    </w:p>
    <w:p w14:paraId="105467CF" w14:textId="2CB543F5" w:rsidR="007D7AA3" w:rsidRPr="00AA494C" w:rsidRDefault="006B429C" w:rsidP="00F05C52">
      <w:pPr>
        <w:pStyle w:val="Figurelabel"/>
      </w:pPr>
      <w:r w:rsidRPr="00AA494C">
        <w:rPr>
          <w:b/>
        </w:rPr>
        <w:t xml:space="preserve">Supplementary Figure </w:t>
      </w:r>
      <w:r w:rsidR="00567C8F">
        <w:rPr>
          <w:b/>
        </w:rPr>
        <w:t>4</w:t>
      </w:r>
      <w:r w:rsidR="00C17EC9" w:rsidRPr="00AA494C">
        <w:t>: Map</w:t>
      </w:r>
      <w:r w:rsidR="00AD2104">
        <w:t>s</w:t>
      </w:r>
      <w:r w:rsidR="00C17EC9" w:rsidRPr="00AA494C">
        <w:t xml:space="preserve"> showing </w:t>
      </w:r>
      <w:r w:rsidR="00C17EC9" w:rsidRPr="00AA494C">
        <w:rPr>
          <w:b/>
        </w:rPr>
        <w:t xml:space="preserve">Panel a) </w:t>
      </w:r>
      <w:r w:rsidR="00C17EC9" w:rsidRPr="00AA494C">
        <w:t xml:space="preserve">Kenya’s road network and barriers, </w:t>
      </w:r>
      <w:r w:rsidR="00FB5206" w:rsidRPr="00AA494C">
        <w:rPr>
          <w:b/>
        </w:rPr>
        <w:t xml:space="preserve">Panel b) </w:t>
      </w:r>
      <w:r w:rsidR="00FB5206" w:rsidRPr="00AA494C">
        <w:t xml:space="preserve">Land use/cover classes across Kenya, </w:t>
      </w:r>
      <w:r w:rsidR="00FB5206" w:rsidRPr="00AA494C">
        <w:rPr>
          <w:b/>
        </w:rPr>
        <w:t xml:space="preserve">Panel c) </w:t>
      </w:r>
      <w:r w:rsidR="00FB5206" w:rsidRPr="00AA494C">
        <w:t xml:space="preserve">Elevation across Kenya, </w:t>
      </w:r>
      <w:r w:rsidR="00C17EC9" w:rsidRPr="00AA494C">
        <w:rPr>
          <w:b/>
        </w:rPr>
        <w:t>Panel</w:t>
      </w:r>
      <w:r w:rsidR="00FB5206" w:rsidRPr="00AA494C">
        <w:rPr>
          <w:b/>
        </w:rPr>
        <w:t xml:space="preserve"> d</w:t>
      </w:r>
      <w:r w:rsidR="00C17EC9" w:rsidRPr="00AA494C">
        <w:rPr>
          <w:b/>
        </w:rPr>
        <w:t xml:space="preserve">) </w:t>
      </w:r>
      <w:r w:rsidR="009922E6" w:rsidRPr="00AA494C">
        <w:t>Global Human Settlement Layer (GHSL) urban/rural index</w:t>
      </w:r>
      <w:r w:rsidR="0088762B" w:rsidRPr="00AA494C">
        <w:t xml:space="preserve">, </w:t>
      </w:r>
      <w:r w:rsidR="00C17EC9" w:rsidRPr="00AA494C">
        <w:rPr>
          <w:b/>
        </w:rPr>
        <w:t xml:space="preserve">Panel </w:t>
      </w:r>
      <w:r w:rsidR="00FB5206" w:rsidRPr="00AA494C">
        <w:rPr>
          <w:b/>
        </w:rPr>
        <w:t>e</w:t>
      </w:r>
      <w:r w:rsidR="00C17EC9" w:rsidRPr="00AA494C">
        <w:rPr>
          <w:b/>
        </w:rPr>
        <w:t xml:space="preserve">) </w:t>
      </w:r>
      <w:r w:rsidR="00DE7A40" w:rsidRPr="00AA494C">
        <w:t>Rural</w:t>
      </w:r>
      <w:r w:rsidR="003B255A">
        <w:t>-</w:t>
      </w:r>
      <w:r w:rsidR="00DE7A40" w:rsidRPr="00AA494C">
        <w:t>urban classification of roads.</w:t>
      </w:r>
    </w:p>
    <w:p w14:paraId="75F1CAED" w14:textId="3DC795F1" w:rsidR="00F10111" w:rsidRPr="00AA494C" w:rsidRDefault="00F10111" w:rsidP="007C7C8E">
      <w:pPr>
        <w:pStyle w:val="Heading2"/>
      </w:pPr>
      <w:bookmarkStart w:id="6" w:name="_Toc234333148"/>
      <w:r w:rsidRPr="00AA494C">
        <w:t>Affordability</w:t>
      </w:r>
      <w:bookmarkEnd w:id="6"/>
    </w:p>
    <w:p w14:paraId="7463A720" w14:textId="0DFBAF22" w:rsidR="00F74C7E" w:rsidRDefault="004421F3" w:rsidP="007C7C8E">
      <w:r w:rsidRPr="004421F3">
        <w:t>Household survey data on insurance coverage were obtained from the 2022 Kenya Demographic and Health Survey (KDHS)</w:t>
      </w:r>
      <w:r w:rsidR="00E12F48">
        <w:t xml:space="preserve"> </w:t>
      </w:r>
      <w:r w:rsidR="006D1638" w:rsidRPr="006D1638">
        <w:rPr>
          <w:rFonts w:cs="Arial"/>
          <w:color w:val="000000"/>
        </w:rPr>
        <w:t>[4]</w:t>
      </w:r>
      <w:r w:rsidRPr="004421F3">
        <w:t>. The KDHS is a nationally representative survey using two</w:t>
      </w:r>
      <w:r w:rsidRPr="004421F3">
        <w:rPr>
          <w:rFonts w:ascii="Cambria Math" w:hAnsi="Cambria Math" w:cs="Cambria Math"/>
        </w:rPr>
        <w:t>‑</w:t>
      </w:r>
      <w:r w:rsidRPr="004421F3">
        <w:t xml:space="preserve">stage stratified sampling across all 47 counties (1,691 clusters, </w:t>
      </w:r>
      <m:oMath>
        <m:r>
          <w:rPr>
            <w:rFonts w:ascii="Cambria Math" w:hAnsi="Cambria Math"/>
          </w:rPr>
          <m:t>≈</m:t>
        </m:r>
      </m:oMath>
      <w:r w:rsidRPr="004421F3">
        <w:t xml:space="preserve">25 households per cluster). From the </w:t>
      </w:r>
      <w:r w:rsidR="00322EC4">
        <w:t>household</w:t>
      </w:r>
      <w:r w:rsidRPr="004421F3">
        <w:t xml:space="preserve"> recode file, a binary indicator of any insurance coverage </w:t>
      </w:r>
      <w:r w:rsidR="007A72CF">
        <w:t xml:space="preserve">was </w:t>
      </w:r>
      <w:r w:rsidR="007A72CF" w:rsidRPr="004421F3">
        <w:t>created</w:t>
      </w:r>
      <w:r w:rsidRPr="004421F3">
        <w:t>. Cluster</w:t>
      </w:r>
      <w:r w:rsidRPr="004421F3">
        <w:rPr>
          <w:rFonts w:ascii="Cambria Math" w:hAnsi="Cambria Math" w:cs="Cambria Math"/>
        </w:rPr>
        <w:t>‑</w:t>
      </w:r>
      <w:r w:rsidRPr="004421F3">
        <w:t xml:space="preserve">level summaries (number of insured individuals, total respondents, and proportion insured) were calculated. Cluster geocoordinates were also extracted. Supplementary Figure </w:t>
      </w:r>
      <w:r w:rsidR="00E12F48">
        <w:t>5</w:t>
      </w:r>
      <w:r w:rsidRPr="004421F3">
        <w:t xml:space="preserve"> (Panel a) shows the spatial distribution of clusters and the cluster</w:t>
      </w:r>
      <w:r w:rsidRPr="004421F3">
        <w:rPr>
          <w:rFonts w:ascii="Cambria Math" w:hAnsi="Cambria Math" w:cs="Cambria Math"/>
        </w:rPr>
        <w:t>‑</w:t>
      </w:r>
      <w:r w:rsidRPr="004421F3">
        <w:t>level insurance coverage.</w:t>
      </w:r>
    </w:p>
    <w:p w14:paraId="3024FA46" w14:textId="77777777" w:rsidR="00CE366D" w:rsidRPr="00AA494C" w:rsidRDefault="00CE366D" w:rsidP="007C7C8E">
      <w:pPr>
        <w:pStyle w:val="Heading2"/>
      </w:pPr>
      <w:bookmarkStart w:id="7" w:name="_Toc234333149"/>
      <w:r w:rsidRPr="00AA494C">
        <w:lastRenderedPageBreak/>
        <w:t>Accommodation and Acceptability</w:t>
      </w:r>
      <w:bookmarkEnd w:id="7"/>
    </w:p>
    <w:p w14:paraId="0779F16D" w14:textId="64DDA3A8" w:rsidR="0074144D" w:rsidRDefault="0074144D" w:rsidP="007C7C8E">
      <w:r w:rsidRPr="0074144D">
        <w:t xml:space="preserve">We used the 2010 Kenya Service Provision Assessment (KSPA), a nationally representative survey of facility readiness that also includes </w:t>
      </w:r>
      <w:r w:rsidR="008E3681">
        <w:t>caregiver</w:t>
      </w:r>
      <w:r w:rsidRPr="0074144D">
        <w:t xml:space="preserve"> satisfaction exit interviews</w:t>
      </w:r>
      <w:r w:rsidR="00E12F48">
        <w:t xml:space="preserve"> </w:t>
      </w:r>
      <w:r w:rsidR="006D1638" w:rsidRPr="006D1638">
        <w:rPr>
          <w:rFonts w:cs="Arial"/>
          <w:color w:val="000000"/>
        </w:rPr>
        <w:t>[5]</w:t>
      </w:r>
      <w:r w:rsidRPr="0074144D">
        <w:t>. For each facility, we extracted caregiver responses on:</w:t>
      </w:r>
    </w:p>
    <w:p w14:paraId="070BF5BF" w14:textId="1435E65A" w:rsidR="007C1191" w:rsidRDefault="007C1191" w:rsidP="007C7C8E">
      <w:pPr>
        <w:pStyle w:val="ListParagraph"/>
        <w:numPr>
          <w:ilvl w:val="0"/>
          <w:numId w:val="4"/>
        </w:numPr>
        <w:ind w:left="567" w:hanging="349"/>
      </w:pPr>
      <w:r w:rsidRPr="007C1191">
        <w:rPr>
          <w:u w:val="single"/>
        </w:rPr>
        <w:t>Service organisation (accommodation):</w:t>
      </w:r>
      <w:r>
        <w:t xml:space="preserve"> satisfaction with waiting times, operation hours, and operation days.</w:t>
      </w:r>
    </w:p>
    <w:p w14:paraId="797A7E9D" w14:textId="70DF537C" w:rsidR="0074144D" w:rsidRDefault="007C1191" w:rsidP="007C7C8E">
      <w:pPr>
        <w:pStyle w:val="ListParagraph"/>
        <w:numPr>
          <w:ilvl w:val="0"/>
          <w:numId w:val="4"/>
        </w:numPr>
        <w:ind w:left="567" w:hanging="349"/>
      </w:pPr>
      <w:r w:rsidRPr="007C1191">
        <w:rPr>
          <w:u w:val="single"/>
        </w:rPr>
        <w:t>Service provision (acceptability):</w:t>
      </w:r>
      <w:r>
        <w:t xml:space="preserve"> satisfaction with privacy, communication, quality of examinations, and staff attitudes.</w:t>
      </w:r>
    </w:p>
    <w:p w14:paraId="6581FD48" w14:textId="1EFB64CA" w:rsidR="008A660B" w:rsidRDefault="008A660B" w:rsidP="007C7C8E">
      <w:r>
        <w:t>To bring the 2010 surfaces to more recent levels, we used the 2018 Kenya Household Health Expenditure and Utilisation Survey (KHHEUS), downloaded from the Kenya National Data Archive (KeNADA, https://statistics.knbs.or.ke/nada/index.php/home). The KHHEUS is a nationally representative survey of health</w:t>
      </w:r>
      <w:r>
        <w:rPr>
          <w:rFonts w:ascii="Cambria Math" w:hAnsi="Cambria Math" w:cs="Cambria Math"/>
        </w:rPr>
        <w:t>‑</w:t>
      </w:r>
      <w:r>
        <w:t>seeking behaviour, service utilisation, spending, and insurance coverage</w:t>
      </w:r>
      <w:r w:rsidR="00CA5730">
        <w:t xml:space="preserve"> </w:t>
      </w:r>
      <w:r w:rsidR="006D1638" w:rsidRPr="006D1638">
        <w:rPr>
          <w:rFonts w:cs="Arial"/>
          <w:color w:val="000000"/>
        </w:rPr>
        <w:t>[6]</w:t>
      </w:r>
      <w:r>
        <w:t>. It also provides survey</w:t>
      </w:r>
      <w:r>
        <w:rPr>
          <w:rFonts w:ascii="Cambria Math" w:hAnsi="Cambria Math" w:cs="Cambria Math"/>
        </w:rPr>
        <w:t>‑</w:t>
      </w:r>
      <w:r>
        <w:t>weighted estimates of satisfaction with service organisation and provision (waiting times, staff courtesy, privacy). Unlike the KDHS, KHHEUS data are released only with cluster identifiers and without cluster coordinates, precluding direct spatial interpolation. Therefore, we obtained county</w:t>
      </w:r>
      <w:r>
        <w:rPr>
          <w:rFonts w:ascii="Cambria Math" w:hAnsi="Cambria Math" w:cs="Cambria Math"/>
        </w:rPr>
        <w:t>‑</w:t>
      </w:r>
      <w:r>
        <w:t>level satisfaction summaries. Supplementary Figure 5 maps these county</w:t>
      </w:r>
      <w:r>
        <w:rPr>
          <w:rFonts w:ascii="Cambria Math" w:hAnsi="Cambria Math" w:cs="Cambria Math"/>
        </w:rPr>
        <w:t>‑</w:t>
      </w:r>
      <w:r>
        <w:t>level estimates for accommodation and acceptability.</w:t>
      </w:r>
    </w:p>
    <w:p w14:paraId="46DE946A" w14:textId="1D890CFE" w:rsidR="008A660B" w:rsidRDefault="00AC0F5E" w:rsidP="00E905AA">
      <w:pPr>
        <w:pStyle w:val="Figurespace"/>
      </w:pPr>
      <w:r>
        <w:lastRenderedPageBreak/>
        <w:drawing>
          <wp:inline distT="0" distB="0" distL="0" distR="0" wp14:anchorId="2DC437E1" wp14:editId="285E81A1">
            <wp:extent cx="5731510" cy="7481570"/>
            <wp:effectExtent l="0" t="0" r="2540" b="5080"/>
            <wp:docPr id="11934476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47621" name="Picture 11934476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7481570"/>
                    </a:xfrm>
                    <a:prstGeom prst="rect">
                      <a:avLst/>
                    </a:prstGeom>
                  </pic:spPr>
                </pic:pic>
              </a:graphicData>
            </a:graphic>
          </wp:inline>
        </w:drawing>
      </w:r>
    </w:p>
    <w:p w14:paraId="63F07781" w14:textId="77EC0BBA" w:rsidR="008A660B" w:rsidRDefault="008A660B" w:rsidP="00F05C52">
      <w:pPr>
        <w:pStyle w:val="Figurelabel"/>
      </w:pPr>
      <w:r w:rsidRPr="008A660B">
        <w:rPr>
          <w:b/>
        </w:rPr>
        <w:t>Supplementary Figure</w:t>
      </w:r>
      <w:r w:rsidR="00D9613A">
        <w:rPr>
          <w:b/>
        </w:rPr>
        <w:t xml:space="preserve"> 5</w:t>
      </w:r>
      <w:r w:rsidRPr="008A660B">
        <w:rPr>
          <w:b/>
        </w:rPr>
        <w:t>:</w:t>
      </w:r>
      <w:r>
        <w:t xml:space="preserve"> Survey data points used for interpolation. </w:t>
      </w:r>
      <w:r w:rsidR="005C588F" w:rsidRPr="005C588F">
        <w:rPr>
          <w:b/>
        </w:rPr>
        <w:t xml:space="preserve">Panel </w:t>
      </w:r>
      <w:r w:rsidRPr="005C588F">
        <w:rPr>
          <w:b/>
        </w:rPr>
        <w:t>a)</w:t>
      </w:r>
      <w:r>
        <w:t xml:space="preserve"> Affordability </w:t>
      </w:r>
      <w:r w:rsidR="003B255A">
        <w:t>-</w:t>
      </w:r>
      <w:r>
        <w:t xml:space="preserve"> cluster</w:t>
      </w:r>
      <w:r>
        <w:rPr>
          <w:rFonts w:ascii="Cambria Math" w:hAnsi="Cambria Math" w:cs="Cambria Math"/>
        </w:rPr>
        <w:t>‑</w:t>
      </w:r>
      <w:r>
        <w:t xml:space="preserve">level insurance coverage (KDHS 2022). </w:t>
      </w:r>
      <w:r w:rsidR="005C588F" w:rsidRPr="005C588F">
        <w:rPr>
          <w:b/>
        </w:rPr>
        <w:t xml:space="preserve">Panel </w:t>
      </w:r>
      <w:r w:rsidR="005C588F">
        <w:rPr>
          <w:b/>
        </w:rPr>
        <w:t>b</w:t>
      </w:r>
      <w:r w:rsidR="005C588F" w:rsidRPr="005C588F">
        <w:rPr>
          <w:b/>
        </w:rPr>
        <w:t>)</w:t>
      </w:r>
      <w:r w:rsidR="005C588F">
        <w:t xml:space="preserve"> </w:t>
      </w:r>
      <w:r>
        <w:t xml:space="preserve">Accommodation </w:t>
      </w:r>
      <w:r w:rsidR="003B255A">
        <w:rPr>
          <w:rFonts w:cs="Arial"/>
        </w:rPr>
        <w:t>-</w:t>
      </w:r>
      <w:r>
        <w:t xml:space="preserve"> facility</w:t>
      </w:r>
      <w:r>
        <w:rPr>
          <w:rFonts w:ascii="Cambria Math" w:hAnsi="Cambria Math" w:cs="Cambria Math"/>
        </w:rPr>
        <w:t>‑</w:t>
      </w:r>
      <w:r>
        <w:t xml:space="preserve">level dissatisfaction with service organisation (KSPA 2010). </w:t>
      </w:r>
      <w:r w:rsidR="005C588F" w:rsidRPr="005C588F">
        <w:rPr>
          <w:b/>
        </w:rPr>
        <w:t xml:space="preserve">Panel </w:t>
      </w:r>
      <w:r w:rsidR="005C588F">
        <w:rPr>
          <w:b/>
        </w:rPr>
        <w:t>c</w:t>
      </w:r>
      <w:r w:rsidR="005C588F" w:rsidRPr="005C588F">
        <w:rPr>
          <w:b/>
        </w:rPr>
        <w:t>)</w:t>
      </w:r>
      <w:r>
        <w:t xml:space="preserve"> Acceptability </w:t>
      </w:r>
      <w:r w:rsidR="003B255A">
        <w:rPr>
          <w:rFonts w:cs="Arial"/>
        </w:rPr>
        <w:t>-</w:t>
      </w:r>
      <w:r>
        <w:t xml:space="preserve"> facility</w:t>
      </w:r>
      <w:r>
        <w:rPr>
          <w:rFonts w:ascii="Cambria Math" w:hAnsi="Cambria Math" w:cs="Cambria Math"/>
        </w:rPr>
        <w:t>‑</w:t>
      </w:r>
      <w:r>
        <w:t xml:space="preserve">level dissatisfaction with service provision (KSPA 2010). </w:t>
      </w:r>
    </w:p>
    <w:p w14:paraId="1B257744" w14:textId="77777777" w:rsidR="008A660B" w:rsidRDefault="008A660B" w:rsidP="007C7C8E"/>
    <w:p w14:paraId="5753486E" w14:textId="13F173AA" w:rsidR="0058428D" w:rsidRDefault="0058428D" w:rsidP="00F05C52">
      <w:pPr>
        <w:pStyle w:val="Figurespace"/>
      </w:pPr>
      <w:r>
        <w:lastRenderedPageBreak/>
        <w:drawing>
          <wp:inline distT="0" distB="0" distL="0" distR="0" wp14:anchorId="30EF0445" wp14:editId="4E6B982E">
            <wp:extent cx="5731510" cy="3594735"/>
            <wp:effectExtent l="0" t="0" r="2540" b="5715"/>
            <wp:docPr id="10908505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50565" name="Picture 10908505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594735"/>
                    </a:xfrm>
                    <a:prstGeom prst="rect">
                      <a:avLst/>
                    </a:prstGeom>
                  </pic:spPr>
                </pic:pic>
              </a:graphicData>
            </a:graphic>
          </wp:inline>
        </w:drawing>
      </w:r>
    </w:p>
    <w:p w14:paraId="111F15A4" w14:textId="2BBC41D0" w:rsidR="004C60D4" w:rsidRPr="00A4409E" w:rsidRDefault="008A660B" w:rsidP="00F05C52">
      <w:pPr>
        <w:pStyle w:val="Figurelabel"/>
        <w:rPr>
          <w:b/>
        </w:rPr>
      </w:pPr>
      <w:r w:rsidRPr="008A660B">
        <w:rPr>
          <w:b/>
        </w:rPr>
        <w:t xml:space="preserve">Supplementary Figure </w:t>
      </w:r>
      <w:r w:rsidR="00D9613A">
        <w:rPr>
          <w:b/>
        </w:rPr>
        <w:t>6</w:t>
      </w:r>
      <w:r w:rsidRPr="008A660B">
        <w:rPr>
          <w:b/>
        </w:rPr>
        <w:t>:</w:t>
      </w:r>
      <w:r>
        <w:t xml:space="preserve"> County</w:t>
      </w:r>
      <w:r>
        <w:rPr>
          <w:rFonts w:ascii="Cambria Math" w:hAnsi="Cambria Math" w:cs="Cambria Math"/>
        </w:rPr>
        <w:t>‑</w:t>
      </w:r>
      <w:r>
        <w:t xml:space="preserve">level summaries from KHHEUS 2018. </w:t>
      </w:r>
      <w:r w:rsidR="0058428D" w:rsidRPr="005C588F">
        <w:rPr>
          <w:b/>
        </w:rPr>
        <w:t>Panel a)</w:t>
      </w:r>
      <w:r w:rsidR="0058428D">
        <w:t xml:space="preserve"> </w:t>
      </w:r>
      <w:r>
        <w:t xml:space="preserve">Satisfaction with service organisation (accommodation). </w:t>
      </w:r>
      <w:r w:rsidR="0058428D" w:rsidRPr="005C588F">
        <w:rPr>
          <w:b/>
        </w:rPr>
        <w:t xml:space="preserve">Panel </w:t>
      </w:r>
      <w:r w:rsidR="0058428D">
        <w:rPr>
          <w:b/>
        </w:rPr>
        <w:t>b</w:t>
      </w:r>
      <w:r w:rsidR="0058428D" w:rsidRPr="005C588F">
        <w:rPr>
          <w:b/>
        </w:rPr>
        <w:t>)</w:t>
      </w:r>
      <w:r>
        <w:t xml:space="preserve"> Satisfaction with service provision (acceptability).</w:t>
      </w:r>
      <w:r w:rsidR="004C60D4" w:rsidRPr="00A4409E">
        <w:rPr>
          <w:b/>
        </w:rPr>
        <w:br w:type="page"/>
      </w:r>
    </w:p>
    <w:p w14:paraId="7BF5A6A9" w14:textId="56487EF9" w:rsidR="007878AD" w:rsidRPr="00A4409E" w:rsidRDefault="00DF3E0B" w:rsidP="007C7C8E">
      <w:pPr>
        <w:pStyle w:val="Heading1"/>
      </w:pPr>
      <w:bookmarkStart w:id="8" w:name="_Toc234333150"/>
      <w:r w:rsidRPr="003A3ADC">
        <w:lastRenderedPageBreak/>
        <w:t>Supplementary</w:t>
      </w:r>
      <w:r w:rsidRPr="004C60D4">
        <w:t xml:space="preserve"> notes </w:t>
      </w:r>
      <w:r w:rsidR="00912130">
        <w:t>3</w:t>
      </w:r>
      <w:r w:rsidRPr="004C60D4">
        <w:t xml:space="preserve">: </w:t>
      </w:r>
      <w:r w:rsidR="0004364C" w:rsidRPr="004C60D4">
        <w:t>Geospatial modelling</w:t>
      </w:r>
      <w:bookmarkEnd w:id="8"/>
    </w:p>
    <w:p w14:paraId="2EB2C09D" w14:textId="574EA792" w:rsidR="00C36049" w:rsidRPr="00AA494C" w:rsidRDefault="003631B6" w:rsidP="007C7C8E">
      <w:pPr>
        <w:pStyle w:val="Heading2"/>
      </w:pPr>
      <w:bookmarkStart w:id="9" w:name="_Toc234333151"/>
      <w:r w:rsidRPr="003A3ADC">
        <w:t>Enhanced</w:t>
      </w:r>
      <w:r w:rsidRPr="00AA494C">
        <w:t xml:space="preserve"> Two </w:t>
      </w:r>
      <w:r w:rsidRPr="00A4409E">
        <w:t>Step</w:t>
      </w:r>
      <w:r w:rsidRPr="00AA494C">
        <w:t xml:space="preserve"> Floating </w:t>
      </w:r>
      <w:r w:rsidRPr="00C35ECE">
        <w:t>Catchment</w:t>
      </w:r>
      <w:r w:rsidRPr="00AA494C">
        <w:t xml:space="preserve"> Area (E2SFCA) for Service Availability</w:t>
      </w:r>
      <w:bookmarkEnd w:id="9"/>
    </w:p>
    <w:p w14:paraId="3EFB3E95" w14:textId="4EE7F6F0" w:rsidR="004012E2" w:rsidRPr="00AA494C" w:rsidRDefault="003A2BE9" w:rsidP="00F05C52">
      <w:pPr>
        <w:pStyle w:val="Figurespace"/>
      </w:pPr>
      <w:r>
        <w:drawing>
          <wp:inline distT="0" distB="0" distL="0" distR="0" wp14:anchorId="33F92596" wp14:editId="2389FF47">
            <wp:extent cx="5731510" cy="3637915"/>
            <wp:effectExtent l="0" t="0" r="2540" b="635"/>
            <wp:docPr id="611580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580257" name="Picture 61158025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637915"/>
                    </a:xfrm>
                    <a:prstGeom prst="rect">
                      <a:avLst/>
                    </a:prstGeom>
                  </pic:spPr>
                </pic:pic>
              </a:graphicData>
            </a:graphic>
          </wp:inline>
        </w:drawing>
      </w:r>
    </w:p>
    <w:p w14:paraId="1547C491" w14:textId="5325CC4A" w:rsidR="00F56A38" w:rsidRPr="006D5BFD" w:rsidRDefault="00C36049" w:rsidP="00F05C52">
      <w:pPr>
        <w:pStyle w:val="Figurelabel"/>
      </w:pPr>
      <w:r w:rsidRPr="00AA494C">
        <w:rPr>
          <w:b/>
        </w:rPr>
        <w:t xml:space="preserve">Supplementary Figure </w:t>
      </w:r>
      <w:r w:rsidR="00D9613A">
        <w:rPr>
          <w:b/>
        </w:rPr>
        <w:t>7</w:t>
      </w:r>
      <w:r w:rsidRPr="00AA494C">
        <w:t xml:space="preserve">: </w:t>
      </w:r>
      <w:r w:rsidR="00455CE6">
        <w:t xml:space="preserve">Spatial distribution of </w:t>
      </w:r>
      <w:r w:rsidR="00455CE6">
        <w:rPr>
          <w:b/>
        </w:rPr>
        <w:t>Panel a)</w:t>
      </w:r>
      <w:r w:rsidR="00455CE6">
        <w:t xml:space="preserve"> Staff and </w:t>
      </w:r>
      <w:r w:rsidR="00455CE6">
        <w:rPr>
          <w:b/>
        </w:rPr>
        <w:t>Panel b)</w:t>
      </w:r>
      <w:r w:rsidR="00C50D6E">
        <w:t xml:space="preserve"> Bed capacity per 10,000 paediatric population (0</w:t>
      </w:r>
      <w:r w:rsidR="003B255A">
        <w:t>-</w:t>
      </w:r>
      <w:r w:rsidR="00C50D6E">
        <w:t>14 years).</w:t>
      </w:r>
    </w:p>
    <w:p w14:paraId="738879EF" w14:textId="3102AB1F" w:rsidR="00F56A38" w:rsidRPr="00AA494C" w:rsidRDefault="00370476" w:rsidP="007C7C8E">
      <w:pPr>
        <w:pStyle w:val="Heading2"/>
      </w:pPr>
      <w:bookmarkStart w:id="10" w:name="_Toc234333152"/>
      <w:r w:rsidRPr="00370476">
        <w:t>Modelling travel time for Geographic Accessibility</w:t>
      </w:r>
      <w:bookmarkEnd w:id="10"/>
    </w:p>
    <w:p w14:paraId="55BAC6DA" w14:textId="0A3FC4FD" w:rsidR="00F56A38" w:rsidRPr="00AA494C" w:rsidRDefault="00F56A38" w:rsidP="007C7C8E">
      <w:r w:rsidRPr="00AA494C">
        <w:t>The following steps were followed to model travel time to the nearest health facility in AccessMod</w:t>
      </w:r>
      <w:r w:rsidR="00745C34">
        <w:t xml:space="preserve"> software</w:t>
      </w:r>
      <w:r w:rsidRPr="00AA494C">
        <w:t>:</w:t>
      </w:r>
    </w:p>
    <w:p w14:paraId="796B6AF0" w14:textId="77777777" w:rsidR="00F56A38" w:rsidRPr="00AA494C" w:rsidRDefault="00F56A38" w:rsidP="007C7C8E">
      <w:pPr>
        <w:pStyle w:val="ListParagraph"/>
        <w:numPr>
          <w:ilvl w:val="0"/>
          <w:numId w:val="1"/>
        </w:numPr>
        <w:ind w:left="425" w:hanging="357"/>
        <w:contextualSpacing w:val="0"/>
      </w:pPr>
      <w:r w:rsidRPr="00AA494C">
        <w:rPr>
          <w:i/>
          <w:iCs/>
          <w:u w:val="single"/>
        </w:rPr>
        <w:t>Friction Surface Creation:</w:t>
      </w:r>
      <w:r w:rsidRPr="00AA494C">
        <w:t xml:space="preserve"> The "Merge Land Cover" module in AccessMod was first used to integrate the road, land use/cover, and barriers data into a single friction raster. </w:t>
      </w:r>
    </w:p>
    <w:p w14:paraId="28F27FE9" w14:textId="0D38A83A" w:rsidR="00F56A38" w:rsidRPr="00AA494C" w:rsidRDefault="00F56A38" w:rsidP="007C7C8E">
      <w:pPr>
        <w:pStyle w:val="ListParagraph"/>
        <w:numPr>
          <w:ilvl w:val="0"/>
          <w:numId w:val="1"/>
        </w:numPr>
        <w:ind w:left="425" w:hanging="357"/>
        <w:contextualSpacing w:val="0"/>
      </w:pPr>
      <w:r w:rsidRPr="00AA494C">
        <w:rPr>
          <w:i/>
          <w:iCs/>
          <w:u w:val="single"/>
        </w:rPr>
        <w:t>Speed Assignment and Mode</w:t>
      </w:r>
      <w:r w:rsidR="003B255A">
        <w:rPr>
          <w:i/>
          <w:iCs/>
          <w:u w:val="single"/>
        </w:rPr>
        <w:t>-</w:t>
      </w:r>
      <w:r w:rsidRPr="00AA494C">
        <w:rPr>
          <w:i/>
          <w:iCs/>
          <w:u w:val="single"/>
        </w:rPr>
        <w:t>Switching:</w:t>
      </w:r>
      <w:r w:rsidRPr="00AA494C">
        <w:t xml:space="preserve"> Travel speeds and modes (walking, </w:t>
      </w:r>
      <w:r w:rsidR="00EE7178">
        <w:t xml:space="preserve">cycling, </w:t>
      </w:r>
      <w:r w:rsidRPr="00AA494C">
        <w:t xml:space="preserve">motorcycle, vehicle) were assigned to each road class and land cover type based on established </w:t>
      </w:r>
      <w:r w:rsidRPr="008C0614">
        <w:t xml:space="preserve">literature </w:t>
      </w:r>
      <w:r w:rsidR="00D4399E">
        <w:t>[7]</w:t>
      </w:r>
      <w:r w:rsidRPr="008C0614">
        <w:t>, as detailed in Supplementary Table 2. To reflect real</w:t>
      </w:r>
      <w:r w:rsidR="003B255A" w:rsidRPr="008C0614">
        <w:t>-</w:t>
      </w:r>
      <w:r w:rsidRPr="008C0614">
        <w:t>world congestion</w:t>
      </w:r>
      <w:r w:rsidR="00EE1437" w:rsidRPr="008C0614">
        <w:t xml:space="preserve"> in urban areas</w:t>
      </w:r>
      <w:r w:rsidRPr="008C0614">
        <w:t>, base speeds for roads within urban areas were reduced by 20%</w:t>
      </w:r>
      <w:r w:rsidR="00DA184C">
        <w:t xml:space="preserve"> </w:t>
      </w:r>
      <w:r w:rsidR="006D1638" w:rsidRPr="006D1638">
        <w:rPr>
          <w:rFonts w:cs="Arial"/>
          <w:color w:val="000000"/>
        </w:rPr>
        <w:t>[</w:t>
      </w:r>
      <w:r w:rsidR="00D4399E">
        <w:rPr>
          <w:rFonts w:cs="Arial"/>
          <w:color w:val="000000"/>
        </w:rPr>
        <w:t>8</w:t>
      </w:r>
      <w:r w:rsidR="006D1638" w:rsidRPr="006D1638">
        <w:rPr>
          <w:rFonts w:cs="Arial"/>
          <w:color w:val="000000"/>
        </w:rPr>
        <w:t>–1</w:t>
      </w:r>
      <w:r w:rsidR="00D4399E">
        <w:rPr>
          <w:rFonts w:cs="Arial"/>
          <w:color w:val="000000"/>
        </w:rPr>
        <w:t>1</w:t>
      </w:r>
      <w:r w:rsidR="006D1638" w:rsidRPr="006D1638">
        <w:rPr>
          <w:rFonts w:cs="Arial"/>
          <w:color w:val="000000"/>
        </w:rPr>
        <w:t>]</w:t>
      </w:r>
      <w:r w:rsidRPr="008C0614">
        <w:t>. The travel scenario</w:t>
      </w:r>
      <w:r w:rsidRPr="00AA494C">
        <w:t xml:space="preserve"> assumed a care</w:t>
      </w:r>
      <w:r w:rsidR="003B255A">
        <w:t>-</w:t>
      </w:r>
      <w:r w:rsidRPr="00AA494C">
        <w:t>seeker follows the pathway of least travel time. On this pathway, the care</w:t>
      </w:r>
      <w:r w:rsidR="003B255A">
        <w:t>-</w:t>
      </w:r>
      <w:r w:rsidRPr="00AA494C">
        <w:t>seeker’s mode of transport is determined by the underlying land cover (e.g., walking over land use/cover surfaces assigned walking mode, using motorized transport over drivable surfaces), with automatic switching between modes permitted to achieve the fastest route.</w:t>
      </w:r>
    </w:p>
    <w:p w14:paraId="7F646C9D" w14:textId="38460EA6" w:rsidR="00F56A38" w:rsidRPr="006F1A09" w:rsidRDefault="00F56A38" w:rsidP="006F1A09">
      <w:pPr>
        <w:pStyle w:val="ListParagraph"/>
        <w:numPr>
          <w:ilvl w:val="0"/>
          <w:numId w:val="1"/>
        </w:numPr>
        <w:ind w:left="360" w:hanging="357"/>
        <w:contextualSpacing w:val="0"/>
        <w:rPr>
          <w:b/>
          <w:bCs/>
        </w:rPr>
      </w:pPr>
      <w:r w:rsidRPr="00AA494C">
        <w:rPr>
          <w:i/>
          <w:iCs/>
          <w:u w:val="single"/>
        </w:rPr>
        <w:t>Travel Time Computation and Output:</w:t>
      </w:r>
      <w:r w:rsidRPr="00AA494C">
        <w:t xml:space="preserve"> Travel time to the nearest facility was calculated using an anisotropic least</w:t>
      </w:r>
      <w:r w:rsidR="003B255A">
        <w:t>-</w:t>
      </w:r>
      <w:r w:rsidRPr="00AA494C">
        <w:t>cost path algorithm. This algorithm incorporates the digital elevation model (DEM) to adjust walking</w:t>
      </w:r>
      <w:r w:rsidR="00315C37" w:rsidRPr="00AA494C">
        <w:t xml:space="preserve"> </w:t>
      </w:r>
      <w:r w:rsidRPr="00AA494C">
        <w:t xml:space="preserve">speeds for slope according to Tobler's hiking </w:t>
      </w:r>
      <w:r w:rsidRPr="00AA494C">
        <w:lastRenderedPageBreak/>
        <w:t>function</w:t>
      </w:r>
      <w:r w:rsidR="00C25C99">
        <w:t>, while cycling speeds were adjusted using slope</w:t>
      </w:r>
      <w:r w:rsidR="00C25C99" w:rsidRPr="007D17C0">
        <w:t xml:space="preserve">-based power correction that limits downhill speed increases to a maximum of twice the flat-surface speed </w:t>
      </w:r>
      <w:r w:rsidR="006D1638" w:rsidRPr="007D17C0">
        <w:rPr>
          <w:rFonts w:cs="Arial"/>
          <w:color w:val="000000"/>
        </w:rPr>
        <w:t>[1</w:t>
      </w:r>
      <w:r w:rsidR="00D4399E">
        <w:rPr>
          <w:rFonts w:cs="Arial"/>
          <w:color w:val="000000"/>
        </w:rPr>
        <w:t>2</w:t>
      </w:r>
      <w:r w:rsidR="006D1638" w:rsidRPr="007D17C0">
        <w:rPr>
          <w:rFonts w:cs="Arial"/>
          <w:color w:val="000000"/>
        </w:rPr>
        <w:t>,1</w:t>
      </w:r>
      <w:r w:rsidR="00D4399E">
        <w:rPr>
          <w:rFonts w:cs="Arial"/>
          <w:color w:val="000000"/>
        </w:rPr>
        <w:t>3</w:t>
      </w:r>
      <w:r w:rsidR="00C25C99" w:rsidRPr="007D17C0">
        <w:rPr>
          <w:rFonts w:cs="Arial"/>
          <w:color w:val="000000"/>
        </w:rPr>
        <w:t>]</w:t>
      </w:r>
      <w:r w:rsidRPr="007D17C0">
        <w:t xml:space="preserve">. The final output </w:t>
      </w:r>
      <w:r w:rsidR="00C12027" w:rsidRPr="007D17C0">
        <w:t>wa</w:t>
      </w:r>
      <w:r w:rsidRPr="007D17C0">
        <w:t>s a raster surface where each pixel value represents</w:t>
      </w:r>
      <w:r w:rsidRPr="00AA494C">
        <w:t xml:space="preserve"> the estimated travel time (in minutes) to the closest eligible facility.</w:t>
      </w:r>
    </w:p>
    <w:p w14:paraId="4AA7D020" w14:textId="77777777" w:rsidR="00F56A38" w:rsidRPr="00AA494C" w:rsidRDefault="00F56A38" w:rsidP="00F05C52">
      <w:pPr>
        <w:pStyle w:val="Tablelabel"/>
        <w:rPr>
          <w:i/>
          <w:iCs/>
        </w:rPr>
      </w:pPr>
      <w:bookmarkStart w:id="11" w:name="_Hlk218761295"/>
      <w:r w:rsidRPr="00AA494C">
        <w:rPr>
          <w:b/>
          <w:bCs/>
        </w:rPr>
        <w:t>Supplementary Table 2</w:t>
      </w:r>
      <w:bookmarkEnd w:id="11"/>
      <w:r w:rsidRPr="00AA494C">
        <w:rPr>
          <w:b/>
          <w:bCs/>
        </w:rPr>
        <w:t>:</w:t>
      </w:r>
      <w:r w:rsidRPr="00AA494C">
        <w:t xml:space="preserve"> Land cover and road classes and assigned speeds</w:t>
      </w:r>
    </w:p>
    <w:tbl>
      <w:tblPr>
        <w:tblStyle w:val="TableGrid"/>
        <w:tblW w:w="8217" w:type="dxa"/>
        <w:jc w:val="center"/>
        <w:tblLook w:val="04A0" w:firstRow="1" w:lastRow="0" w:firstColumn="1" w:lastColumn="0" w:noHBand="0" w:noVBand="1"/>
      </w:tblPr>
      <w:tblGrid>
        <w:gridCol w:w="1864"/>
        <w:gridCol w:w="773"/>
        <w:gridCol w:w="2020"/>
        <w:gridCol w:w="1859"/>
        <w:gridCol w:w="1701"/>
      </w:tblGrid>
      <w:tr w:rsidR="00F56A38" w:rsidRPr="00D474BB" w14:paraId="49DF06AD" w14:textId="77777777" w:rsidTr="00D474BB">
        <w:trPr>
          <w:trHeight w:val="290"/>
          <w:jc w:val="center"/>
        </w:trPr>
        <w:tc>
          <w:tcPr>
            <w:tcW w:w="1864" w:type="dxa"/>
            <w:vAlign w:val="center"/>
          </w:tcPr>
          <w:p w14:paraId="22E836AA"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4185E5D5" w14:textId="77777777" w:rsidR="00F56A38" w:rsidRPr="00D474BB" w:rsidRDefault="00F56A38" w:rsidP="00D474BB">
            <w:pPr>
              <w:spacing w:before="60" w:after="60"/>
              <w:rPr>
                <w:rFonts w:eastAsia="Times New Roman" w:cs="Arial"/>
                <w:b/>
                <w:bCs/>
                <w:color w:val="000000"/>
                <w:kern w:val="0"/>
                <w:sz w:val="20"/>
                <w:szCs w:val="20"/>
                <w14:ligatures w14:val="none"/>
              </w:rPr>
            </w:pPr>
            <w:r w:rsidRPr="00D474BB">
              <w:rPr>
                <w:rFonts w:eastAsia="Times New Roman" w:cs="Arial"/>
                <w:b/>
                <w:bCs/>
                <w:color w:val="000000"/>
                <w:kern w:val="0"/>
                <w:sz w:val="20"/>
                <w:szCs w:val="20"/>
                <w14:ligatures w14:val="none"/>
              </w:rPr>
              <w:t>Class</w:t>
            </w:r>
          </w:p>
        </w:tc>
        <w:tc>
          <w:tcPr>
            <w:tcW w:w="2020" w:type="dxa"/>
            <w:noWrap/>
            <w:vAlign w:val="center"/>
            <w:hideMark/>
          </w:tcPr>
          <w:p w14:paraId="48CF008F" w14:textId="77777777" w:rsidR="00F56A38" w:rsidRPr="00D474BB" w:rsidRDefault="00F56A38" w:rsidP="00D474BB">
            <w:pPr>
              <w:spacing w:before="60" w:after="60"/>
              <w:rPr>
                <w:rFonts w:eastAsia="Times New Roman" w:cs="Arial"/>
                <w:b/>
                <w:bCs/>
                <w:color w:val="000000"/>
                <w:kern w:val="0"/>
                <w:sz w:val="20"/>
                <w:szCs w:val="20"/>
                <w14:ligatures w14:val="none"/>
              </w:rPr>
            </w:pPr>
            <w:r w:rsidRPr="00D474BB">
              <w:rPr>
                <w:rFonts w:eastAsia="Times New Roman" w:cs="Arial"/>
                <w:b/>
                <w:bCs/>
                <w:color w:val="000000"/>
                <w:kern w:val="0"/>
                <w:sz w:val="20"/>
                <w:szCs w:val="20"/>
                <w14:ligatures w14:val="none"/>
              </w:rPr>
              <w:t>Label</w:t>
            </w:r>
          </w:p>
        </w:tc>
        <w:tc>
          <w:tcPr>
            <w:tcW w:w="1859" w:type="dxa"/>
            <w:noWrap/>
            <w:vAlign w:val="center"/>
            <w:hideMark/>
          </w:tcPr>
          <w:p w14:paraId="4855422B" w14:textId="13732482" w:rsidR="00F56A38" w:rsidRPr="00D474BB" w:rsidRDefault="00F56A38" w:rsidP="00D474BB">
            <w:pPr>
              <w:spacing w:before="60" w:after="60"/>
              <w:rPr>
                <w:rFonts w:eastAsia="Times New Roman" w:cs="Arial"/>
                <w:b/>
                <w:bCs/>
                <w:color w:val="000000"/>
                <w:kern w:val="0"/>
                <w:sz w:val="20"/>
                <w:szCs w:val="20"/>
                <w14:ligatures w14:val="none"/>
              </w:rPr>
            </w:pPr>
            <w:r w:rsidRPr="00D474BB">
              <w:rPr>
                <w:rFonts w:eastAsia="Times New Roman" w:cs="Arial"/>
                <w:b/>
                <w:bCs/>
                <w:color w:val="000000"/>
                <w:kern w:val="0"/>
                <w:sz w:val="20"/>
                <w:szCs w:val="20"/>
                <w14:ligatures w14:val="none"/>
              </w:rPr>
              <w:t>Speed</w:t>
            </w:r>
            <w:r w:rsidR="00D474BB" w:rsidRPr="00D474BB">
              <w:rPr>
                <w:rFonts w:eastAsia="Times New Roman" w:cs="Arial"/>
                <w:b/>
                <w:bCs/>
                <w:color w:val="000000"/>
                <w:kern w:val="0"/>
                <w:sz w:val="20"/>
                <w:szCs w:val="20"/>
                <w14:ligatures w14:val="none"/>
              </w:rPr>
              <w:t xml:space="preserve"> (Km/Hr)</w:t>
            </w:r>
          </w:p>
        </w:tc>
        <w:tc>
          <w:tcPr>
            <w:tcW w:w="1701" w:type="dxa"/>
            <w:noWrap/>
            <w:vAlign w:val="center"/>
            <w:hideMark/>
          </w:tcPr>
          <w:p w14:paraId="09D84BC2" w14:textId="77777777" w:rsidR="00F56A38" w:rsidRPr="00D474BB" w:rsidRDefault="00F56A38" w:rsidP="00D474BB">
            <w:pPr>
              <w:spacing w:before="60" w:after="60"/>
              <w:rPr>
                <w:rFonts w:eastAsia="Times New Roman" w:cs="Arial"/>
                <w:b/>
                <w:bCs/>
                <w:color w:val="000000"/>
                <w:kern w:val="0"/>
                <w:sz w:val="20"/>
                <w:szCs w:val="20"/>
                <w14:ligatures w14:val="none"/>
              </w:rPr>
            </w:pPr>
            <w:r w:rsidRPr="00D474BB">
              <w:rPr>
                <w:rFonts w:eastAsia="Times New Roman" w:cs="Arial"/>
                <w:b/>
                <w:bCs/>
                <w:color w:val="000000"/>
                <w:kern w:val="0"/>
                <w:sz w:val="20"/>
                <w:szCs w:val="20"/>
                <w14:ligatures w14:val="none"/>
              </w:rPr>
              <w:t>Mode</w:t>
            </w:r>
          </w:p>
        </w:tc>
      </w:tr>
      <w:tr w:rsidR="00F56A38" w:rsidRPr="00AA494C" w14:paraId="284207A1" w14:textId="77777777" w:rsidTr="00D474BB">
        <w:trPr>
          <w:trHeight w:val="320"/>
          <w:jc w:val="center"/>
        </w:trPr>
        <w:tc>
          <w:tcPr>
            <w:tcW w:w="1864" w:type="dxa"/>
            <w:vMerge w:val="restart"/>
            <w:vAlign w:val="center"/>
          </w:tcPr>
          <w:p w14:paraId="0C0FF357" w14:textId="77777777" w:rsidR="00F56A38" w:rsidRPr="00D474BB" w:rsidRDefault="00F56A38" w:rsidP="00D474BB">
            <w:pPr>
              <w:spacing w:before="60" w:after="60"/>
              <w:rPr>
                <w:rFonts w:eastAsia="Times New Roman" w:cs="Arial"/>
                <w:b/>
                <w:bCs/>
                <w:color w:val="000000"/>
                <w:kern w:val="0"/>
                <w:sz w:val="20"/>
                <w:szCs w:val="20"/>
                <w14:ligatures w14:val="none"/>
              </w:rPr>
            </w:pPr>
            <w:r w:rsidRPr="00D474BB">
              <w:rPr>
                <w:rFonts w:eastAsia="Times New Roman" w:cs="Arial"/>
                <w:b/>
                <w:bCs/>
                <w:color w:val="000000"/>
                <w:kern w:val="0"/>
                <w:sz w:val="20"/>
                <w:szCs w:val="20"/>
                <w14:ligatures w14:val="none"/>
              </w:rPr>
              <w:t>Land use/cover</w:t>
            </w:r>
          </w:p>
        </w:tc>
        <w:tc>
          <w:tcPr>
            <w:tcW w:w="773" w:type="dxa"/>
            <w:noWrap/>
            <w:vAlign w:val="center"/>
            <w:hideMark/>
          </w:tcPr>
          <w:p w14:paraId="5AF717F0"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w:t>
            </w:r>
          </w:p>
        </w:tc>
        <w:tc>
          <w:tcPr>
            <w:tcW w:w="2020" w:type="dxa"/>
            <w:vAlign w:val="center"/>
            <w:hideMark/>
          </w:tcPr>
          <w:p w14:paraId="545E2907"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Water</w:t>
            </w:r>
          </w:p>
        </w:tc>
        <w:tc>
          <w:tcPr>
            <w:tcW w:w="1859" w:type="dxa"/>
            <w:noWrap/>
            <w:vAlign w:val="center"/>
            <w:hideMark/>
          </w:tcPr>
          <w:p w14:paraId="3B58DF63"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0.0001</w:t>
            </w:r>
          </w:p>
        </w:tc>
        <w:tc>
          <w:tcPr>
            <w:tcW w:w="1701" w:type="dxa"/>
            <w:noWrap/>
            <w:vAlign w:val="center"/>
            <w:hideMark/>
          </w:tcPr>
          <w:p w14:paraId="5B7EBDBE"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28730914" w14:textId="77777777" w:rsidTr="00D474BB">
        <w:trPr>
          <w:trHeight w:val="320"/>
          <w:jc w:val="center"/>
        </w:trPr>
        <w:tc>
          <w:tcPr>
            <w:tcW w:w="1864" w:type="dxa"/>
            <w:vMerge/>
            <w:vAlign w:val="center"/>
          </w:tcPr>
          <w:p w14:paraId="082B6AA8"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04A7673B"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2</w:t>
            </w:r>
          </w:p>
        </w:tc>
        <w:tc>
          <w:tcPr>
            <w:tcW w:w="2020" w:type="dxa"/>
            <w:vAlign w:val="center"/>
            <w:hideMark/>
          </w:tcPr>
          <w:p w14:paraId="252FFEC1"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Trees</w:t>
            </w:r>
          </w:p>
        </w:tc>
        <w:tc>
          <w:tcPr>
            <w:tcW w:w="1859" w:type="dxa"/>
            <w:noWrap/>
            <w:vAlign w:val="center"/>
            <w:hideMark/>
          </w:tcPr>
          <w:p w14:paraId="3D4CEE0E"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2.5</w:t>
            </w:r>
          </w:p>
        </w:tc>
        <w:tc>
          <w:tcPr>
            <w:tcW w:w="1701" w:type="dxa"/>
            <w:noWrap/>
            <w:vAlign w:val="center"/>
            <w:hideMark/>
          </w:tcPr>
          <w:p w14:paraId="4B5574EA"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38A4BF49" w14:textId="77777777" w:rsidTr="00D474BB">
        <w:trPr>
          <w:trHeight w:val="320"/>
          <w:jc w:val="center"/>
        </w:trPr>
        <w:tc>
          <w:tcPr>
            <w:tcW w:w="1864" w:type="dxa"/>
            <w:vMerge/>
            <w:vAlign w:val="center"/>
          </w:tcPr>
          <w:p w14:paraId="60301676"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2FDA90AC"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4</w:t>
            </w:r>
          </w:p>
        </w:tc>
        <w:tc>
          <w:tcPr>
            <w:tcW w:w="2020" w:type="dxa"/>
            <w:vAlign w:val="center"/>
            <w:hideMark/>
          </w:tcPr>
          <w:p w14:paraId="6EECEE39"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Flooded vegetation</w:t>
            </w:r>
          </w:p>
        </w:tc>
        <w:tc>
          <w:tcPr>
            <w:tcW w:w="1859" w:type="dxa"/>
            <w:noWrap/>
            <w:vAlign w:val="center"/>
            <w:hideMark/>
          </w:tcPr>
          <w:p w14:paraId="127BF573"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0.0001</w:t>
            </w:r>
          </w:p>
        </w:tc>
        <w:tc>
          <w:tcPr>
            <w:tcW w:w="1701" w:type="dxa"/>
            <w:noWrap/>
            <w:vAlign w:val="center"/>
            <w:hideMark/>
          </w:tcPr>
          <w:p w14:paraId="3883F041"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3D66F1BD" w14:textId="77777777" w:rsidTr="00D474BB">
        <w:trPr>
          <w:trHeight w:val="320"/>
          <w:jc w:val="center"/>
        </w:trPr>
        <w:tc>
          <w:tcPr>
            <w:tcW w:w="1864" w:type="dxa"/>
            <w:vMerge/>
            <w:vAlign w:val="center"/>
          </w:tcPr>
          <w:p w14:paraId="234B2CE9"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1606B4D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5</w:t>
            </w:r>
          </w:p>
        </w:tc>
        <w:tc>
          <w:tcPr>
            <w:tcW w:w="2020" w:type="dxa"/>
            <w:vAlign w:val="center"/>
            <w:hideMark/>
          </w:tcPr>
          <w:p w14:paraId="1A559AC4"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Crops</w:t>
            </w:r>
          </w:p>
        </w:tc>
        <w:tc>
          <w:tcPr>
            <w:tcW w:w="1859" w:type="dxa"/>
            <w:noWrap/>
            <w:vAlign w:val="center"/>
            <w:hideMark/>
          </w:tcPr>
          <w:p w14:paraId="611F1D2E"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2.5</w:t>
            </w:r>
          </w:p>
        </w:tc>
        <w:tc>
          <w:tcPr>
            <w:tcW w:w="1701" w:type="dxa"/>
            <w:noWrap/>
            <w:vAlign w:val="center"/>
            <w:hideMark/>
          </w:tcPr>
          <w:p w14:paraId="01AF4E99"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72895406" w14:textId="77777777" w:rsidTr="00D474BB">
        <w:trPr>
          <w:trHeight w:val="320"/>
          <w:jc w:val="center"/>
        </w:trPr>
        <w:tc>
          <w:tcPr>
            <w:tcW w:w="1864" w:type="dxa"/>
            <w:vMerge/>
            <w:vAlign w:val="center"/>
          </w:tcPr>
          <w:p w14:paraId="3154B54F"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19BC536B"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7</w:t>
            </w:r>
          </w:p>
        </w:tc>
        <w:tc>
          <w:tcPr>
            <w:tcW w:w="2020" w:type="dxa"/>
            <w:vAlign w:val="center"/>
            <w:hideMark/>
          </w:tcPr>
          <w:p w14:paraId="68D900CB"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Built area</w:t>
            </w:r>
          </w:p>
        </w:tc>
        <w:tc>
          <w:tcPr>
            <w:tcW w:w="1859" w:type="dxa"/>
            <w:noWrap/>
            <w:vAlign w:val="center"/>
            <w:hideMark/>
          </w:tcPr>
          <w:p w14:paraId="68004C2D"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5</w:t>
            </w:r>
          </w:p>
        </w:tc>
        <w:tc>
          <w:tcPr>
            <w:tcW w:w="1701" w:type="dxa"/>
            <w:noWrap/>
            <w:vAlign w:val="center"/>
            <w:hideMark/>
          </w:tcPr>
          <w:p w14:paraId="6E7751C8"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1B093066" w14:textId="77777777" w:rsidTr="00D474BB">
        <w:trPr>
          <w:trHeight w:val="320"/>
          <w:jc w:val="center"/>
        </w:trPr>
        <w:tc>
          <w:tcPr>
            <w:tcW w:w="1864" w:type="dxa"/>
            <w:vMerge/>
            <w:vAlign w:val="center"/>
          </w:tcPr>
          <w:p w14:paraId="19695973"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79996093"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8</w:t>
            </w:r>
          </w:p>
        </w:tc>
        <w:tc>
          <w:tcPr>
            <w:tcW w:w="2020" w:type="dxa"/>
            <w:vAlign w:val="center"/>
            <w:hideMark/>
          </w:tcPr>
          <w:p w14:paraId="0C1AD267"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Bare ground</w:t>
            </w:r>
          </w:p>
        </w:tc>
        <w:tc>
          <w:tcPr>
            <w:tcW w:w="1859" w:type="dxa"/>
            <w:noWrap/>
            <w:vAlign w:val="center"/>
            <w:hideMark/>
          </w:tcPr>
          <w:p w14:paraId="7C067B94"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5</w:t>
            </w:r>
          </w:p>
        </w:tc>
        <w:tc>
          <w:tcPr>
            <w:tcW w:w="1701" w:type="dxa"/>
            <w:noWrap/>
            <w:vAlign w:val="center"/>
            <w:hideMark/>
          </w:tcPr>
          <w:p w14:paraId="1FBFC585"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0DDCE921" w14:textId="77777777" w:rsidTr="00D474BB">
        <w:trPr>
          <w:trHeight w:val="320"/>
          <w:jc w:val="center"/>
        </w:trPr>
        <w:tc>
          <w:tcPr>
            <w:tcW w:w="1864" w:type="dxa"/>
            <w:vMerge/>
            <w:vAlign w:val="center"/>
          </w:tcPr>
          <w:p w14:paraId="4A926B8E"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6E3510C2"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9</w:t>
            </w:r>
          </w:p>
        </w:tc>
        <w:tc>
          <w:tcPr>
            <w:tcW w:w="2020" w:type="dxa"/>
            <w:vAlign w:val="center"/>
            <w:hideMark/>
          </w:tcPr>
          <w:p w14:paraId="04D0CB15"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Snow ice</w:t>
            </w:r>
          </w:p>
        </w:tc>
        <w:tc>
          <w:tcPr>
            <w:tcW w:w="1859" w:type="dxa"/>
            <w:noWrap/>
            <w:vAlign w:val="center"/>
            <w:hideMark/>
          </w:tcPr>
          <w:p w14:paraId="590B879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0.0001</w:t>
            </w:r>
          </w:p>
        </w:tc>
        <w:tc>
          <w:tcPr>
            <w:tcW w:w="1701" w:type="dxa"/>
            <w:noWrap/>
            <w:vAlign w:val="center"/>
            <w:hideMark/>
          </w:tcPr>
          <w:p w14:paraId="2A5EB1E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70860A15" w14:textId="77777777" w:rsidTr="00D474BB">
        <w:trPr>
          <w:trHeight w:val="320"/>
          <w:jc w:val="center"/>
        </w:trPr>
        <w:tc>
          <w:tcPr>
            <w:tcW w:w="1864" w:type="dxa"/>
            <w:vMerge/>
            <w:vAlign w:val="center"/>
          </w:tcPr>
          <w:p w14:paraId="6EE85F84"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63A5448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w:t>
            </w:r>
          </w:p>
        </w:tc>
        <w:tc>
          <w:tcPr>
            <w:tcW w:w="2020" w:type="dxa"/>
            <w:vAlign w:val="center"/>
            <w:hideMark/>
          </w:tcPr>
          <w:p w14:paraId="56441AA8"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Clouds</w:t>
            </w:r>
          </w:p>
        </w:tc>
        <w:tc>
          <w:tcPr>
            <w:tcW w:w="1859" w:type="dxa"/>
            <w:noWrap/>
            <w:vAlign w:val="center"/>
            <w:hideMark/>
          </w:tcPr>
          <w:p w14:paraId="0DBF90C7"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0.0001</w:t>
            </w:r>
          </w:p>
        </w:tc>
        <w:tc>
          <w:tcPr>
            <w:tcW w:w="1701" w:type="dxa"/>
            <w:noWrap/>
            <w:vAlign w:val="center"/>
            <w:hideMark/>
          </w:tcPr>
          <w:p w14:paraId="0921CB6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0A5C218D" w14:textId="77777777" w:rsidTr="00D474BB">
        <w:trPr>
          <w:trHeight w:val="320"/>
          <w:jc w:val="center"/>
        </w:trPr>
        <w:tc>
          <w:tcPr>
            <w:tcW w:w="1864" w:type="dxa"/>
            <w:vMerge/>
            <w:vAlign w:val="center"/>
          </w:tcPr>
          <w:p w14:paraId="613DC0A3" w14:textId="77777777" w:rsidR="00F56A38" w:rsidRPr="00D474BB" w:rsidRDefault="00F56A38" w:rsidP="00D474BB">
            <w:pPr>
              <w:spacing w:before="60" w:after="60"/>
              <w:rPr>
                <w:rFonts w:eastAsia="Times New Roman" w:cs="Arial"/>
                <w:b/>
                <w:bCs/>
                <w:color w:val="000000"/>
                <w:kern w:val="0"/>
                <w:sz w:val="20"/>
                <w:szCs w:val="20"/>
                <w14:ligatures w14:val="none"/>
              </w:rPr>
            </w:pPr>
          </w:p>
        </w:tc>
        <w:tc>
          <w:tcPr>
            <w:tcW w:w="773" w:type="dxa"/>
            <w:noWrap/>
            <w:vAlign w:val="center"/>
            <w:hideMark/>
          </w:tcPr>
          <w:p w14:paraId="1914148B"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11</w:t>
            </w:r>
          </w:p>
        </w:tc>
        <w:tc>
          <w:tcPr>
            <w:tcW w:w="2020" w:type="dxa"/>
            <w:vAlign w:val="center"/>
            <w:hideMark/>
          </w:tcPr>
          <w:p w14:paraId="3264DE7B"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Rangeland</w:t>
            </w:r>
          </w:p>
        </w:tc>
        <w:tc>
          <w:tcPr>
            <w:tcW w:w="1859" w:type="dxa"/>
            <w:noWrap/>
            <w:vAlign w:val="center"/>
            <w:hideMark/>
          </w:tcPr>
          <w:p w14:paraId="62B7E12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4.5</w:t>
            </w:r>
          </w:p>
        </w:tc>
        <w:tc>
          <w:tcPr>
            <w:tcW w:w="1701" w:type="dxa"/>
            <w:noWrap/>
            <w:vAlign w:val="center"/>
            <w:hideMark/>
          </w:tcPr>
          <w:p w14:paraId="4346B35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6AF70EAF" w14:textId="77777777" w:rsidTr="00D474BB">
        <w:trPr>
          <w:trHeight w:val="320"/>
          <w:jc w:val="center"/>
        </w:trPr>
        <w:tc>
          <w:tcPr>
            <w:tcW w:w="1864" w:type="dxa"/>
            <w:vMerge w:val="restart"/>
            <w:vAlign w:val="center"/>
          </w:tcPr>
          <w:p w14:paraId="0B7FD021" w14:textId="77777777" w:rsidR="00F56A38" w:rsidRPr="00D474BB" w:rsidRDefault="00F56A38" w:rsidP="00D474BB">
            <w:pPr>
              <w:spacing w:before="60" w:after="60"/>
              <w:rPr>
                <w:rFonts w:eastAsia="Times New Roman" w:cs="Arial"/>
                <w:b/>
                <w:bCs/>
                <w:color w:val="000000"/>
                <w:kern w:val="0"/>
                <w:sz w:val="20"/>
                <w:szCs w:val="20"/>
                <w14:ligatures w14:val="none"/>
              </w:rPr>
            </w:pPr>
            <w:r w:rsidRPr="00D474BB">
              <w:rPr>
                <w:rFonts w:eastAsia="Times New Roman" w:cs="Arial"/>
                <w:b/>
                <w:bCs/>
                <w:color w:val="000000"/>
                <w:kern w:val="0"/>
                <w:sz w:val="20"/>
                <w:szCs w:val="20"/>
                <w14:ligatures w14:val="none"/>
              </w:rPr>
              <w:t>Road classes</w:t>
            </w:r>
          </w:p>
        </w:tc>
        <w:tc>
          <w:tcPr>
            <w:tcW w:w="773" w:type="dxa"/>
            <w:noWrap/>
            <w:vAlign w:val="center"/>
            <w:hideMark/>
          </w:tcPr>
          <w:p w14:paraId="4160346A"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1001</w:t>
            </w:r>
          </w:p>
        </w:tc>
        <w:tc>
          <w:tcPr>
            <w:tcW w:w="2020" w:type="dxa"/>
            <w:noWrap/>
            <w:vAlign w:val="center"/>
            <w:hideMark/>
          </w:tcPr>
          <w:p w14:paraId="22C7A9B7" w14:textId="2DEA0A90"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Primary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rural</w:t>
            </w:r>
            <w:r w:rsidR="00D474BB">
              <w:rPr>
                <w:rFonts w:eastAsia="Times New Roman" w:cs="Arial"/>
                <w:color w:val="000000"/>
                <w:kern w:val="0"/>
                <w:sz w:val="20"/>
                <w:szCs w:val="20"/>
                <w14:ligatures w14:val="none"/>
              </w:rPr>
              <w:t>)</w:t>
            </w:r>
          </w:p>
        </w:tc>
        <w:tc>
          <w:tcPr>
            <w:tcW w:w="1859" w:type="dxa"/>
            <w:noWrap/>
            <w:vAlign w:val="center"/>
            <w:hideMark/>
          </w:tcPr>
          <w:p w14:paraId="60C697D6"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50</w:t>
            </w:r>
          </w:p>
        </w:tc>
        <w:tc>
          <w:tcPr>
            <w:tcW w:w="1701" w:type="dxa"/>
            <w:noWrap/>
            <w:vAlign w:val="center"/>
            <w:hideMark/>
          </w:tcPr>
          <w:p w14:paraId="3DBBDC16"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MOTORIZED</w:t>
            </w:r>
          </w:p>
        </w:tc>
      </w:tr>
      <w:tr w:rsidR="00F56A38" w:rsidRPr="00AA494C" w14:paraId="2AB24F90" w14:textId="77777777" w:rsidTr="00D474BB">
        <w:trPr>
          <w:trHeight w:val="320"/>
          <w:jc w:val="center"/>
        </w:trPr>
        <w:tc>
          <w:tcPr>
            <w:tcW w:w="1864" w:type="dxa"/>
            <w:vMerge/>
            <w:vAlign w:val="center"/>
          </w:tcPr>
          <w:p w14:paraId="22FB2F7C"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19596EB5"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1002</w:t>
            </w:r>
          </w:p>
        </w:tc>
        <w:tc>
          <w:tcPr>
            <w:tcW w:w="2020" w:type="dxa"/>
            <w:noWrap/>
            <w:vAlign w:val="center"/>
            <w:hideMark/>
          </w:tcPr>
          <w:p w14:paraId="16F8D43F" w14:textId="5C94164A"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Secondary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rural</w:t>
            </w:r>
            <w:r w:rsidR="00D474BB">
              <w:rPr>
                <w:rFonts w:eastAsia="Times New Roman" w:cs="Arial"/>
                <w:color w:val="000000"/>
                <w:kern w:val="0"/>
                <w:sz w:val="20"/>
                <w:szCs w:val="20"/>
                <w14:ligatures w14:val="none"/>
              </w:rPr>
              <w:t>)</w:t>
            </w:r>
          </w:p>
        </w:tc>
        <w:tc>
          <w:tcPr>
            <w:tcW w:w="1859" w:type="dxa"/>
            <w:noWrap/>
            <w:vAlign w:val="center"/>
            <w:hideMark/>
          </w:tcPr>
          <w:p w14:paraId="62F33B18"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30</w:t>
            </w:r>
          </w:p>
        </w:tc>
        <w:tc>
          <w:tcPr>
            <w:tcW w:w="1701" w:type="dxa"/>
            <w:noWrap/>
            <w:vAlign w:val="center"/>
            <w:hideMark/>
          </w:tcPr>
          <w:p w14:paraId="282EE921"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MOTORIZED</w:t>
            </w:r>
          </w:p>
        </w:tc>
      </w:tr>
      <w:tr w:rsidR="00F56A38" w:rsidRPr="00AA494C" w14:paraId="6913085E" w14:textId="77777777" w:rsidTr="00D474BB">
        <w:trPr>
          <w:trHeight w:val="320"/>
          <w:jc w:val="center"/>
        </w:trPr>
        <w:tc>
          <w:tcPr>
            <w:tcW w:w="1864" w:type="dxa"/>
            <w:vMerge/>
            <w:vAlign w:val="center"/>
          </w:tcPr>
          <w:p w14:paraId="15A3001C"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2947FFE0"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1003</w:t>
            </w:r>
          </w:p>
        </w:tc>
        <w:tc>
          <w:tcPr>
            <w:tcW w:w="2020" w:type="dxa"/>
            <w:noWrap/>
            <w:vAlign w:val="center"/>
            <w:hideMark/>
          </w:tcPr>
          <w:p w14:paraId="4A2FF5B6" w14:textId="729017C0"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County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rural</w:t>
            </w:r>
            <w:r w:rsidR="00D474BB">
              <w:rPr>
                <w:rFonts w:eastAsia="Times New Roman" w:cs="Arial"/>
                <w:color w:val="000000"/>
                <w:kern w:val="0"/>
                <w:sz w:val="20"/>
                <w:szCs w:val="20"/>
                <w14:ligatures w14:val="none"/>
              </w:rPr>
              <w:t>)</w:t>
            </w:r>
          </w:p>
        </w:tc>
        <w:tc>
          <w:tcPr>
            <w:tcW w:w="1859" w:type="dxa"/>
            <w:noWrap/>
            <w:vAlign w:val="center"/>
            <w:hideMark/>
          </w:tcPr>
          <w:p w14:paraId="2CF22FF1"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w:t>
            </w:r>
          </w:p>
        </w:tc>
        <w:tc>
          <w:tcPr>
            <w:tcW w:w="1701" w:type="dxa"/>
            <w:noWrap/>
            <w:vAlign w:val="center"/>
            <w:hideMark/>
          </w:tcPr>
          <w:p w14:paraId="62260EC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BICYCLING</w:t>
            </w:r>
          </w:p>
        </w:tc>
      </w:tr>
      <w:tr w:rsidR="00F56A38" w:rsidRPr="00AA494C" w14:paraId="037071BA" w14:textId="77777777" w:rsidTr="00D474BB">
        <w:trPr>
          <w:trHeight w:val="320"/>
          <w:jc w:val="center"/>
        </w:trPr>
        <w:tc>
          <w:tcPr>
            <w:tcW w:w="1864" w:type="dxa"/>
            <w:vMerge/>
            <w:vAlign w:val="center"/>
          </w:tcPr>
          <w:p w14:paraId="1A34F0F1"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7C0C0B83"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1004</w:t>
            </w:r>
          </w:p>
        </w:tc>
        <w:tc>
          <w:tcPr>
            <w:tcW w:w="2020" w:type="dxa"/>
            <w:noWrap/>
            <w:vAlign w:val="center"/>
            <w:hideMark/>
          </w:tcPr>
          <w:p w14:paraId="7522A91B" w14:textId="45AF586A"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Rural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rural</w:t>
            </w:r>
            <w:r w:rsidR="00D474BB">
              <w:rPr>
                <w:rFonts w:eastAsia="Times New Roman" w:cs="Arial"/>
                <w:color w:val="000000"/>
                <w:kern w:val="0"/>
                <w:sz w:val="20"/>
                <w:szCs w:val="20"/>
                <w14:ligatures w14:val="none"/>
              </w:rPr>
              <w:t>)</w:t>
            </w:r>
          </w:p>
        </w:tc>
        <w:tc>
          <w:tcPr>
            <w:tcW w:w="1859" w:type="dxa"/>
            <w:noWrap/>
            <w:vAlign w:val="center"/>
            <w:hideMark/>
          </w:tcPr>
          <w:p w14:paraId="4DBE6F36"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5</w:t>
            </w:r>
          </w:p>
        </w:tc>
        <w:tc>
          <w:tcPr>
            <w:tcW w:w="1701" w:type="dxa"/>
            <w:noWrap/>
            <w:vAlign w:val="center"/>
            <w:hideMark/>
          </w:tcPr>
          <w:p w14:paraId="1DBD54F1"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r w:rsidR="00F56A38" w:rsidRPr="00AA494C" w14:paraId="2B8F9817" w14:textId="77777777" w:rsidTr="00D474BB">
        <w:trPr>
          <w:trHeight w:val="320"/>
          <w:jc w:val="center"/>
        </w:trPr>
        <w:tc>
          <w:tcPr>
            <w:tcW w:w="1864" w:type="dxa"/>
            <w:vMerge/>
            <w:vAlign w:val="center"/>
          </w:tcPr>
          <w:p w14:paraId="0BC7ADB0"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065EE67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10012</w:t>
            </w:r>
          </w:p>
        </w:tc>
        <w:tc>
          <w:tcPr>
            <w:tcW w:w="2020" w:type="dxa"/>
            <w:noWrap/>
            <w:vAlign w:val="center"/>
            <w:hideMark/>
          </w:tcPr>
          <w:p w14:paraId="01BD5A67" w14:textId="097B7E80"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Primary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urban</w:t>
            </w:r>
            <w:r w:rsidR="00D474BB">
              <w:rPr>
                <w:rFonts w:eastAsia="Times New Roman" w:cs="Arial"/>
                <w:color w:val="000000"/>
                <w:kern w:val="0"/>
                <w:sz w:val="20"/>
                <w:szCs w:val="20"/>
                <w14:ligatures w14:val="none"/>
              </w:rPr>
              <w:t>)</w:t>
            </w:r>
          </w:p>
        </w:tc>
        <w:tc>
          <w:tcPr>
            <w:tcW w:w="1859" w:type="dxa"/>
            <w:noWrap/>
            <w:vAlign w:val="center"/>
            <w:hideMark/>
          </w:tcPr>
          <w:p w14:paraId="5841C0BD"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40</w:t>
            </w:r>
          </w:p>
        </w:tc>
        <w:tc>
          <w:tcPr>
            <w:tcW w:w="1701" w:type="dxa"/>
            <w:noWrap/>
            <w:vAlign w:val="center"/>
            <w:hideMark/>
          </w:tcPr>
          <w:p w14:paraId="6D8BE9A7"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MOTORIZED</w:t>
            </w:r>
          </w:p>
        </w:tc>
      </w:tr>
      <w:tr w:rsidR="00F56A38" w:rsidRPr="00AA494C" w14:paraId="70A1850A" w14:textId="77777777" w:rsidTr="00D474BB">
        <w:trPr>
          <w:trHeight w:val="320"/>
          <w:jc w:val="center"/>
        </w:trPr>
        <w:tc>
          <w:tcPr>
            <w:tcW w:w="1864" w:type="dxa"/>
            <w:vMerge/>
            <w:vAlign w:val="center"/>
          </w:tcPr>
          <w:p w14:paraId="3ECA7DE7"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794CCEB2"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10022</w:t>
            </w:r>
          </w:p>
        </w:tc>
        <w:tc>
          <w:tcPr>
            <w:tcW w:w="2020" w:type="dxa"/>
            <w:noWrap/>
            <w:vAlign w:val="center"/>
            <w:hideMark/>
          </w:tcPr>
          <w:p w14:paraId="12A28352" w14:textId="532E5C36"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Secondary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urban</w:t>
            </w:r>
            <w:r w:rsidR="00D474BB">
              <w:rPr>
                <w:rFonts w:eastAsia="Times New Roman" w:cs="Arial"/>
                <w:color w:val="000000"/>
                <w:kern w:val="0"/>
                <w:sz w:val="20"/>
                <w:szCs w:val="20"/>
                <w14:ligatures w14:val="none"/>
              </w:rPr>
              <w:t>)</w:t>
            </w:r>
          </w:p>
        </w:tc>
        <w:tc>
          <w:tcPr>
            <w:tcW w:w="1859" w:type="dxa"/>
            <w:noWrap/>
            <w:vAlign w:val="center"/>
            <w:hideMark/>
          </w:tcPr>
          <w:p w14:paraId="7F948F9E"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24</w:t>
            </w:r>
          </w:p>
        </w:tc>
        <w:tc>
          <w:tcPr>
            <w:tcW w:w="1701" w:type="dxa"/>
            <w:noWrap/>
            <w:vAlign w:val="center"/>
            <w:hideMark/>
          </w:tcPr>
          <w:p w14:paraId="01568E66"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MOTORIZED</w:t>
            </w:r>
          </w:p>
        </w:tc>
      </w:tr>
      <w:tr w:rsidR="00F56A38" w:rsidRPr="00AA494C" w14:paraId="570E04A4" w14:textId="77777777" w:rsidTr="00D474BB">
        <w:trPr>
          <w:trHeight w:val="320"/>
          <w:jc w:val="center"/>
        </w:trPr>
        <w:tc>
          <w:tcPr>
            <w:tcW w:w="1864" w:type="dxa"/>
            <w:vMerge/>
            <w:vAlign w:val="center"/>
          </w:tcPr>
          <w:p w14:paraId="7F79D45B"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7FD498DF"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10032</w:t>
            </w:r>
          </w:p>
        </w:tc>
        <w:tc>
          <w:tcPr>
            <w:tcW w:w="2020" w:type="dxa"/>
            <w:noWrap/>
            <w:vAlign w:val="center"/>
            <w:hideMark/>
          </w:tcPr>
          <w:p w14:paraId="19F99FEB" w14:textId="17161A9D"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County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urban</w:t>
            </w:r>
            <w:r w:rsidR="00D474BB">
              <w:rPr>
                <w:rFonts w:eastAsia="Times New Roman" w:cs="Arial"/>
                <w:color w:val="000000"/>
                <w:kern w:val="0"/>
                <w:sz w:val="20"/>
                <w:szCs w:val="20"/>
                <w14:ligatures w14:val="none"/>
              </w:rPr>
              <w:t>)</w:t>
            </w:r>
          </w:p>
        </w:tc>
        <w:tc>
          <w:tcPr>
            <w:tcW w:w="1859" w:type="dxa"/>
            <w:noWrap/>
            <w:vAlign w:val="center"/>
            <w:hideMark/>
          </w:tcPr>
          <w:p w14:paraId="1878CC6C"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8</w:t>
            </w:r>
          </w:p>
        </w:tc>
        <w:tc>
          <w:tcPr>
            <w:tcW w:w="1701" w:type="dxa"/>
            <w:noWrap/>
            <w:vAlign w:val="center"/>
            <w:hideMark/>
          </w:tcPr>
          <w:p w14:paraId="6D46FABD"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BICYCLING</w:t>
            </w:r>
          </w:p>
        </w:tc>
      </w:tr>
      <w:tr w:rsidR="00F56A38" w:rsidRPr="00AA494C" w14:paraId="7884B250" w14:textId="77777777" w:rsidTr="00D474BB">
        <w:trPr>
          <w:trHeight w:val="320"/>
          <w:jc w:val="center"/>
        </w:trPr>
        <w:tc>
          <w:tcPr>
            <w:tcW w:w="1864" w:type="dxa"/>
            <w:vMerge/>
            <w:vAlign w:val="center"/>
          </w:tcPr>
          <w:p w14:paraId="4FD4FBA4" w14:textId="77777777" w:rsidR="00F56A38" w:rsidRPr="00AA494C" w:rsidRDefault="00F56A38" w:rsidP="00D474BB">
            <w:pPr>
              <w:spacing w:before="60" w:after="60"/>
              <w:rPr>
                <w:rFonts w:eastAsia="Times New Roman" w:cs="Arial"/>
                <w:color w:val="000000"/>
                <w:kern w:val="0"/>
                <w:sz w:val="20"/>
                <w:szCs w:val="20"/>
                <w14:ligatures w14:val="none"/>
              </w:rPr>
            </w:pPr>
          </w:p>
        </w:tc>
        <w:tc>
          <w:tcPr>
            <w:tcW w:w="773" w:type="dxa"/>
            <w:noWrap/>
            <w:vAlign w:val="center"/>
            <w:hideMark/>
          </w:tcPr>
          <w:p w14:paraId="38C6AA48"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10042</w:t>
            </w:r>
          </w:p>
        </w:tc>
        <w:tc>
          <w:tcPr>
            <w:tcW w:w="2020" w:type="dxa"/>
            <w:noWrap/>
            <w:vAlign w:val="center"/>
            <w:hideMark/>
          </w:tcPr>
          <w:p w14:paraId="387F4E9E" w14:textId="2F49B113"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 xml:space="preserve">Rural </w:t>
            </w:r>
            <w:r w:rsidR="00D474BB">
              <w:rPr>
                <w:rFonts w:eastAsia="Times New Roman" w:cs="Arial"/>
                <w:color w:val="000000"/>
                <w:kern w:val="0"/>
                <w:sz w:val="20"/>
                <w:szCs w:val="20"/>
                <w14:ligatures w14:val="none"/>
              </w:rPr>
              <w:t>(</w:t>
            </w:r>
            <w:r w:rsidRPr="00AA494C">
              <w:rPr>
                <w:rFonts w:eastAsia="Times New Roman" w:cs="Arial"/>
                <w:color w:val="000000"/>
                <w:kern w:val="0"/>
                <w:sz w:val="20"/>
                <w:szCs w:val="20"/>
                <w14:ligatures w14:val="none"/>
              </w:rPr>
              <w:t>urban</w:t>
            </w:r>
            <w:r w:rsidR="00D474BB">
              <w:rPr>
                <w:rFonts w:eastAsia="Times New Roman" w:cs="Arial"/>
                <w:color w:val="000000"/>
                <w:kern w:val="0"/>
                <w:sz w:val="20"/>
                <w:szCs w:val="20"/>
                <w14:ligatures w14:val="none"/>
              </w:rPr>
              <w:t>)</w:t>
            </w:r>
          </w:p>
        </w:tc>
        <w:tc>
          <w:tcPr>
            <w:tcW w:w="1859" w:type="dxa"/>
            <w:noWrap/>
            <w:vAlign w:val="center"/>
            <w:hideMark/>
          </w:tcPr>
          <w:p w14:paraId="06F7E1A9"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4</w:t>
            </w:r>
          </w:p>
        </w:tc>
        <w:tc>
          <w:tcPr>
            <w:tcW w:w="1701" w:type="dxa"/>
            <w:noWrap/>
            <w:vAlign w:val="center"/>
            <w:hideMark/>
          </w:tcPr>
          <w:p w14:paraId="6E98D733" w14:textId="77777777" w:rsidR="00F56A38" w:rsidRPr="00AA494C" w:rsidRDefault="00F56A38" w:rsidP="00D474BB">
            <w:pPr>
              <w:spacing w:before="60" w:after="60"/>
              <w:rPr>
                <w:rFonts w:eastAsia="Times New Roman" w:cs="Arial"/>
                <w:color w:val="000000"/>
                <w:kern w:val="0"/>
                <w:sz w:val="20"/>
                <w:szCs w:val="20"/>
                <w14:ligatures w14:val="none"/>
              </w:rPr>
            </w:pPr>
            <w:r w:rsidRPr="00AA494C">
              <w:rPr>
                <w:rFonts w:eastAsia="Times New Roman" w:cs="Arial"/>
                <w:color w:val="000000"/>
                <w:kern w:val="0"/>
                <w:sz w:val="20"/>
                <w:szCs w:val="20"/>
                <w14:ligatures w14:val="none"/>
              </w:rPr>
              <w:t>WALKING</w:t>
            </w:r>
          </w:p>
        </w:tc>
      </w:tr>
    </w:tbl>
    <w:p w14:paraId="6AAE84CC" w14:textId="77777777" w:rsidR="000F487F" w:rsidRPr="00AA494C" w:rsidRDefault="000F487F" w:rsidP="007C7C8E">
      <w:pPr>
        <w:rPr>
          <w:b/>
          <w:bCs/>
        </w:rPr>
      </w:pPr>
    </w:p>
    <w:p w14:paraId="34F9B79B" w14:textId="59A84932" w:rsidR="001375A6" w:rsidRPr="00AA494C" w:rsidRDefault="000F487F" w:rsidP="007C7C8E">
      <w:pPr>
        <w:pStyle w:val="Heading2"/>
      </w:pPr>
      <w:bookmarkStart w:id="12" w:name="_Toc234333153"/>
      <w:r w:rsidRPr="00AA494C">
        <w:t>Model</w:t>
      </w:r>
      <w:r w:rsidR="003B255A">
        <w:t>-</w:t>
      </w:r>
      <w:r w:rsidRPr="00AA494C">
        <w:t xml:space="preserve">based geostatistical </w:t>
      </w:r>
      <w:r w:rsidR="00011572" w:rsidRPr="00AA494C">
        <w:t xml:space="preserve">(MBG) </w:t>
      </w:r>
      <w:r w:rsidRPr="00AA494C">
        <w:t>interpolation</w:t>
      </w:r>
      <w:r w:rsidR="005A4A50">
        <w:t xml:space="preserve"> </w:t>
      </w:r>
      <w:r w:rsidR="005A4A50" w:rsidRPr="005A4A50">
        <w:t>for Affordability, Accommodation, and Acceptability</w:t>
      </w:r>
      <w:bookmarkEnd w:id="12"/>
    </w:p>
    <w:p w14:paraId="09B449BC" w14:textId="78356237" w:rsidR="000006E8" w:rsidRPr="00AA494C" w:rsidRDefault="007674DF" w:rsidP="007C7C8E">
      <w:r w:rsidRPr="00AA494C">
        <w:t>Bayesian Model</w:t>
      </w:r>
      <w:r w:rsidR="003B255A">
        <w:t>-</w:t>
      </w:r>
      <w:r w:rsidRPr="00AA494C">
        <w:t>based geostatistical interpolation methods were utilised within the stochastic partial differential equations (SPDE) approach and using the Integrated Nested Laplace Approximations in R (R</w:t>
      </w:r>
      <w:r w:rsidR="003B255A">
        <w:t>-</w:t>
      </w:r>
      <w:r w:rsidRPr="00AA494C">
        <w:t>INLA)</w:t>
      </w:r>
      <w:r w:rsidR="00D703E8">
        <w:t xml:space="preserve"> </w:t>
      </w:r>
      <w:r w:rsidR="006D1638" w:rsidRPr="006D1638">
        <w:rPr>
          <w:rFonts w:cs="Arial"/>
          <w:color w:val="000000"/>
        </w:rPr>
        <w:t>[1</w:t>
      </w:r>
      <w:r w:rsidR="00D4399E">
        <w:rPr>
          <w:rFonts w:cs="Arial"/>
          <w:color w:val="000000"/>
        </w:rPr>
        <w:t>4</w:t>
      </w:r>
      <w:r w:rsidR="006D1638" w:rsidRPr="006D1638">
        <w:rPr>
          <w:rFonts w:cs="Arial"/>
          <w:color w:val="000000"/>
        </w:rPr>
        <w:t>–1</w:t>
      </w:r>
      <w:r w:rsidR="00D4399E">
        <w:rPr>
          <w:rFonts w:cs="Arial"/>
          <w:color w:val="000000"/>
        </w:rPr>
        <w:t>6</w:t>
      </w:r>
      <w:r w:rsidR="006D1638" w:rsidRPr="006D1638">
        <w:rPr>
          <w:rFonts w:cs="Arial"/>
          <w:color w:val="000000"/>
        </w:rPr>
        <w:t>]</w:t>
      </w:r>
      <w:r w:rsidRPr="00AA494C">
        <w:t>.</w:t>
      </w:r>
    </w:p>
    <w:p w14:paraId="191C0676" w14:textId="6F0E17CB" w:rsidR="00C16F70" w:rsidRPr="005A4A50" w:rsidRDefault="00C16F70" w:rsidP="007C7C8E">
      <w:pPr>
        <w:pStyle w:val="Heading3"/>
      </w:pPr>
      <w:bookmarkStart w:id="13" w:name="_Toc234333154"/>
      <w:r w:rsidRPr="00F945D7">
        <w:t>Covariates</w:t>
      </w:r>
      <w:bookmarkEnd w:id="13"/>
    </w:p>
    <w:p w14:paraId="3D4BF1A2" w14:textId="6424CB32" w:rsidR="00C44EB2" w:rsidRDefault="00FC251D" w:rsidP="007C7C8E">
      <w:r w:rsidRPr="00AA494C">
        <w:t>Covariates known to be associated with insurance coverage</w:t>
      </w:r>
      <w:r w:rsidR="002D109E">
        <w:t xml:space="preserve"> </w:t>
      </w:r>
      <w:r w:rsidRPr="00AA494C">
        <w:t xml:space="preserve">and patient satisfaction were assembled (supplementary </w:t>
      </w:r>
      <w:r w:rsidRPr="0084190B">
        <w:t>table 3)</w:t>
      </w:r>
      <w:r w:rsidR="00706043" w:rsidRPr="0084190B">
        <w:t xml:space="preserve"> [4,5]</w:t>
      </w:r>
      <w:r w:rsidRPr="0084190B">
        <w:t>. For</w:t>
      </w:r>
      <w:r w:rsidRPr="00AA494C">
        <w:t xml:space="preserve"> DHS cluster data, covariates were extracted for each cluster in 5km and 2km buffers around rural and urban DHS cluster centroids respectively, as per DHS recommendations</w:t>
      </w:r>
      <w:r w:rsidR="0098646D">
        <w:t xml:space="preserve"> </w:t>
      </w:r>
      <w:r w:rsidR="004A2605">
        <w:t>[1</w:t>
      </w:r>
      <w:r w:rsidR="00D4399E">
        <w:t>7</w:t>
      </w:r>
      <w:r w:rsidR="004A2605">
        <w:t>]</w:t>
      </w:r>
      <w:r w:rsidRPr="00AA494C">
        <w:t xml:space="preserve">. </w:t>
      </w:r>
      <w:r w:rsidR="00395159">
        <w:t>For the KSPA data, the location of the facility was used to extract the urban</w:t>
      </w:r>
      <w:r w:rsidR="00483087">
        <w:t xml:space="preserve">isation index whereas data on the </w:t>
      </w:r>
      <w:r w:rsidR="00395159">
        <w:t xml:space="preserve">caregiver </w:t>
      </w:r>
      <w:r w:rsidR="00483087">
        <w:t>education years were</w:t>
      </w:r>
      <w:r w:rsidR="007D08A5">
        <w:t xml:space="preserve"> averaged per facility based on the details of the interviewed caregivers</w:t>
      </w:r>
      <w:r w:rsidR="00F34DD2">
        <w:t>.</w:t>
      </w:r>
      <w:r w:rsidR="009A69F9">
        <w:t xml:space="preserve"> </w:t>
      </w:r>
    </w:p>
    <w:p w14:paraId="5C432D6E" w14:textId="20D59899" w:rsidR="00C16F70" w:rsidRPr="00AA494C" w:rsidRDefault="00A4301E" w:rsidP="006F1A09">
      <w:pPr>
        <w:pStyle w:val="Tablelabel"/>
      </w:pPr>
      <w:r w:rsidRPr="00AA494C">
        <w:rPr>
          <w:b/>
          <w:bCs/>
        </w:rPr>
        <w:lastRenderedPageBreak/>
        <w:t>Supplementary Table 3:</w:t>
      </w:r>
      <w:r w:rsidRPr="00AA494C">
        <w:t xml:space="preserve"> Summary of assembled covariates</w:t>
      </w:r>
    </w:p>
    <w:tbl>
      <w:tblPr>
        <w:tblStyle w:val="TableGrid"/>
        <w:tblW w:w="0" w:type="auto"/>
        <w:jc w:val="center"/>
        <w:tblLook w:val="04A0" w:firstRow="1" w:lastRow="0" w:firstColumn="1" w:lastColumn="0" w:noHBand="0" w:noVBand="1"/>
      </w:tblPr>
      <w:tblGrid>
        <w:gridCol w:w="1980"/>
        <w:gridCol w:w="4678"/>
        <w:gridCol w:w="2268"/>
      </w:tblGrid>
      <w:tr w:rsidR="0028290E" w:rsidRPr="00AA494C" w14:paraId="57081590" w14:textId="77777777" w:rsidTr="00D474BB">
        <w:trPr>
          <w:jc w:val="center"/>
        </w:trPr>
        <w:tc>
          <w:tcPr>
            <w:tcW w:w="1980" w:type="dxa"/>
            <w:vAlign w:val="center"/>
          </w:tcPr>
          <w:p w14:paraId="2FFD5950" w14:textId="4653E08C" w:rsidR="0028290E" w:rsidRPr="00D474BB" w:rsidRDefault="0028290E" w:rsidP="007C7C8E">
            <w:pPr>
              <w:spacing w:after="0"/>
              <w:rPr>
                <w:b/>
                <w:bCs/>
                <w:sz w:val="20"/>
                <w:szCs w:val="20"/>
              </w:rPr>
            </w:pPr>
            <w:r w:rsidRPr="00D474BB">
              <w:rPr>
                <w:b/>
                <w:bCs/>
                <w:sz w:val="20"/>
                <w:szCs w:val="20"/>
              </w:rPr>
              <w:t>Covariate</w:t>
            </w:r>
          </w:p>
        </w:tc>
        <w:tc>
          <w:tcPr>
            <w:tcW w:w="4678" w:type="dxa"/>
            <w:vAlign w:val="center"/>
          </w:tcPr>
          <w:p w14:paraId="412EDEE3" w14:textId="2F50B30F" w:rsidR="0028290E" w:rsidRPr="00D474BB" w:rsidRDefault="0028290E" w:rsidP="007C7C8E">
            <w:pPr>
              <w:spacing w:after="0"/>
              <w:rPr>
                <w:b/>
                <w:bCs/>
                <w:sz w:val="20"/>
                <w:szCs w:val="20"/>
              </w:rPr>
            </w:pPr>
            <w:r w:rsidRPr="00D474BB">
              <w:rPr>
                <w:b/>
                <w:bCs/>
                <w:sz w:val="20"/>
                <w:szCs w:val="20"/>
              </w:rPr>
              <w:t>Source</w:t>
            </w:r>
          </w:p>
        </w:tc>
        <w:tc>
          <w:tcPr>
            <w:tcW w:w="2268" w:type="dxa"/>
            <w:vAlign w:val="center"/>
          </w:tcPr>
          <w:p w14:paraId="4F84AF3B" w14:textId="22B9A60A" w:rsidR="0028290E" w:rsidRPr="00D474BB" w:rsidRDefault="0028290E" w:rsidP="007C7C8E">
            <w:pPr>
              <w:spacing w:after="0"/>
              <w:rPr>
                <w:b/>
                <w:bCs/>
                <w:sz w:val="20"/>
                <w:szCs w:val="20"/>
              </w:rPr>
            </w:pPr>
            <w:r w:rsidRPr="00D474BB">
              <w:rPr>
                <w:b/>
                <w:bCs/>
                <w:sz w:val="20"/>
                <w:szCs w:val="20"/>
              </w:rPr>
              <w:t>Dimension used for</w:t>
            </w:r>
          </w:p>
        </w:tc>
      </w:tr>
      <w:tr w:rsidR="0051366E" w:rsidRPr="00AA494C" w14:paraId="0E1F2E2E" w14:textId="77777777" w:rsidTr="00D474BB">
        <w:trPr>
          <w:jc w:val="center"/>
        </w:trPr>
        <w:tc>
          <w:tcPr>
            <w:tcW w:w="1980" w:type="dxa"/>
            <w:vAlign w:val="center"/>
          </w:tcPr>
          <w:p w14:paraId="6C3016CB" w14:textId="47AF4A2C" w:rsidR="0051366E" w:rsidRPr="00D474BB" w:rsidRDefault="0051366E" w:rsidP="007C7C8E">
            <w:pPr>
              <w:spacing w:after="0"/>
              <w:rPr>
                <w:sz w:val="20"/>
                <w:szCs w:val="20"/>
              </w:rPr>
            </w:pPr>
            <w:r w:rsidRPr="00D474BB">
              <w:rPr>
                <w:sz w:val="20"/>
                <w:szCs w:val="20"/>
              </w:rPr>
              <w:t>Urbanisation</w:t>
            </w:r>
          </w:p>
        </w:tc>
        <w:tc>
          <w:tcPr>
            <w:tcW w:w="4678" w:type="dxa"/>
            <w:vAlign w:val="center"/>
          </w:tcPr>
          <w:p w14:paraId="43E76E58" w14:textId="1247B7D5" w:rsidR="0051366E" w:rsidRPr="00D474BB" w:rsidRDefault="0051366E" w:rsidP="007C7C8E">
            <w:pPr>
              <w:spacing w:after="0"/>
              <w:rPr>
                <w:sz w:val="20"/>
                <w:szCs w:val="20"/>
              </w:rPr>
            </w:pPr>
            <w:r w:rsidRPr="00D474BB">
              <w:rPr>
                <w:sz w:val="20"/>
                <w:szCs w:val="20"/>
              </w:rPr>
              <w:t>Global Human Settlement Layer (GHSL) (Pesaresi et al., 2024)</w:t>
            </w:r>
          </w:p>
        </w:tc>
        <w:tc>
          <w:tcPr>
            <w:tcW w:w="2268" w:type="dxa"/>
            <w:vAlign w:val="center"/>
          </w:tcPr>
          <w:p w14:paraId="5C221D5D" w14:textId="77777777" w:rsidR="0051366E" w:rsidRPr="00D474BB" w:rsidRDefault="0051366E" w:rsidP="007C7C8E">
            <w:pPr>
              <w:spacing w:after="0"/>
              <w:rPr>
                <w:sz w:val="20"/>
                <w:szCs w:val="20"/>
              </w:rPr>
            </w:pPr>
            <w:r w:rsidRPr="00D474BB">
              <w:rPr>
                <w:sz w:val="20"/>
                <w:szCs w:val="20"/>
              </w:rPr>
              <w:t>Affordability</w:t>
            </w:r>
          </w:p>
          <w:p w14:paraId="734354A4" w14:textId="3E263DEA" w:rsidR="0051366E" w:rsidRPr="00D474BB" w:rsidRDefault="0051366E" w:rsidP="007C7C8E">
            <w:pPr>
              <w:spacing w:after="0"/>
              <w:rPr>
                <w:sz w:val="20"/>
                <w:szCs w:val="20"/>
              </w:rPr>
            </w:pPr>
            <w:r w:rsidRPr="00D474BB">
              <w:rPr>
                <w:sz w:val="20"/>
                <w:szCs w:val="20"/>
              </w:rPr>
              <w:t>Accommodation</w:t>
            </w:r>
          </w:p>
          <w:p w14:paraId="53BE1F03" w14:textId="5C95A02B" w:rsidR="0051366E" w:rsidRPr="00D474BB" w:rsidRDefault="0051366E" w:rsidP="007C7C8E">
            <w:pPr>
              <w:spacing w:after="0"/>
              <w:rPr>
                <w:sz w:val="20"/>
                <w:szCs w:val="20"/>
              </w:rPr>
            </w:pPr>
            <w:r w:rsidRPr="00D474BB">
              <w:rPr>
                <w:sz w:val="20"/>
                <w:szCs w:val="20"/>
              </w:rPr>
              <w:t>Acceptability</w:t>
            </w:r>
          </w:p>
        </w:tc>
      </w:tr>
      <w:tr w:rsidR="0051366E" w:rsidRPr="00AA494C" w14:paraId="07155B37" w14:textId="77777777" w:rsidTr="00D474BB">
        <w:trPr>
          <w:jc w:val="center"/>
        </w:trPr>
        <w:tc>
          <w:tcPr>
            <w:tcW w:w="1980" w:type="dxa"/>
            <w:vAlign w:val="center"/>
          </w:tcPr>
          <w:p w14:paraId="5D3B4891" w14:textId="1E76FD7E" w:rsidR="0051366E" w:rsidRPr="00D474BB" w:rsidRDefault="0051366E" w:rsidP="007C7C8E">
            <w:pPr>
              <w:spacing w:after="0"/>
              <w:rPr>
                <w:sz w:val="20"/>
                <w:szCs w:val="20"/>
              </w:rPr>
            </w:pPr>
            <w:r w:rsidRPr="00D474BB">
              <w:rPr>
                <w:sz w:val="20"/>
                <w:szCs w:val="20"/>
              </w:rPr>
              <w:t>Female population</w:t>
            </w:r>
          </w:p>
        </w:tc>
        <w:tc>
          <w:tcPr>
            <w:tcW w:w="4678" w:type="dxa"/>
            <w:vAlign w:val="center"/>
          </w:tcPr>
          <w:p w14:paraId="494D5AC3" w14:textId="6374625E" w:rsidR="0051366E" w:rsidRPr="00D474BB" w:rsidRDefault="00D2757D" w:rsidP="007C7C8E">
            <w:pPr>
              <w:spacing w:after="0"/>
              <w:rPr>
                <w:sz w:val="20"/>
                <w:szCs w:val="20"/>
              </w:rPr>
            </w:pPr>
            <w:r w:rsidRPr="00D474BB">
              <w:rPr>
                <w:sz w:val="20"/>
                <w:szCs w:val="20"/>
              </w:rPr>
              <w:t>WorldPop (Tatem, 2017)</w:t>
            </w:r>
          </w:p>
        </w:tc>
        <w:tc>
          <w:tcPr>
            <w:tcW w:w="2268" w:type="dxa"/>
            <w:vAlign w:val="center"/>
          </w:tcPr>
          <w:p w14:paraId="61B4100D" w14:textId="082E4442" w:rsidR="0051366E" w:rsidRPr="00D474BB" w:rsidRDefault="0051366E" w:rsidP="007C7C8E">
            <w:pPr>
              <w:spacing w:after="0"/>
              <w:rPr>
                <w:sz w:val="20"/>
                <w:szCs w:val="20"/>
              </w:rPr>
            </w:pPr>
            <w:r w:rsidRPr="00D474BB">
              <w:rPr>
                <w:sz w:val="20"/>
                <w:szCs w:val="20"/>
              </w:rPr>
              <w:t>Affordability</w:t>
            </w:r>
          </w:p>
        </w:tc>
      </w:tr>
      <w:tr w:rsidR="0051366E" w:rsidRPr="00AA494C" w14:paraId="192B1A76" w14:textId="77777777" w:rsidTr="00D474BB">
        <w:trPr>
          <w:jc w:val="center"/>
        </w:trPr>
        <w:tc>
          <w:tcPr>
            <w:tcW w:w="1980" w:type="dxa"/>
            <w:vAlign w:val="center"/>
          </w:tcPr>
          <w:p w14:paraId="5958FD75" w14:textId="4B896783" w:rsidR="0051366E" w:rsidRPr="00D474BB" w:rsidRDefault="00E81B88" w:rsidP="007C7C8E">
            <w:pPr>
              <w:spacing w:after="0"/>
              <w:rPr>
                <w:sz w:val="20"/>
                <w:szCs w:val="20"/>
              </w:rPr>
            </w:pPr>
            <w:r w:rsidRPr="00D474BB">
              <w:rPr>
                <w:sz w:val="20"/>
                <w:szCs w:val="20"/>
              </w:rPr>
              <w:t>Nighttime</w:t>
            </w:r>
            <w:r w:rsidR="0051366E" w:rsidRPr="00D474BB">
              <w:rPr>
                <w:sz w:val="20"/>
                <w:szCs w:val="20"/>
              </w:rPr>
              <w:t xml:space="preserve"> light</w:t>
            </w:r>
          </w:p>
        </w:tc>
        <w:tc>
          <w:tcPr>
            <w:tcW w:w="4678" w:type="dxa"/>
            <w:vAlign w:val="center"/>
          </w:tcPr>
          <w:p w14:paraId="1756BE1D" w14:textId="22FB6BB8" w:rsidR="0051366E" w:rsidRPr="00D474BB" w:rsidRDefault="00B23A37" w:rsidP="007C7C8E">
            <w:pPr>
              <w:spacing w:after="0"/>
              <w:rPr>
                <w:sz w:val="20"/>
                <w:szCs w:val="20"/>
              </w:rPr>
            </w:pPr>
            <w:r w:rsidRPr="00D474BB">
              <w:rPr>
                <w:sz w:val="20"/>
                <w:szCs w:val="20"/>
              </w:rPr>
              <w:t>Defense Meteorological Satellite Program (DMSP) Operational Linescan System (OLS)</w:t>
            </w:r>
          </w:p>
        </w:tc>
        <w:tc>
          <w:tcPr>
            <w:tcW w:w="2268" w:type="dxa"/>
            <w:vAlign w:val="center"/>
          </w:tcPr>
          <w:p w14:paraId="3DB2F62C" w14:textId="42994FBE" w:rsidR="0051366E" w:rsidRPr="00D474BB" w:rsidRDefault="0051366E" w:rsidP="007C7C8E">
            <w:pPr>
              <w:spacing w:after="0"/>
              <w:rPr>
                <w:sz w:val="20"/>
                <w:szCs w:val="20"/>
              </w:rPr>
            </w:pPr>
            <w:r w:rsidRPr="00D474BB">
              <w:rPr>
                <w:sz w:val="20"/>
                <w:szCs w:val="20"/>
              </w:rPr>
              <w:t>Affordability</w:t>
            </w:r>
          </w:p>
        </w:tc>
      </w:tr>
      <w:tr w:rsidR="000C0B45" w:rsidRPr="00AA494C" w14:paraId="7383D071" w14:textId="77777777" w:rsidTr="00D474BB">
        <w:trPr>
          <w:jc w:val="center"/>
        </w:trPr>
        <w:tc>
          <w:tcPr>
            <w:tcW w:w="1980" w:type="dxa"/>
            <w:vAlign w:val="center"/>
          </w:tcPr>
          <w:p w14:paraId="0A7EDD1A" w14:textId="4B89A1FD" w:rsidR="000C0B45" w:rsidRPr="00D474BB" w:rsidRDefault="000C0B45" w:rsidP="007C7C8E">
            <w:pPr>
              <w:spacing w:after="0"/>
              <w:rPr>
                <w:sz w:val="20"/>
                <w:szCs w:val="20"/>
              </w:rPr>
            </w:pPr>
            <w:r>
              <w:rPr>
                <w:sz w:val="20"/>
                <w:szCs w:val="20"/>
              </w:rPr>
              <w:t>Education years</w:t>
            </w:r>
          </w:p>
        </w:tc>
        <w:tc>
          <w:tcPr>
            <w:tcW w:w="4678" w:type="dxa"/>
            <w:vAlign w:val="center"/>
          </w:tcPr>
          <w:p w14:paraId="3FF4D615" w14:textId="2AC511B1" w:rsidR="000C0B45" w:rsidRPr="00D474BB" w:rsidRDefault="004932E7" w:rsidP="007C7C8E">
            <w:pPr>
              <w:spacing w:after="0"/>
              <w:rPr>
                <w:sz w:val="20"/>
                <w:szCs w:val="20"/>
              </w:rPr>
            </w:pPr>
            <w:r w:rsidRPr="004932E7">
              <w:rPr>
                <w:sz w:val="20"/>
                <w:szCs w:val="20"/>
              </w:rPr>
              <w:t>Institute for Health Metrics and Evaluation (IHME)</w:t>
            </w:r>
          </w:p>
        </w:tc>
        <w:tc>
          <w:tcPr>
            <w:tcW w:w="2268" w:type="dxa"/>
            <w:vAlign w:val="center"/>
          </w:tcPr>
          <w:p w14:paraId="4C4113D9" w14:textId="77777777" w:rsidR="000C0B45" w:rsidRPr="00D474BB" w:rsidRDefault="000C0B45" w:rsidP="000C0B45">
            <w:pPr>
              <w:spacing w:after="0"/>
              <w:rPr>
                <w:sz w:val="20"/>
                <w:szCs w:val="20"/>
              </w:rPr>
            </w:pPr>
            <w:r w:rsidRPr="00D474BB">
              <w:rPr>
                <w:sz w:val="20"/>
                <w:szCs w:val="20"/>
              </w:rPr>
              <w:t>Accommodation</w:t>
            </w:r>
          </w:p>
          <w:p w14:paraId="2EC5C0D7" w14:textId="77A34286" w:rsidR="000C0B45" w:rsidRPr="00D474BB" w:rsidRDefault="000C0B45" w:rsidP="000C0B45">
            <w:pPr>
              <w:spacing w:after="0"/>
              <w:rPr>
                <w:sz w:val="20"/>
                <w:szCs w:val="20"/>
              </w:rPr>
            </w:pPr>
            <w:r w:rsidRPr="00D474BB">
              <w:rPr>
                <w:sz w:val="20"/>
                <w:szCs w:val="20"/>
              </w:rPr>
              <w:t>Acceptability</w:t>
            </w:r>
          </w:p>
        </w:tc>
      </w:tr>
    </w:tbl>
    <w:p w14:paraId="6EAC0F59" w14:textId="77777777" w:rsidR="00C16F70" w:rsidRPr="00AA494C" w:rsidRDefault="00C16F70" w:rsidP="007C7C8E">
      <w:pPr>
        <w:rPr>
          <w:b/>
          <w:bCs/>
        </w:rPr>
      </w:pPr>
    </w:p>
    <w:p w14:paraId="2254114C" w14:textId="636A8D1C" w:rsidR="000006E8" w:rsidRPr="00AA494C" w:rsidRDefault="000006E8" w:rsidP="007C7C8E">
      <w:pPr>
        <w:pStyle w:val="Heading3"/>
      </w:pPr>
      <w:bookmarkStart w:id="14" w:name="_Toc234333155"/>
      <w:r w:rsidRPr="00AA494C">
        <w:t xml:space="preserve">Evidence of </w:t>
      </w:r>
      <w:r w:rsidRPr="00F945D7">
        <w:t>spatial</w:t>
      </w:r>
      <w:r w:rsidRPr="00AA494C">
        <w:t xml:space="preserve"> autocorrelation</w:t>
      </w:r>
      <w:bookmarkEnd w:id="14"/>
    </w:p>
    <w:p w14:paraId="635830F4" w14:textId="39DE0986" w:rsidR="003474F3" w:rsidRPr="00AA494C" w:rsidRDefault="000B6152" w:rsidP="007C7C8E">
      <w:pPr>
        <w:rPr>
          <w:rFonts w:eastAsiaTheme="minorEastAsia"/>
        </w:rPr>
      </w:pPr>
      <w:r w:rsidRPr="00AA494C">
        <w:t>Prior to MBG interpolation, existence of spatial autocorrelation was first investigated by fitting semi</w:t>
      </w:r>
      <w:r w:rsidR="003B255A">
        <w:t>-</w:t>
      </w:r>
      <w:r w:rsidRPr="00BF34A5">
        <w:t>variogra</w:t>
      </w:r>
      <w:r w:rsidR="003E303B" w:rsidRPr="00BF34A5">
        <w:t>ms</w:t>
      </w:r>
      <w:r w:rsidR="0047345A">
        <w:t xml:space="preserve"> </w:t>
      </w:r>
      <w:r w:rsidR="006D1638" w:rsidRPr="006D1638">
        <w:rPr>
          <w:rFonts w:cs="Arial"/>
          <w:color w:val="000000"/>
        </w:rPr>
        <w:t>[1</w:t>
      </w:r>
      <w:r w:rsidR="00D4399E">
        <w:rPr>
          <w:rFonts w:cs="Arial"/>
          <w:color w:val="000000"/>
        </w:rPr>
        <w:t>8</w:t>
      </w:r>
      <w:r w:rsidR="006D1638" w:rsidRPr="006D1638">
        <w:rPr>
          <w:rFonts w:cs="Arial"/>
          <w:color w:val="000000"/>
        </w:rPr>
        <w:t>]</w:t>
      </w:r>
      <w:r w:rsidRPr="00BF34A5">
        <w:t>.</w:t>
      </w:r>
      <w:r w:rsidR="003E586D" w:rsidRPr="00BF34A5">
        <w:t xml:space="preserve"> </w:t>
      </w:r>
      <w:r w:rsidR="00B74BE1" w:rsidRPr="00BF34A5">
        <w:t>Let</w:t>
      </w:r>
      <w:r w:rsidR="00B74BE1" w:rsidRPr="00AA494C">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00B74BE1" w:rsidRPr="00AA494C">
        <w:rPr>
          <w:rFonts w:eastAsiaTheme="minorEastAsia"/>
        </w:rPr>
        <w:t xml:space="preserve"> be the observed number of individuals at cluster</w:t>
      </w:r>
      <w:r w:rsidR="00B74BE1" w:rsidRPr="00AA494C">
        <w:t>/facility</w:t>
      </w:r>
      <w:r w:rsidR="00B74BE1" w:rsidRPr="00AA494C">
        <w:rPr>
          <w:rFonts w:eastAsiaTheme="minorEastAsia"/>
        </w:rPr>
        <w:t xml:space="preserve"> </w:t>
      </w:r>
      <m:oMath>
        <m:r>
          <w:rPr>
            <w:rFonts w:ascii="Cambria Math" w:eastAsiaTheme="minorEastAsia" w:hAnsi="Cambria Math"/>
          </w:rPr>
          <m:t>i</m:t>
        </m:r>
      </m:oMath>
      <w:r w:rsidR="00B74BE1" w:rsidRPr="00AA494C">
        <w:rPr>
          <w:rFonts w:eastAsiaTheme="minorEastAsia"/>
        </w:rPr>
        <w:t xml:space="preserve"> with the assembled survey characteristic,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oMath>
      <w:r w:rsidR="00B74BE1" w:rsidRPr="00AA494C">
        <w:rPr>
          <w:rFonts w:eastAsiaTheme="minorEastAsia"/>
        </w:rPr>
        <w:t xml:space="preserve"> be the total number of individuals in cluster</w:t>
      </w:r>
      <w:r w:rsidR="00B74BE1" w:rsidRPr="00AA494C">
        <w:t>/facility</w:t>
      </w:r>
      <w:r w:rsidR="00B74BE1" w:rsidRPr="00AA494C">
        <w:rPr>
          <w:rFonts w:eastAsiaTheme="minorEastAsia"/>
        </w:rPr>
        <w:t xml:space="preserve"> </w:t>
      </w:r>
      <m:oMath>
        <m:r>
          <w:rPr>
            <w:rFonts w:ascii="Cambria Math" w:eastAsiaTheme="minorEastAsia" w:hAnsi="Cambria Math"/>
          </w:rPr>
          <m:t>i</m:t>
        </m:r>
      </m:oMath>
      <w:r w:rsidR="00B74BE1" w:rsidRPr="00AA494C">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oMath>
      <w:r w:rsidR="00B74BE1" w:rsidRPr="00AA494C">
        <w:rPr>
          <w:rFonts w:eastAsiaTheme="minorEastAsia"/>
        </w:rPr>
        <w:t xml:space="preserve"> the probability of observing the survey characteristic in cluster</w:t>
      </w:r>
      <w:r w:rsidR="00B74BE1" w:rsidRPr="00AA494C">
        <w:t>/facility</w:t>
      </w:r>
      <w:r w:rsidR="00B74BE1" w:rsidRPr="00AA494C">
        <w:rPr>
          <w:rFonts w:eastAsiaTheme="minorEastAsia"/>
        </w:rPr>
        <w:t xml:space="preserve"> </w:t>
      </w:r>
      <m:oMath>
        <m:r>
          <w:rPr>
            <w:rFonts w:ascii="Cambria Math" w:eastAsiaTheme="minorEastAsia" w:hAnsi="Cambria Math"/>
          </w:rPr>
          <m:t>i</m:t>
        </m:r>
      </m:oMath>
      <w:r w:rsidR="00B74BE1" w:rsidRPr="00AA494C">
        <w:rPr>
          <w:rFonts w:eastAsiaTheme="minorEastAsia"/>
        </w:rPr>
        <w:t>. The</w:t>
      </w:r>
      <w:r w:rsidR="006B5872" w:rsidRPr="00AA494C">
        <w:rPr>
          <w:rFonts w:eastAsiaTheme="minorEastAsia"/>
        </w:rPr>
        <w:t xml:space="preserve"> following model was fitted.</w:t>
      </w:r>
      <w:r w:rsidR="00B74BE1" w:rsidRPr="00AA494C">
        <w:rPr>
          <w:rFonts w:eastAsiaTheme="minorEastAsia"/>
        </w:rPr>
        <w:t xml:space="preserve"> </w:t>
      </w:r>
    </w:p>
    <w:p w14:paraId="1D27C0D9" w14:textId="7FA98231" w:rsidR="00B74BE1" w:rsidRPr="00AA494C" w:rsidRDefault="00FC1B8F" w:rsidP="007C7C8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 xml:space="preserve">~ </m:t>
          </m:r>
          <m:r>
            <w:rPr>
              <w:rFonts w:ascii="Cambria Math" w:eastAsiaTheme="minorEastAsia" w:hAnsi="Cambria Math"/>
            </w:rPr>
            <m:t>Binomial</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e>
          </m:d>
        </m:oMath>
      </m:oMathPara>
    </w:p>
    <w:p w14:paraId="191E0B7E" w14:textId="4E74162A" w:rsidR="00B74BE1" w:rsidRPr="00AA494C" w:rsidRDefault="00FC1B8F" w:rsidP="007C7C8E">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logit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m:t>
              </m:r>
              <m:r>
                <w:rPr>
                  <w:rFonts w:ascii="Cambria Math" w:eastAsiaTheme="minorEastAsia" w:hAnsi="Cambria Math"/>
                </w:rPr>
                <m:t>βX</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i</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e>
          </m:eqArr>
        </m:oMath>
      </m:oMathPara>
    </w:p>
    <w:p w14:paraId="14A8BA02" w14:textId="75205FFD" w:rsidR="00796DAE" w:rsidRDefault="00B74BE1" w:rsidP="007C7C8E">
      <w:r w:rsidRPr="00AA494C">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o</m:t>
            </m:r>
          </m:sub>
        </m:sSub>
      </m:oMath>
      <w:r w:rsidRPr="00AA494C">
        <w:rPr>
          <w:rFonts w:eastAsiaTheme="minorEastAsia"/>
        </w:rPr>
        <w:t xml:space="preserve"> is the intercept, </w:t>
      </w:r>
      <m:oMath>
        <m:r>
          <w:rPr>
            <w:rFonts w:ascii="Cambria Math" w:eastAsiaTheme="minorEastAsia" w:hAnsi="Cambria Math"/>
          </w:rPr>
          <m:t>X</m:t>
        </m:r>
      </m:oMath>
      <w:r w:rsidRPr="00AA494C">
        <w:rPr>
          <w:rFonts w:eastAsiaTheme="minorEastAsia"/>
        </w:rPr>
        <w:t xml:space="preserve"> is </w:t>
      </w:r>
      <w:r w:rsidR="009D0BEB" w:rsidRPr="00AA494C">
        <w:rPr>
          <w:rFonts w:eastAsiaTheme="minorEastAsia"/>
        </w:rPr>
        <w:t>the</w:t>
      </w:r>
      <w:r w:rsidRPr="00AA494C">
        <w:rPr>
          <w:rFonts w:eastAsiaTheme="minorEastAsia"/>
        </w:rPr>
        <w:t xml:space="preserve"> vector of covariates, </w:t>
      </w:r>
      <m:oMath>
        <m:r>
          <w:rPr>
            <w:rFonts w:ascii="Cambria Math" w:eastAsiaTheme="minorEastAsia" w:hAnsi="Cambria Math"/>
          </w:rPr>
          <m:t>β</m:t>
        </m:r>
      </m:oMath>
      <w:r w:rsidRPr="00AA494C">
        <w:rPr>
          <w:rFonts w:eastAsiaTheme="minorEastAsia"/>
        </w:rPr>
        <w:t xml:space="preserve"> the corresponding covariate coefficients, and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i</m:t>
            </m:r>
          </m:sub>
        </m:sSub>
      </m:oMath>
      <w:r w:rsidRPr="00AA494C">
        <w:rPr>
          <w:rFonts w:eastAsiaTheme="minorEastAsia"/>
        </w:rPr>
        <w:t xml:space="preserve"> are random effects</w:t>
      </w:r>
      <w:r w:rsidR="00FD5B7F" w:rsidRPr="00AA494C">
        <w:rPr>
          <w:rFonts w:eastAsiaTheme="minorEastAsia"/>
        </w:rPr>
        <w:t xml:space="preserve"> defined as i.i.d Gaussian processes</w:t>
      </w:r>
      <w:r w:rsidR="00053A6C" w:rsidRPr="00AA494C">
        <w:rPr>
          <w:rFonts w:eastAsiaTheme="minorEastAsia"/>
        </w:rPr>
        <w:t xml:space="preserve"> to hypothesize negligible or lack thereof of spatial autocorrelation within the observed data implying no structured patterns would be observed in the model residuals</w:t>
      </w:r>
      <w:r w:rsidRPr="00AA494C">
        <w:rPr>
          <w:rFonts w:eastAsiaTheme="minorEastAsia"/>
        </w:rPr>
        <w:t xml:space="preserve">. </w:t>
      </w:r>
      <w:r w:rsidR="00796DAE" w:rsidRPr="00AA494C">
        <w:rPr>
          <w:rFonts w:eastAsiaTheme="minorEastAsia"/>
        </w:rPr>
        <w:t>After model fitting, the model residuals were then used to fit empirical variogram</w:t>
      </w:r>
      <w:r w:rsidR="005E4CFD" w:rsidRPr="00AA494C">
        <w:rPr>
          <w:rFonts w:eastAsiaTheme="minorEastAsia"/>
        </w:rPr>
        <w:t>s</w:t>
      </w:r>
      <w:r w:rsidR="00796DAE" w:rsidRPr="00AA494C">
        <w:rPr>
          <w:rFonts w:eastAsiaTheme="minorEastAsia"/>
        </w:rPr>
        <w:t xml:space="preserve"> </w:t>
      </w:r>
      <w:r w:rsidR="00796DAE" w:rsidRPr="00AA494C">
        <w:t xml:space="preserve">(supplementary figure </w:t>
      </w:r>
      <w:r w:rsidR="00742605">
        <w:t>8</w:t>
      </w:r>
      <w:r w:rsidR="00796DAE" w:rsidRPr="00AA494C">
        <w:t>).</w:t>
      </w:r>
      <w:r w:rsidR="00AD4C75">
        <w:t xml:space="preserve"> Evidence of spatial auto</w:t>
      </w:r>
      <w:r w:rsidR="00742605">
        <w:t>correlation was observed across the models. Notably, for accommodation and acceptability, spatial autocorrelation was weak.</w:t>
      </w:r>
    </w:p>
    <w:p w14:paraId="6AC19689" w14:textId="77777777" w:rsidR="00DD3A21" w:rsidRDefault="00DD3A21" w:rsidP="007C7C8E"/>
    <w:p w14:paraId="710A6FA2" w14:textId="15C21E0F" w:rsidR="00DE4559" w:rsidRPr="00AA494C" w:rsidRDefault="00711DD5" w:rsidP="006F1A09">
      <w:pPr>
        <w:pStyle w:val="Figurespace"/>
        <w:rPr>
          <w:rFonts w:eastAsiaTheme="minorEastAsia"/>
        </w:rPr>
      </w:pPr>
      <w:r>
        <w:rPr>
          <w:rFonts w:eastAsiaTheme="minorEastAsia"/>
        </w:rPr>
        <w:lastRenderedPageBreak/>
        <w:drawing>
          <wp:inline distT="0" distB="0" distL="0" distR="0" wp14:anchorId="5307E8F5" wp14:editId="4314B41F">
            <wp:extent cx="4454525" cy="8040419"/>
            <wp:effectExtent l="0" t="0" r="3175" b="0"/>
            <wp:docPr id="357344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44760" name="Picture 3573447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60015" cy="8050328"/>
                    </a:xfrm>
                    <a:prstGeom prst="rect">
                      <a:avLst/>
                    </a:prstGeom>
                  </pic:spPr>
                </pic:pic>
              </a:graphicData>
            </a:graphic>
          </wp:inline>
        </w:drawing>
      </w:r>
    </w:p>
    <w:p w14:paraId="5D2A5098" w14:textId="699032B0" w:rsidR="000B00C1" w:rsidRPr="00F74A2F" w:rsidRDefault="000B6152" w:rsidP="006F1A09">
      <w:pPr>
        <w:pStyle w:val="Figurelabel"/>
      </w:pPr>
      <w:r w:rsidRPr="00AA494C">
        <w:rPr>
          <w:b/>
        </w:rPr>
        <w:t xml:space="preserve">Supplementary Figure </w:t>
      </w:r>
      <w:r w:rsidR="00742605">
        <w:rPr>
          <w:b/>
        </w:rPr>
        <w:t>8</w:t>
      </w:r>
      <w:r w:rsidRPr="00AA494C">
        <w:t xml:space="preserve">: Evidence of spatial autocorrelation and related variogram measures </w:t>
      </w:r>
      <w:r w:rsidRPr="00AA494C">
        <w:rPr>
          <w:b/>
        </w:rPr>
        <w:t>Panel a)</w:t>
      </w:r>
      <w:r w:rsidRPr="00AA494C">
        <w:t xml:space="preserve"> Insurance coverage, </w:t>
      </w:r>
      <w:r w:rsidRPr="00AA494C">
        <w:rPr>
          <w:b/>
        </w:rPr>
        <w:t>Panel b)</w:t>
      </w:r>
      <w:r w:rsidRPr="00AA494C">
        <w:t xml:space="preserve"> Satisfaction with service organization, </w:t>
      </w:r>
      <w:r w:rsidRPr="00AA494C">
        <w:rPr>
          <w:b/>
        </w:rPr>
        <w:t>Panel c)</w:t>
      </w:r>
      <w:r w:rsidRPr="00AA494C">
        <w:t xml:space="preserve"> Satisfaction with service provision.</w:t>
      </w:r>
    </w:p>
    <w:p w14:paraId="71712B9F" w14:textId="6E2BB4E4" w:rsidR="000006E8" w:rsidRPr="00AA494C" w:rsidRDefault="0024336D" w:rsidP="007C7C8E">
      <w:pPr>
        <w:pStyle w:val="Heading3"/>
        <w:rPr>
          <w:rFonts w:eastAsiaTheme="minorEastAsia"/>
        </w:rPr>
      </w:pPr>
      <w:bookmarkStart w:id="15" w:name="_Toc234333156"/>
      <w:r w:rsidRPr="00F945D7">
        <w:lastRenderedPageBreak/>
        <w:t>MESH</w:t>
      </w:r>
      <w:bookmarkEnd w:id="15"/>
    </w:p>
    <w:p w14:paraId="11632A62" w14:textId="7DB0C893" w:rsidR="001E517D" w:rsidRPr="00AA494C" w:rsidRDefault="001E517D" w:rsidP="007C7C8E">
      <w:pPr>
        <w:rPr>
          <w:rFonts w:eastAsiaTheme="minorEastAsia"/>
        </w:rPr>
      </w:pPr>
      <w:r w:rsidRPr="00AA494C">
        <w:rPr>
          <w:rFonts w:eastAsiaTheme="minorEastAsia"/>
        </w:rPr>
        <w:t xml:space="preserve">The stochastic partial differential equations (SPDE) approach requires a finite representation of the underlying continuous Gaussian field, defined by a </w:t>
      </w:r>
      <w:r w:rsidR="003D5BE8" w:rsidRPr="00AA494C">
        <w:rPr>
          <w:rFonts w:eastAsiaTheme="minorEastAsia"/>
        </w:rPr>
        <w:t>Matèrn</w:t>
      </w:r>
      <w:r w:rsidRPr="00AA494C">
        <w:rPr>
          <w:rFonts w:eastAsiaTheme="minorEastAsia"/>
        </w:rPr>
        <w:t xml:space="preserve"> covariance function, using a </w:t>
      </w:r>
      <w:r w:rsidR="003D5BE8" w:rsidRPr="00AA494C">
        <w:rPr>
          <w:rFonts w:eastAsiaTheme="minorEastAsia"/>
        </w:rPr>
        <w:t>discretised</w:t>
      </w:r>
      <w:r w:rsidRPr="00AA494C">
        <w:rPr>
          <w:rFonts w:eastAsiaTheme="minorEastAsia"/>
        </w:rPr>
        <w:t xml:space="preserve"> Gaussian Markov Random Field (GMRF) </w:t>
      </w:r>
      <w:r w:rsidR="006D1638" w:rsidRPr="006D1638">
        <w:rPr>
          <w:rFonts w:eastAsiaTheme="minorEastAsia" w:cs="Arial"/>
          <w:color w:val="000000"/>
        </w:rPr>
        <w:t>[1</w:t>
      </w:r>
      <w:r w:rsidR="00D4399E">
        <w:rPr>
          <w:rFonts w:eastAsiaTheme="minorEastAsia" w:cs="Arial"/>
          <w:color w:val="000000"/>
        </w:rPr>
        <w:t>9</w:t>
      </w:r>
      <w:r w:rsidR="006D1638" w:rsidRPr="006D1638">
        <w:rPr>
          <w:rFonts w:eastAsiaTheme="minorEastAsia" w:cs="Arial"/>
          <w:color w:val="000000"/>
        </w:rPr>
        <w:t>]</w:t>
      </w:r>
      <w:r w:rsidRPr="00AA494C">
        <w:rPr>
          <w:rFonts w:eastAsiaTheme="minorEastAsia"/>
        </w:rPr>
        <w:t xml:space="preserve">. This discretization is implemented by constructing a triangulated mesh over the study area, which </w:t>
      </w:r>
      <w:r w:rsidR="003D5BE8" w:rsidRPr="00AA494C">
        <w:rPr>
          <w:rFonts w:eastAsiaTheme="minorEastAsia"/>
        </w:rPr>
        <w:t>discretises</w:t>
      </w:r>
      <w:r w:rsidRPr="00AA494C">
        <w:rPr>
          <w:rFonts w:eastAsiaTheme="minorEastAsia"/>
        </w:rPr>
        <w:t xml:space="preserve"> the spatial process onto the mesh vertices. This discretization allows us to leverage the computational advantages of a GMRF while approximating the desired </w:t>
      </w:r>
      <w:r w:rsidR="003D5BE8" w:rsidRPr="00AA494C">
        <w:rPr>
          <w:rFonts w:eastAsiaTheme="minorEastAsia"/>
        </w:rPr>
        <w:t>Matèrn</w:t>
      </w:r>
      <w:r w:rsidRPr="00AA494C">
        <w:rPr>
          <w:rFonts w:eastAsiaTheme="minorEastAsia"/>
        </w:rPr>
        <w:t xml:space="preserve"> covariance structure</w:t>
      </w:r>
      <w:r w:rsidR="003779F8">
        <w:rPr>
          <w:rFonts w:eastAsiaTheme="minorEastAsia"/>
        </w:rPr>
        <w:t xml:space="preserve"> </w:t>
      </w:r>
      <w:r w:rsidR="006D1638" w:rsidRPr="006D1638">
        <w:rPr>
          <w:rFonts w:eastAsiaTheme="minorEastAsia" w:cs="Arial"/>
          <w:color w:val="000000"/>
        </w:rPr>
        <w:t>[1</w:t>
      </w:r>
      <w:r w:rsidR="00D4399E">
        <w:rPr>
          <w:rFonts w:eastAsiaTheme="minorEastAsia" w:cs="Arial"/>
          <w:color w:val="000000"/>
        </w:rPr>
        <w:t>9</w:t>
      </w:r>
      <w:r w:rsidR="006D1638" w:rsidRPr="006D1638">
        <w:rPr>
          <w:rFonts w:eastAsiaTheme="minorEastAsia" w:cs="Arial"/>
          <w:color w:val="000000"/>
        </w:rPr>
        <w:t>]</w:t>
      </w:r>
      <w:r w:rsidRPr="00AA494C">
        <w:rPr>
          <w:rFonts w:eastAsiaTheme="minorEastAsia"/>
        </w:rPr>
        <w:t>.</w:t>
      </w:r>
      <w:r w:rsidR="00C473F6" w:rsidRPr="00AA494C">
        <w:rPr>
          <w:rFonts w:eastAsiaTheme="minorEastAsia"/>
        </w:rPr>
        <w:t xml:space="preserve"> The MES</w:t>
      </w:r>
      <w:r w:rsidR="000A0F00" w:rsidRPr="00AA494C">
        <w:rPr>
          <w:rFonts w:eastAsiaTheme="minorEastAsia"/>
        </w:rPr>
        <w:t>H</w:t>
      </w:r>
      <w:r w:rsidR="00C473F6" w:rsidRPr="00AA494C">
        <w:rPr>
          <w:rFonts w:eastAsiaTheme="minorEastAsia"/>
        </w:rPr>
        <w:t xml:space="preserve"> for each of the</w:t>
      </w:r>
      <w:r w:rsidR="0095083A" w:rsidRPr="00AA494C">
        <w:rPr>
          <w:rFonts w:eastAsiaTheme="minorEastAsia"/>
        </w:rPr>
        <w:t xml:space="preserve"> point datasets was created based on the theoretical ranges obtained from the variograms with the vertices lengths set within a fifth </w:t>
      </w:r>
      <w:r w:rsidR="000A0F00" w:rsidRPr="00AA494C">
        <w:rPr>
          <w:rFonts w:eastAsiaTheme="minorEastAsia"/>
        </w:rPr>
        <w:t>and tenth of the ranges</w:t>
      </w:r>
      <w:r w:rsidR="004A1108">
        <w:rPr>
          <w:rFonts w:eastAsiaTheme="minorEastAsia"/>
        </w:rPr>
        <w:t xml:space="preserve"> (Supplementary Figure 9)</w:t>
      </w:r>
      <w:r w:rsidR="00210739" w:rsidRPr="00AA494C">
        <w:rPr>
          <w:rFonts w:eastAsiaTheme="minorEastAsia"/>
        </w:rPr>
        <w:t>.</w:t>
      </w:r>
    </w:p>
    <w:p w14:paraId="62358342" w14:textId="7E7652F1" w:rsidR="00946C51" w:rsidRPr="00AA494C" w:rsidRDefault="001E54B2" w:rsidP="006F1A09">
      <w:pPr>
        <w:pStyle w:val="Figurespace"/>
      </w:pPr>
      <w:r>
        <w:drawing>
          <wp:inline distT="0" distB="0" distL="0" distR="0" wp14:anchorId="5D33DD0C" wp14:editId="1CA6FBB9">
            <wp:extent cx="4957770" cy="6457950"/>
            <wp:effectExtent l="0" t="0" r="0" b="0"/>
            <wp:docPr id="1702723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2320" name="Picture 1702723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61939" cy="6463381"/>
                    </a:xfrm>
                    <a:prstGeom prst="rect">
                      <a:avLst/>
                    </a:prstGeom>
                  </pic:spPr>
                </pic:pic>
              </a:graphicData>
            </a:graphic>
          </wp:inline>
        </w:drawing>
      </w:r>
    </w:p>
    <w:p w14:paraId="5F82B4BD" w14:textId="48DF8306" w:rsidR="00946C51" w:rsidRPr="00AA494C" w:rsidRDefault="00946C51" w:rsidP="006F1A09">
      <w:pPr>
        <w:pStyle w:val="Figurelabel"/>
        <w:rPr>
          <w:rFonts w:eastAsiaTheme="minorEastAsia"/>
        </w:rPr>
      </w:pPr>
      <w:r w:rsidRPr="00AA494C">
        <w:rPr>
          <w:b/>
        </w:rPr>
        <w:t xml:space="preserve">Supplementary Figure </w:t>
      </w:r>
      <w:r w:rsidR="00742605">
        <w:rPr>
          <w:b/>
        </w:rPr>
        <w:t>9</w:t>
      </w:r>
      <w:r w:rsidRPr="00AA494C">
        <w:t>: MESH used for the M</w:t>
      </w:r>
      <w:r w:rsidR="00E24859">
        <w:t>odel</w:t>
      </w:r>
      <w:r w:rsidR="003B255A">
        <w:t>-</w:t>
      </w:r>
      <w:r w:rsidRPr="00AA494C">
        <w:t>B</w:t>
      </w:r>
      <w:r w:rsidR="00E24859">
        <w:t xml:space="preserve">ased </w:t>
      </w:r>
      <w:r w:rsidRPr="00AA494C">
        <w:t>G</w:t>
      </w:r>
      <w:r w:rsidR="00E24859">
        <w:t>eostatistical interpolation</w:t>
      </w:r>
      <w:r w:rsidRPr="00AA494C">
        <w:t>.</w:t>
      </w:r>
      <w:r w:rsidR="00F57E53">
        <w:t xml:space="preserve"> Green dots show location of sampled points.</w:t>
      </w:r>
    </w:p>
    <w:p w14:paraId="1F23C25B" w14:textId="6A9CBD29" w:rsidR="00946C51" w:rsidRPr="00AA494C" w:rsidRDefault="00946C51" w:rsidP="007C7C8E">
      <w:pPr>
        <w:pStyle w:val="Heading3"/>
      </w:pPr>
      <w:bookmarkStart w:id="16" w:name="_Toc234333157"/>
      <w:r w:rsidRPr="00AA494C">
        <w:lastRenderedPageBreak/>
        <w:t>Model fitting and interpolation</w:t>
      </w:r>
      <w:bookmarkEnd w:id="16"/>
    </w:p>
    <w:p w14:paraId="5FCABC1C" w14:textId="468C39B2" w:rsidR="000006E8" w:rsidRDefault="001B149D" w:rsidP="007C7C8E">
      <w:pPr>
        <w:rPr>
          <w:rFonts w:eastAsiaTheme="minorEastAsia"/>
        </w:rPr>
      </w:pPr>
      <w:r w:rsidRPr="00AA494C">
        <w:rPr>
          <w:rFonts w:eastAsiaTheme="minorEastAsia"/>
        </w:rPr>
        <w:t xml:space="preserve">The Matèrn covariance structure </w:t>
      </w:r>
      <w:r w:rsidR="00831FB4" w:rsidRPr="00AA494C">
        <w:rPr>
          <w:rFonts w:eastAsiaTheme="minorEastAsia"/>
        </w:rPr>
        <w:t>was applied to the MESH to define structured spatial random effects</w:t>
      </w:r>
      <w:r w:rsidR="007C5D9D" w:rsidRPr="00AA494C">
        <w:rPr>
          <w:rFonts w:eastAsiaTheme="minorEastAsia"/>
        </w:rPr>
        <w:t>. Specifically</w:t>
      </w:r>
      <w:r w:rsidR="001E517D" w:rsidRPr="00AA494C">
        <w:rPr>
          <w:rFonts w:eastAsiaTheme="minorEastAsia"/>
        </w:rPr>
        <w:t>, Penalized Complexity (PC) priors</w:t>
      </w:r>
      <w:r w:rsidR="007C5D9D" w:rsidRPr="00AA494C">
        <w:rPr>
          <w:rFonts w:eastAsiaTheme="minorEastAsia"/>
        </w:rPr>
        <w:t xml:space="preserve"> were specified</w:t>
      </w:r>
      <w:r w:rsidR="001E517D" w:rsidRPr="00AA494C">
        <w:rPr>
          <w:rFonts w:eastAsiaTheme="minorEastAsia"/>
        </w:rPr>
        <w:t xml:space="preserve"> for the Matèrn covariance structure to regularize the model and prevent overfitting</w:t>
      </w:r>
      <w:r w:rsidR="003779F8">
        <w:rPr>
          <w:rFonts w:eastAsiaTheme="minorEastAsia"/>
        </w:rPr>
        <w:t xml:space="preserve"> </w:t>
      </w:r>
      <w:r w:rsidR="006D1638" w:rsidRPr="006D1638">
        <w:rPr>
          <w:rFonts w:eastAsiaTheme="minorEastAsia" w:cs="Arial"/>
          <w:color w:val="000000"/>
        </w:rPr>
        <w:t>[</w:t>
      </w:r>
      <w:r w:rsidR="00D4399E">
        <w:rPr>
          <w:rFonts w:eastAsiaTheme="minorEastAsia" w:cs="Arial"/>
          <w:color w:val="000000"/>
        </w:rPr>
        <w:t>20</w:t>
      </w:r>
      <w:r w:rsidR="006D1638" w:rsidRPr="006D1638">
        <w:rPr>
          <w:rFonts w:eastAsiaTheme="minorEastAsia" w:cs="Arial"/>
          <w:color w:val="000000"/>
        </w:rPr>
        <w:t>]</w:t>
      </w:r>
      <w:r w:rsidR="001E517D" w:rsidRPr="00AA494C">
        <w:rPr>
          <w:rFonts w:eastAsiaTheme="minorEastAsia"/>
        </w:rPr>
        <w:t xml:space="preserve">. We set </w:t>
      </w:r>
      <w:r w:rsidR="005E4CFD" w:rsidRPr="00AA494C">
        <w:rPr>
          <w:rFonts w:eastAsiaTheme="minorEastAsia"/>
        </w:rPr>
        <w:t>conservative</w:t>
      </w:r>
      <w:r w:rsidR="001E517D" w:rsidRPr="00AA494C">
        <w:rPr>
          <w:rFonts w:eastAsiaTheme="minorEastAsia"/>
        </w:rPr>
        <w:t xml:space="preserve"> prior probability of 0.</w:t>
      </w:r>
      <w:r w:rsidR="005E4CFD" w:rsidRPr="00AA494C">
        <w:rPr>
          <w:rFonts w:eastAsiaTheme="minorEastAsia"/>
        </w:rPr>
        <w:t>9</w:t>
      </w:r>
      <w:r w:rsidR="001E517D" w:rsidRPr="00AA494C">
        <w:rPr>
          <w:rFonts w:eastAsiaTheme="minorEastAsia"/>
        </w:rPr>
        <w:t xml:space="preserve"> that the spatial range was less than </w:t>
      </w:r>
      <w:r w:rsidR="005E4CFD" w:rsidRPr="00AA494C">
        <w:rPr>
          <w:rFonts w:eastAsiaTheme="minorEastAsia"/>
        </w:rPr>
        <w:t>the ranges defined by the respective variograms (</w:t>
      </w:r>
      <w:r w:rsidR="005E4CFD" w:rsidRPr="00AA494C">
        <w:t xml:space="preserve">Supplementary Figure </w:t>
      </w:r>
      <w:r w:rsidR="000C3A2D">
        <w:t>8</w:t>
      </w:r>
      <w:r w:rsidR="005E4CFD" w:rsidRPr="00AA494C">
        <w:t>)</w:t>
      </w:r>
      <w:r w:rsidR="001E517D" w:rsidRPr="00AA494C">
        <w:rPr>
          <w:rFonts w:eastAsiaTheme="minorEastAsia"/>
        </w:rPr>
        <w:t xml:space="preserve">, which allows for a simpler model </w:t>
      </w:r>
      <w:r w:rsidR="00FF5CE5" w:rsidRPr="00AA494C">
        <w:rPr>
          <w:rFonts w:eastAsiaTheme="minorEastAsia"/>
        </w:rPr>
        <w:t>favouring</w:t>
      </w:r>
      <w:r w:rsidR="001E517D" w:rsidRPr="00AA494C">
        <w:rPr>
          <w:rFonts w:eastAsiaTheme="minorEastAsia"/>
        </w:rPr>
        <w:t xml:space="preserve"> shorter</w:t>
      </w:r>
      <w:r w:rsidR="003B255A">
        <w:rPr>
          <w:rFonts w:eastAsiaTheme="minorEastAsia"/>
        </w:rPr>
        <w:t>-</w:t>
      </w:r>
      <w:r w:rsidR="001E517D" w:rsidRPr="00AA494C">
        <w:rPr>
          <w:rFonts w:eastAsiaTheme="minorEastAsia"/>
        </w:rPr>
        <w:t>range dependence but is weakly informative enough to be updated by the data should stronger evidence for longer</w:t>
      </w:r>
      <w:r w:rsidR="003B255A">
        <w:rPr>
          <w:rFonts w:eastAsiaTheme="minorEastAsia"/>
        </w:rPr>
        <w:t>-</w:t>
      </w:r>
      <w:r w:rsidR="001E517D" w:rsidRPr="00AA494C">
        <w:rPr>
          <w:rFonts w:eastAsiaTheme="minorEastAsia"/>
        </w:rPr>
        <w:t>range correlation exist. S</w:t>
      </w:r>
      <w:r w:rsidR="008A2FAA" w:rsidRPr="00AA494C">
        <w:rPr>
          <w:rFonts w:eastAsiaTheme="minorEastAsia"/>
        </w:rPr>
        <w:t>imilarly, s</w:t>
      </w:r>
      <w:r w:rsidR="001E517D" w:rsidRPr="00AA494C">
        <w:rPr>
          <w:rFonts w:eastAsiaTheme="minorEastAsia"/>
        </w:rPr>
        <w:t xml:space="preserve">tandard deviation parameter PC prior of the spatial field was set not exceeding </w:t>
      </w:r>
      <w:r w:rsidR="008A2FAA" w:rsidRPr="00AA494C">
        <w:rPr>
          <w:rFonts w:eastAsiaTheme="minorEastAsia"/>
        </w:rPr>
        <w:t>those from the respective variograms</w:t>
      </w:r>
      <w:r w:rsidR="001E517D" w:rsidRPr="00AA494C">
        <w:rPr>
          <w:rFonts w:eastAsiaTheme="minorEastAsia"/>
        </w:rPr>
        <w:t>.</w:t>
      </w:r>
    </w:p>
    <w:p w14:paraId="7C266253" w14:textId="06D7DDF6" w:rsidR="00EB5B4A" w:rsidRPr="00EB5B4A" w:rsidRDefault="00EB5B4A" w:rsidP="007C7C8E">
      <w:pPr>
        <w:pStyle w:val="Heading3"/>
        <w:rPr>
          <w:rFonts w:eastAsiaTheme="minorEastAsia"/>
        </w:rPr>
      </w:pPr>
      <w:bookmarkStart w:id="17" w:name="_Toc234333158"/>
      <w:r>
        <w:rPr>
          <w:rFonts w:eastAsiaTheme="minorEastAsia"/>
        </w:rPr>
        <w:t xml:space="preserve">Dasymetric </w:t>
      </w:r>
      <w:r w:rsidR="006418B3" w:rsidRPr="006418B3">
        <w:rPr>
          <w:rFonts w:eastAsiaTheme="minorEastAsia"/>
        </w:rPr>
        <w:t>adjustment</w:t>
      </w:r>
      <w:bookmarkEnd w:id="17"/>
    </w:p>
    <w:p w14:paraId="40BA6741" w14:textId="048463C0" w:rsidR="00E5073F" w:rsidRDefault="00E5073F" w:rsidP="007C7C8E">
      <w:r w:rsidRPr="00B5039D">
        <w:t>To adjust the 2010 KSPA accommodation and acceptability surfaces to 2018 levels, a dasymetric logit</w:t>
      </w:r>
      <w:r w:rsidR="003B255A">
        <w:t>-</w:t>
      </w:r>
      <w:r w:rsidRPr="00B5039D">
        <w:t>space adjustment using county</w:t>
      </w:r>
      <w:r w:rsidR="003B255A">
        <w:t>-</w:t>
      </w:r>
      <w:r w:rsidRPr="00B5039D">
        <w:t>level survey</w:t>
      </w:r>
      <w:r w:rsidR="003B255A">
        <w:t>-</w:t>
      </w:r>
      <w:r w:rsidRPr="00B5039D">
        <w:t>weighted summaries from the 2018 KHHEUS</w:t>
      </w:r>
      <w:r>
        <w:t xml:space="preserve"> was </w:t>
      </w:r>
      <w:r w:rsidRPr="00B5039D">
        <w:t>employed. This method preserves the fine</w:t>
      </w:r>
      <w:r w:rsidR="003B255A">
        <w:t>-</w:t>
      </w:r>
      <w:r w:rsidRPr="00B5039D">
        <w:t>scale spatial patterns of the original 1 km geostatistical surfaces while ensuring that the county means of the adjusted rasters match the 2018 targets, avoiding the crude approach of assigning uniform county values to all pixels. Simple additive shifts on the probability scale risk violating the [0,1] bounds, and multiplicative shifts distort variance and cannot handle zero values. Working in logit space circumvents these issues: the logit transformation,</w:t>
      </w:r>
      <w:r>
        <w:t xml:space="preserve"> </w:t>
      </w:r>
      <m:oMath>
        <m:r>
          <w:rPr>
            <w:rFonts w:ascii="Cambria Math" w:hAnsi="Cambria Math"/>
          </w:rPr>
          <m:t>logit</m:t>
        </m:r>
        <m:d>
          <m:dPr>
            <m:ctrlPr>
              <w:rPr>
                <w:rFonts w:ascii="Cambria Math" w:hAnsi="Cambria Math"/>
                <w:i/>
              </w:rPr>
            </m:ctrlPr>
          </m:dPr>
          <m:e>
            <m:r>
              <w:rPr>
                <w:rFonts w:ascii="Cambria Math" w:hAnsi="Cambria Math"/>
              </w:rPr>
              <m:t>p</m:t>
            </m:r>
          </m:e>
        </m:d>
        <m:r>
          <w:rPr>
            <w:rFonts w:ascii="Cambria Math" w:hAnsi="Cambria Math"/>
          </w:rPr>
          <m:t>=ln</m:t>
        </m:r>
        <m:d>
          <m:dPr>
            <m:ctrlPr>
              <w:rPr>
                <w:rFonts w:ascii="Cambria Math" w:hAnsi="Cambria Math"/>
                <w:i/>
              </w:rPr>
            </m:ctrlPr>
          </m:dPr>
          <m:e>
            <m:f>
              <m:fPr>
                <m:ctrlPr>
                  <w:rPr>
                    <w:rFonts w:ascii="Cambria Math" w:hAnsi="Cambria Math"/>
                    <w:i/>
                  </w:rPr>
                </m:ctrlPr>
              </m:fPr>
              <m:num>
                <m:r>
                  <w:rPr>
                    <w:rFonts w:ascii="Cambria Math" w:hAnsi="Cambria Math"/>
                  </w:rPr>
                  <m:t>p</m:t>
                </m:r>
              </m:num>
              <m:den>
                <m:r>
                  <w:rPr>
                    <w:rFonts w:ascii="Cambria Math" w:hAnsi="Cambria Math"/>
                  </w:rPr>
                  <m:t>1-p</m:t>
                </m:r>
              </m:den>
            </m:f>
          </m:e>
        </m:d>
      </m:oMath>
      <w:r w:rsidRPr="007446F5">
        <w:t>,</w:t>
      </w:r>
      <w:r>
        <w:t xml:space="preserve"> </w:t>
      </w:r>
      <w:r w:rsidRPr="002A1A69">
        <w:t>maps probabilities to the real line</w:t>
      </w:r>
      <w:r>
        <w:t xml:space="preserve"> </w:t>
      </w:r>
      <w:r w:rsidRPr="00F77A55">
        <w:t>for natural additive shifts, with logistic back</w:t>
      </w:r>
      <w:r w:rsidR="003B255A">
        <w:t>-</w:t>
      </w:r>
      <w:r w:rsidRPr="00F77A55">
        <w:t>transformation guaranteeing valid (0,1) output</w:t>
      </w:r>
      <w:r w:rsidRPr="002A1A69">
        <w:t>.</w:t>
      </w:r>
    </w:p>
    <w:p w14:paraId="4A17EF45" w14:textId="46421CF5" w:rsidR="00E5073F" w:rsidRDefault="00E5073F" w:rsidP="007C7C8E">
      <w:r w:rsidRPr="002A1A69">
        <w:t>For each county </w:t>
      </w:r>
      <m:oMath>
        <m:r>
          <w:rPr>
            <w:rFonts w:ascii="Cambria Math" w:hAnsi="Cambria Math"/>
          </w:rPr>
          <m:t>c</m:t>
        </m:r>
      </m:oMath>
      <w:r w:rsidRPr="002A1A69">
        <w:t> and dimension</w:t>
      </w:r>
      <w:r>
        <w:t xml:space="preserve">, </w:t>
      </w:r>
      <w:r w:rsidRPr="002A1A69">
        <w:t>we solved for a constant shift </w:t>
      </w:r>
      <m:oMath>
        <m:sSub>
          <m:sSubPr>
            <m:ctrlPr>
              <w:rPr>
                <w:rFonts w:ascii="Cambria Math" w:hAnsi="Cambria Math"/>
              </w:rPr>
            </m:ctrlPr>
          </m:sSubPr>
          <m:e>
            <m:r>
              <w:rPr>
                <w:rFonts w:ascii="Cambria Math" w:hAnsi="Cambria Math"/>
              </w:rPr>
              <m:t>δ</m:t>
            </m:r>
          </m:e>
          <m:sub>
            <m:r>
              <w:rPr>
                <w:rFonts w:ascii="Cambria Math" w:hAnsi="Cambria Math"/>
              </w:rPr>
              <m:t>c</m:t>
            </m:r>
          </m:sub>
        </m:sSub>
      </m:oMath>
      <w:r>
        <w:rPr>
          <w:rFonts w:eastAsiaTheme="minorEastAsia"/>
        </w:rPr>
        <w:t>,</w:t>
      </w:r>
      <w:r w:rsidRPr="002A1A69">
        <w:t> s</w:t>
      </w:r>
      <w:r w:rsidRPr="006A2015">
        <w:t>uch that</w:t>
      </w:r>
      <w:r>
        <w:t xml:space="preserve"> </w:t>
      </w:r>
      <w:r w:rsidRPr="004C208B">
        <w:t>after adding </w:t>
      </w:r>
      <m:oMath>
        <m:sSub>
          <m:sSubPr>
            <m:ctrlPr>
              <w:rPr>
                <w:rFonts w:ascii="Cambria Math" w:hAnsi="Cambria Math"/>
              </w:rPr>
            </m:ctrlPr>
          </m:sSubPr>
          <m:e>
            <m:r>
              <w:rPr>
                <w:rFonts w:ascii="Cambria Math" w:hAnsi="Cambria Math"/>
              </w:rPr>
              <m:t>δ</m:t>
            </m:r>
          </m:e>
          <m:sub>
            <m:r>
              <w:rPr>
                <w:rFonts w:ascii="Cambria Math" w:hAnsi="Cambria Math"/>
              </w:rPr>
              <m:t>c</m:t>
            </m:r>
          </m:sub>
        </m:sSub>
      </m:oMath>
      <w:r w:rsidRPr="004C208B">
        <w:t> to the logit of all pixels in the county and back</w:t>
      </w:r>
      <w:r w:rsidR="003B255A">
        <w:t>-</w:t>
      </w:r>
      <w:r w:rsidRPr="004C208B">
        <w:t>transforming, the average of the resulting values equals the 2018 target </w:t>
      </w:r>
      <m:oMath>
        <m:sSub>
          <m:sSubPr>
            <m:ctrlPr>
              <w:rPr>
                <w:rFonts w:ascii="Cambria Math" w:hAnsi="Cambria Math"/>
              </w:rPr>
            </m:ctrlPr>
          </m:sSubPr>
          <m:e>
            <m:acc>
              <m:accPr>
                <m:chr m:val="ˉ"/>
                <m:ctrlPr>
                  <w:rPr>
                    <w:rFonts w:ascii="Cambria Math" w:hAnsi="Cambria Math"/>
                  </w:rPr>
                </m:ctrlPr>
              </m:accPr>
              <m:e>
                <m:r>
                  <w:rPr>
                    <w:rFonts w:ascii="Cambria Math" w:hAnsi="Cambria Math"/>
                  </w:rPr>
                  <m:t>p</m:t>
                </m:r>
              </m:e>
            </m:acc>
          </m:e>
          <m:sub>
            <m:r>
              <w:rPr>
                <w:rFonts w:ascii="Cambria Math" w:hAnsi="Cambria Math"/>
              </w:rPr>
              <m:t>c,2018</m:t>
            </m:r>
          </m:sub>
        </m:sSub>
      </m:oMath>
      <w:r w:rsidRPr="004C208B">
        <w:t>:</w:t>
      </w:r>
    </w:p>
    <w:p w14:paraId="13430EEC" w14:textId="77777777" w:rsidR="00E5073F" w:rsidRDefault="00E5073F" w:rsidP="007C7C8E">
      <m:oMathPara>
        <m:oMath>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c</m:t>
                  </m:r>
                </m:sub>
              </m:sSub>
            </m:den>
          </m:f>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i∈c</m:t>
              </m:r>
            </m: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r>
                                <w:rPr>
                                  <w:rFonts w:ascii="Cambria Math" w:hAnsi="Cambria Math"/>
                                </w:rPr>
                                <m:t>logit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2010</m:t>
                                      </m:r>
                                    </m:sup>
                                  </m:sSubSup>
                                </m:e>
                              </m:d>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c</m:t>
                                  </m:r>
                                </m:sub>
                              </m:sSub>
                            </m:e>
                          </m:d>
                        </m:sup>
                      </m:sSup>
                    </m:den>
                  </m:f>
                </m:e>
              </m:d>
            </m:e>
          </m:nary>
          <m:r>
            <w:rPr>
              <w:rFonts w:ascii="Cambria Math" w:hAnsi="Cambria Math"/>
            </w:rPr>
            <m:t xml:space="preserve"> = </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p</m:t>
                  </m:r>
                </m:e>
              </m:acc>
            </m:e>
            <m:sub>
              <m:r>
                <w:rPr>
                  <w:rFonts w:ascii="Cambria Math" w:hAnsi="Cambria Math"/>
                </w:rPr>
                <m:t>c</m:t>
              </m:r>
            </m:sub>
            <m:sup>
              <m:r>
                <w:rPr>
                  <w:rFonts w:ascii="Cambria Math" w:hAnsi="Cambria Math"/>
                </w:rPr>
                <m:t>2018</m:t>
              </m:r>
            </m:sup>
          </m:sSubSup>
        </m:oMath>
      </m:oMathPara>
    </w:p>
    <w:p w14:paraId="0EA039F2" w14:textId="3005ACF7" w:rsidR="00E5073F" w:rsidRDefault="00E5073F" w:rsidP="007C7C8E">
      <w:r w:rsidRPr="00A35377">
        <w:rPr>
          <w:rFonts w:eastAsiaTheme="minorEastAsia"/>
        </w:rPr>
        <w:t>The left</w:t>
      </w:r>
      <w:r w:rsidR="003B255A">
        <w:rPr>
          <w:rFonts w:eastAsiaTheme="minorEastAsia"/>
        </w:rPr>
        <w:t>-</w:t>
      </w:r>
      <w:r w:rsidRPr="00A35377">
        <w:rPr>
          <w:rFonts w:eastAsiaTheme="minorEastAsia"/>
        </w:rPr>
        <w:t>hand side is strictly increasing in</w:t>
      </w:r>
      <w:r w:rsidRPr="00A35377">
        <w:rPr>
          <w:rFonts w:eastAsiaTheme="minorEastAsia"/>
          <w:b/>
          <w:bCs/>
        </w:rPr>
        <w:t> </w:t>
      </w:r>
      <m:oMath>
        <m:sSub>
          <m:sSubPr>
            <m:ctrlPr>
              <w:rPr>
                <w:rFonts w:ascii="Cambria Math" w:eastAsiaTheme="minorEastAsia" w:hAnsi="Cambria Math"/>
              </w:rPr>
            </m:ctrlPr>
          </m:sSubPr>
          <m:e>
            <m:r>
              <w:rPr>
                <w:rFonts w:ascii="Cambria Math" w:eastAsiaTheme="minorEastAsia" w:hAnsi="Cambria Math"/>
              </w:rPr>
              <m:t>δ</m:t>
            </m:r>
          </m:e>
          <m:sub>
            <m:r>
              <w:rPr>
                <w:rFonts w:ascii="Cambria Math" w:eastAsiaTheme="minorEastAsia" w:hAnsi="Cambria Math"/>
              </w:rPr>
              <m:t>c</m:t>
            </m:r>
          </m:sub>
        </m:sSub>
      </m:oMath>
      <w:r w:rsidRPr="00A35377">
        <w:rPr>
          <w:rFonts w:eastAsiaTheme="minorEastAsia"/>
        </w:rPr>
        <w:t>, ensuring a unique solution</w:t>
      </w:r>
      <w:r>
        <w:rPr>
          <w:rFonts w:eastAsiaTheme="minorEastAsia"/>
        </w:rPr>
        <w:t xml:space="preserve"> </w:t>
      </w:r>
      <w:r w:rsidRPr="00DF5EEE">
        <w:t>exists. The shifts were computed numerically using R’s </w:t>
      </w:r>
      <w:r w:rsidRPr="00975D26">
        <w:rPr>
          <w:i/>
          <w:iCs/>
        </w:rPr>
        <w:t>uniroot()</w:t>
      </w:r>
      <w:r w:rsidRPr="00DF5EEE">
        <w:t> function over the interval </w:t>
      </w:r>
      <m:oMath>
        <m:d>
          <m:dPr>
            <m:begChr m:val="["/>
            <m:sepChr m:val=","/>
            <m:endChr m:val="]"/>
            <m:ctrlPr>
              <w:rPr>
                <w:rFonts w:ascii="Cambria Math" w:hAnsi="Cambria Math"/>
              </w:rPr>
            </m:ctrlPr>
          </m:dPr>
          <m:e>
            <m:r>
              <m:rPr>
                <m:nor/>
              </m:rPr>
              <w:rPr>
                <w:rFonts w:ascii="Cambria Math" w:hAnsi="Cambria Math" w:cs="Cambria Math"/>
              </w:rPr>
              <m:t>‑</m:t>
            </m:r>
            <m:r>
              <w:rPr>
                <w:rFonts w:ascii="Cambria Math" w:hAnsi="Cambria Math"/>
              </w:rPr>
              <m:t>10</m:t>
            </m:r>
          </m:e>
          <m:e>
            <m:r>
              <w:rPr>
                <w:rFonts w:ascii="Cambria Math" w:hAnsi="Cambria Math"/>
              </w:rPr>
              <m:t>10</m:t>
            </m:r>
          </m:e>
        </m:d>
      </m:oMath>
      <w:r w:rsidRPr="00DF5EEE">
        <w:t>, which comfortably spans all plausible values (e.g., </w:t>
      </w:r>
      <m:oMath>
        <m:r>
          <m:rPr>
            <m:nor/>
          </m:rPr>
          <m:t>logit</m:t>
        </m:r>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)≈-9.2</m:t>
        </m:r>
      </m:oMath>
      <w:r w:rsidRPr="00DF5EEE">
        <w:t>, </w:t>
      </w:r>
      <m:oMath>
        <m:r>
          <m:rPr>
            <m:nor/>
          </m:rPr>
          <m:t>logit</m:t>
        </m:r>
        <m:r>
          <w:rPr>
            <w:rFonts w:ascii="Cambria Math" w:hAnsi="Cambria Math"/>
          </w:rPr>
          <m:t>(0.9999)≈+9.2</m:t>
        </m:r>
      </m:oMath>
      <w:r w:rsidRPr="00DF5EEE">
        <w:t>), with a tolerance of </w:t>
      </w:r>
      <m:oMath>
        <m:sSup>
          <m:sSupPr>
            <m:ctrlPr>
              <w:rPr>
                <w:rFonts w:ascii="Cambria Math" w:hAnsi="Cambria Math"/>
              </w:rPr>
            </m:ctrlPr>
          </m:sSupPr>
          <m:e>
            <m:r>
              <w:rPr>
                <w:rFonts w:ascii="Cambria Math" w:hAnsi="Cambria Math"/>
              </w:rPr>
              <m:t>10</m:t>
            </m:r>
          </m:e>
          <m:sup>
            <m:r>
              <w:rPr>
                <w:rFonts w:ascii="Cambria Math" w:hAnsi="Cambria Math"/>
              </w:rPr>
              <m:t>-6</m:t>
            </m:r>
          </m:sup>
        </m:sSup>
      </m:oMath>
      <w:r w:rsidRPr="00DF5EEE">
        <w:t> to ensure negligible error in the county means. This approach yields updated 1 km surfaces</w:t>
      </w:r>
      <w:r>
        <w:t xml:space="preserve"> of accommodation and acceptability dimensions</w:t>
      </w:r>
      <w:r w:rsidRPr="00DF5EEE">
        <w:t xml:space="preserve"> that incorporate the more recent survey information while retaining the original within</w:t>
      </w:r>
      <w:r w:rsidR="003B255A">
        <w:t>-</w:t>
      </w:r>
      <w:r w:rsidRPr="00DF5EEE">
        <w:t>county spatial heterogeneity.</w:t>
      </w:r>
    </w:p>
    <w:p w14:paraId="3BF1C1B7" w14:textId="77777777" w:rsidR="00CA773A" w:rsidRDefault="00CA773A" w:rsidP="007C7C8E"/>
    <w:p w14:paraId="790AD6F2" w14:textId="77777777" w:rsidR="00A5777C" w:rsidRPr="00AA494C" w:rsidRDefault="00A5777C" w:rsidP="007C7C8E"/>
    <w:p w14:paraId="7E3EB9D9" w14:textId="77777777" w:rsidR="00A5777C" w:rsidRDefault="00A5777C" w:rsidP="007C7C8E">
      <w:pPr>
        <w:rPr>
          <w:b/>
          <w:bCs/>
        </w:rPr>
      </w:pPr>
      <w:r>
        <w:rPr>
          <w:b/>
          <w:bCs/>
        </w:rPr>
        <w:br w:type="page"/>
      </w:r>
    </w:p>
    <w:p w14:paraId="4D44409C" w14:textId="0B5C329B" w:rsidR="003F2129" w:rsidRDefault="00CD10A0" w:rsidP="007C7C8E">
      <w:pPr>
        <w:pStyle w:val="Heading1"/>
      </w:pPr>
      <w:bookmarkStart w:id="18" w:name="_Toc234333159"/>
      <w:r>
        <w:lastRenderedPageBreak/>
        <w:t>S</w:t>
      </w:r>
      <w:r w:rsidR="003F2129" w:rsidRPr="00AA494C">
        <w:t xml:space="preserve">upplementary notes </w:t>
      </w:r>
      <w:r w:rsidR="004F0F48">
        <w:t>4</w:t>
      </w:r>
      <w:r w:rsidR="003F2129" w:rsidRPr="00AA494C">
        <w:t xml:space="preserve">: </w:t>
      </w:r>
      <w:r>
        <w:t>Composite score cons</w:t>
      </w:r>
      <w:r w:rsidR="00C82DEF">
        <w:t>truction</w:t>
      </w:r>
      <w:bookmarkEnd w:id="18"/>
    </w:p>
    <w:p w14:paraId="2DC36486" w14:textId="5ECB9719" w:rsidR="00CD10A0" w:rsidRDefault="00FF0E6F" w:rsidP="001A56E7">
      <w:pPr>
        <w:pStyle w:val="Heading2"/>
      </w:pPr>
      <w:bookmarkStart w:id="19" w:name="_Toc234333160"/>
      <w:r>
        <w:t xml:space="preserve">Dimension </w:t>
      </w:r>
      <w:r w:rsidRPr="00FF0E6F">
        <w:t>Outlier Handling</w:t>
      </w:r>
      <w:r>
        <w:t xml:space="preserve"> and </w:t>
      </w:r>
      <w:r w:rsidR="002C6578">
        <w:t>normalis</w:t>
      </w:r>
      <w:r>
        <w:t>ation</w:t>
      </w:r>
      <w:bookmarkEnd w:id="19"/>
    </w:p>
    <w:p w14:paraId="68FDC379" w14:textId="45882CD0" w:rsidR="00750069" w:rsidRDefault="00750069" w:rsidP="00377822">
      <w:r>
        <w:t>Each of the five access dimensions was extracted as 1 km × 1 km rasters on different scales. Outliers were addressed using robust Weibull winsori</w:t>
      </w:r>
      <w:r w:rsidR="008202E3">
        <w:t>s</w:t>
      </w:r>
      <w:r>
        <w:t xml:space="preserve">ation </w:t>
      </w:r>
      <w:r w:rsidR="006D1638" w:rsidRPr="006D1638">
        <w:rPr>
          <w:rFonts w:cs="Arial"/>
          <w:color w:val="000000"/>
        </w:rPr>
        <w:t>[</w:t>
      </w:r>
      <w:r w:rsidR="005F5AB9">
        <w:rPr>
          <w:rFonts w:cs="Arial"/>
          <w:color w:val="000000"/>
        </w:rPr>
        <w:t>2</w:t>
      </w:r>
      <w:r w:rsidR="00D4399E">
        <w:rPr>
          <w:rFonts w:cs="Arial"/>
          <w:color w:val="000000"/>
        </w:rPr>
        <w:t>1</w:t>
      </w:r>
      <w:r w:rsidR="006D1638" w:rsidRPr="006D1638">
        <w:rPr>
          <w:rFonts w:cs="Arial"/>
          <w:color w:val="000000"/>
        </w:rPr>
        <w:t>]</w:t>
      </w:r>
      <w:r>
        <w:t>, followed by min</w:t>
      </w:r>
      <w:r>
        <w:rPr>
          <w:rFonts w:ascii="Cambria Math" w:hAnsi="Cambria Math" w:cs="Cambria Math"/>
        </w:rPr>
        <w:t>‑</w:t>
      </w:r>
      <w:r>
        <w:t>max normalization with polarity correction, yielding scores where 1 represents optimal access.</w:t>
      </w:r>
    </w:p>
    <w:p w14:paraId="37A4F7B5" w14:textId="791BC89E" w:rsidR="00ED1EB6" w:rsidRPr="00EC4E7E" w:rsidRDefault="00750069" w:rsidP="00377822">
      <w:r>
        <w:t>Raw dimension values were first winsorised using quantiles from a Weibull distribution fitted robustly for each dimension based on the median and 75th percentile, which are insensitive to outliers</w:t>
      </w:r>
      <w:r w:rsidR="00F75531">
        <w:t xml:space="preserve"> </w:t>
      </w:r>
      <w:r w:rsidR="006D1638" w:rsidRPr="006D1638">
        <w:rPr>
          <w:rFonts w:cs="Arial"/>
          <w:color w:val="000000"/>
        </w:rPr>
        <w:t>[</w:t>
      </w:r>
      <w:r w:rsidR="005F5AB9">
        <w:rPr>
          <w:rFonts w:cs="Arial"/>
          <w:color w:val="000000"/>
        </w:rPr>
        <w:t>2</w:t>
      </w:r>
      <w:r w:rsidR="00D4399E">
        <w:rPr>
          <w:rFonts w:cs="Arial"/>
          <w:color w:val="000000"/>
        </w:rPr>
        <w:t>1</w:t>
      </w:r>
      <w:r w:rsidR="006D1638" w:rsidRPr="006D1638">
        <w:rPr>
          <w:rFonts w:cs="Arial"/>
          <w:color w:val="000000"/>
        </w:rPr>
        <w:t>]</w:t>
      </w:r>
      <w:r>
        <w:t>. Cutoffs were set at the 3rd and 97th percentiles of the fitted distribution. For each tail, the most extreme values</w:t>
      </w:r>
      <w:r w:rsidR="00131B44">
        <w:t xml:space="preserve"> (outliers)</w:t>
      </w:r>
      <w:r>
        <w:t xml:space="preserve"> were replaced using rank</w:t>
      </w:r>
      <w:r>
        <w:rPr>
          <w:rFonts w:ascii="Cambria Math" w:hAnsi="Cambria Math" w:cs="Cambria Math"/>
        </w:rPr>
        <w:t>‑</w:t>
      </w:r>
      <w:r>
        <w:t xml:space="preserve">preserving Weibull quantiles drawn from a probability grid extending from the cutoff down to the 0.1st percentile (left tail) and up to the 99.9th percentile (right tail). Final </w:t>
      </w:r>
      <w:r w:rsidR="00E24E6A">
        <w:t xml:space="preserve">winsorised </w:t>
      </w:r>
      <w:r>
        <w:t xml:space="preserve">values were capped to each dimension’s original observed range to prevent artificial range expansion. The </w:t>
      </w:r>
      <w:r w:rsidR="00E24E6A">
        <w:t xml:space="preserve">winsorised </w:t>
      </w:r>
      <w:r>
        <w:t>values were then normalized using min</w:t>
      </w:r>
      <w:r>
        <w:rPr>
          <w:rFonts w:ascii="Cambria Math" w:hAnsi="Cambria Math" w:cs="Cambria Math"/>
        </w:rPr>
        <w:t>‑</w:t>
      </w:r>
      <w:r>
        <w:t>max scaling with polarity adjustment</w:t>
      </w:r>
      <w:r w:rsidR="00E24E6A">
        <w:t>;</w:t>
      </w:r>
      <w:r w:rsidRPr="00EC4E7E">
        <w:t xml:space="preserve"> </w:t>
      </w:r>
      <w:r w:rsidR="00E24E6A">
        <w:t>E</w:t>
      </w:r>
      <w:r w:rsidR="00ED1EB6" w:rsidRPr="00EC4E7E">
        <w:t>quation 1 for dimensions with positive polarity and Equation 2 for dimensions with negative polarity.</w:t>
      </w:r>
    </w:p>
    <w:p w14:paraId="4EBFA2AF" w14:textId="77777777" w:rsidR="00ED1EB6" w:rsidRPr="00EC4E7E" w:rsidRDefault="00FC1B8F" w:rsidP="00ED1EB6">
      <w:pPr>
        <w:rPr>
          <w:rFonts w:eastAsiaTheme="minorEastAsia"/>
        </w:rPr>
      </w:pPr>
      <m:oMathPara>
        <m:oMath>
          <m:eqArr>
            <m:eqArrPr>
              <m:maxDist m:val="1"/>
              <m:ctrlPr>
                <w:rPr>
                  <w:rFonts w:ascii="Cambria Math" w:hAnsi="Cambria Math"/>
                  <w:i/>
                </w:rPr>
              </m:ctrlPr>
            </m:eqArrPr>
            <m:e>
              <m:acc>
                <m:accPr>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r>
                <w:rPr>
                  <w:rFonts w:ascii="Cambria Math" w:hAnsi="Cambria Math"/>
                </w:rPr>
                <m:t>(</m:t>
              </m:r>
              <m:r>
                <w:rPr>
                  <w:rFonts w:ascii="Cambria Math" w:hAnsi="Cambria Math"/>
                </w:rPr>
                <m:t>u</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r>
                    <w:rPr>
                      <w:rFonts w:ascii="Cambria Math" w:hAnsi="Cambria Math"/>
                    </w:rPr>
                    <m:t>u</m:t>
                  </m:r>
                  <m:r>
                    <w:rPr>
                      <w:rFonts w:ascii="Cambria Math" w:hAnsi="Cambria Math"/>
                    </w:rPr>
                    <m:t>)-</m:t>
                  </m:r>
                  <m:func>
                    <m:funcPr>
                      <m:ctrlPr>
                        <w:rPr>
                          <w:rFonts w:ascii="Cambria Math" w:hAnsi="Cambria Math"/>
                        </w:rPr>
                      </m:ctrlPr>
                    </m:funcPr>
                    <m:fName>
                      <m:r>
                        <m:rPr>
                          <m:sty m:val="p"/>
                        </m:rPr>
                        <w:rPr>
                          <w:rFonts w:ascii="Cambria Math" w:hAnsi="Cambria Math"/>
                        </w:rPr>
                        <m:t>min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e>
                  </m:func>
                </m:num>
                <m:den>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e>
                  </m:func>
                  <m:r>
                    <w:rPr>
                      <w:rFonts w:ascii="Cambria Math" w:hAnsi="Cambria Math"/>
                    </w:rPr>
                    <m:t>-</m:t>
                  </m:r>
                  <m:func>
                    <m:funcPr>
                      <m:ctrlPr>
                        <w:rPr>
                          <w:rFonts w:ascii="Cambria Math" w:hAnsi="Cambria Math"/>
                        </w:rPr>
                      </m:ctrlPr>
                    </m:funcPr>
                    <m:fName>
                      <m:r>
                        <m:rPr>
                          <m:sty m:val="p"/>
                        </m:rPr>
                        <w:rPr>
                          <w:rFonts w:ascii="Cambria Math" w:hAnsi="Cambria Math"/>
                        </w:rPr>
                        <m:t>min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e>
                  </m:func>
                </m:den>
              </m:f>
              <m:r>
                <w:rPr>
                  <w:rFonts w:ascii="Cambria Math" w:hAnsi="Cambria Math"/>
                </w:rPr>
                <m:t xml:space="preserve"> #(1</m:t>
              </m:r>
            </m:e>
          </m:eqArr>
          <m:r>
            <w:rPr>
              <w:rFonts w:ascii="Cambria Math" w:hAnsi="Cambria Math"/>
            </w:rPr>
            <m:t>)</m:t>
          </m:r>
        </m:oMath>
      </m:oMathPara>
    </w:p>
    <w:p w14:paraId="28D0FBCD" w14:textId="77777777" w:rsidR="00ED1EB6" w:rsidRPr="00EC4E7E" w:rsidRDefault="00FC1B8F" w:rsidP="00ED1EB6">
      <w:pPr>
        <w:rPr>
          <w:rFonts w:eastAsiaTheme="minorEastAsia"/>
        </w:rPr>
      </w:pPr>
      <m:oMathPara>
        <m:oMath>
          <m:eqArr>
            <m:eqArrPr>
              <m:maxDist m:val="1"/>
              <m:ctrlPr>
                <w:rPr>
                  <w:rFonts w:ascii="Cambria Math" w:hAnsi="Cambria Math"/>
                  <w:i/>
                </w:rPr>
              </m:ctrlPr>
            </m:eqArrPr>
            <m:e>
              <m:acc>
                <m:accPr>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r>
                <w:rPr>
                  <w:rFonts w:ascii="Cambria Math" w:hAnsi="Cambria Math"/>
                </w:rPr>
                <m:t>(</m:t>
              </m:r>
              <m:r>
                <w:rPr>
                  <w:rFonts w:ascii="Cambria Math" w:hAnsi="Cambria Math"/>
                </w:rPr>
                <m:t>u</m:t>
              </m:r>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e>
                  </m:func>
                  <m:r>
                    <w:rPr>
                      <w:rFonts w:ascii="Cambria Math" w:hAnsi="Cambria Math"/>
                    </w:rPr>
                    <m:t>-</m:t>
                  </m:r>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j</m:t>
                      </m:r>
                    </m:sub>
                  </m:sSub>
                  <m:d>
                    <m:dPr>
                      <m:ctrlPr>
                        <w:rPr>
                          <w:rFonts w:ascii="Cambria Math" w:hAnsi="Cambria Math"/>
                          <w:i/>
                        </w:rPr>
                      </m:ctrlPr>
                    </m:dPr>
                    <m:e>
                      <m:r>
                        <w:rPr>
                          <w:rFonts w:ascii="Cambria Math" w:hAnsi="Cambria Math"/>
                        </w:rPr>
                        <m:t>u</m:t>
                      </m:r>
                    </m:e>
                  </m:d>
                </m:num>
                <m:den>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e>
                  </m:func>
                  <m:r>
                    <w:rPr>
                      <w:rFonts w:ascii="Cambria Math" w:hAnsi="Cambria Math"/>
                    </w:rPr>
                    <m:t>-</m:t>
                  </m:r>
                  <m:func>
                    <m:funcPr>
                      <m:ctrlPr>
                        <w:rPr>
                          <w:rFonts w:ascii="Cambria Math" w:hAnsi="Cambria Math"/>
                        </w:rPr>
                      </m:ctrlPr>
                    </m:funcPr>
                    <m:fName>
                      <m:r>
                        <m:rPr>
                          <m:sty m:val="p"/>
                        </m:rPr>
                        <w:rPr>
                          <w:rFonts w:ascii="Cambria Math" w:hAnsi="Cambria Math"/>
                        </w:rPr>
                        <m:t>min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e>
                  </m:func>
                </m:den>
              </m:f>
              <m:r>
                <w:rPr>
                  <w:rFonts w:ascii="Cambria Math" w:hAnsi="Cambria Math"/>
                </w:rPr>
                <m:t xml:space="preserve"> #(2)</m:t>
              </m:r>
            </m:e>
          </m:eqArr>
        </m:oMath>
      </m:oMathPara>
    </w:p>
    <w:p w14:paraId="5FBE9A38" w14:textId="7458B459" w:rsidR="00B7664C" w:rsidRDefault="00ED1EB6" w:rsidP="00ED1EB6">
      <w:pPr>
        <w:rPr>
          <w:rFonts w:eastAsiaTheme="minorEastAsia"/>
        </w:rPr>
      </w:pPr>
      <w:r w:rsidRPr="00EC4E7E">
        <w:rPr>
          <w:rFonts w:eastAsiaTheme="minorEastAsia"/>
        </w:rPr>
        <w:t xml:space="preserve">where </w:t>
      </w:r>
      <m:oMath>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e>
        </m:acc>
        <m:r>
          <w:rPr>
            <w:rFonts w:ascii="Cambria Math" w:eastAsiaTheme="minorEastAsia" w:hAnsi="Cambria Math"/>
          </w:rPr>
          <m:t>(u)</m:t>
        </m:r>
      </m:oMath>
      <w:r w:rsidRPr="00EC4E7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r>
          <w:rPr>
            <w:rFonts w:ascii="Cambria Math" w:eastAsiaTheme="minorEastAsia" w:hAnsi="Cambria Math"/>
          </w:rPr>
          <m:t>(u)</m:t>
        </m:r>
      </m:oMath>
      <w:r w:rsidRPr="00EC4E7E">
        <w:rPr>
          <w:rFonts w:eastAsiaTheme="minorEastAsia"/>
        </w:rPr>
        <w:t xml:space="preserve"> denote the normalised and raw scores, respectively, for dimension </w:t>
      </w:r>
      <m:oMath>
        <m:r>
          <w:rPr>
            <w:rFonts w:ascii="Cambria Math" w:eastAsiaTheme="minorEastAsia" w:hAnsi="Cambria Math"/>
          </w:rPr>
          <m:t>j</m:t>
        </m:r>
      </m:oMath>
      <w:r w:rsidRPr="00EC4E7E">
        <w:rPr>
          <w:rFonts w:eastAsiaTheme="minorEastAsia"/>
        </w:rPr>
        <w:t xml:space="preserve"> at pixel </w:t>
      </w:r>
      <m:oMath>
        <m:r>
          <w:rPr>
            <w:rFonts w:ascii="Cambria Math" w:eastAsiaTheme="minorEastAsia" w:hAnsi="Cambria Math"/>
          </w:rPr>
          <m:t>u</m:t>
        </m:r>
      </m:oMath>
      <w:r w:rsidRPr="00EC4E7E">
        <w:rPr>
          <w:rFonts w:eastAsiaTheme="minorEastAsia"/>
        </w:rPr>
        <w:t xml:space="preserve">; </w:t>
      </w:r>
      <m:oMath>
        <m:func>
          <m:funcPr>
            <m:ctrlPr>
              <w:rPr>
                <w:rFonts w:ascii="Cambria Math" w:eastAsiaTheme="minorEastAsia" w:hAnsi="Cambria Math"/>
                <w:i/>
              </w:rPr>
            </m:ctrlPr>
          </m:funcPr>
          <m:fName>
            <m:r>
              <m:rPr>
                <m:sty m:val="p"/>
              </m:rPr>
              <w:rPr>
                <w:rFonts w:ascii="Cambria Math" w:eastAsiaTheme="minorEastAsia" w:hAnsi="Cambria Math"/>
              </w:rPr>
              <m:t>max</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e>
            </m:d>
          </m:e>
        </m:func>
      </m:oMath>
      <w:r w:rsidRPr="00EC4E7E">
        <w:rPr>
          <w:rFonts w:eastAsiaTheme="minorEastAsia"/>
        </w:rPr>
        <w:t xml:space="preserve"> and </w:t>
      </w:r>
      <m:oMath>
        <m:r>
          <m:rPr>
            <m:sty m:val="p"/>
          </m:rPr>
          <w:rPr>
            <w:rFonts w:ascii="Cambria Math" w:eastAsiaTheme="minorEastAsia" w:hAnsi="Cambria Math"/>
          </w:rPr>
          <m:t>min⁡(</m:t>
        </m:r>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j</m:t>
            </m:r>
          </m:sub>
        </m:sSub>
        <m:r>
          <m:rPr>
            <m:sty m:val="p"/>
          </m:rPr>
          <w:rPr>
            <w:rFonts w:ascii="Cambria Math" w:eastAsiaTheme="minorEastAsia" w:hAnsi="Cambria Math"/>
          </w:rPr>
          <m:t>)</m:t>
        </m:r>
      </m:oMath>
      <w:r w:rsidRPr="00EC4E7E">
        <w:rPr>
          <w:rFonts w:eastAsiaTheme="minorEastAsia"/>
        </w:rPr>
        <w:t xml:space="preserve"> are the maximum and minimum values of dimension j across the study area.</w:t>
      </w:r>
    </w:p>
    <w:p w14:paraId="0BF61137" w14:textId="27F63FCC" w:rsidR="00B7664C" w:rsidRDefault="00B7664C" w:rsidP="00B7664C">
      <w:pPr>
        <w:pStyle w:val="Heading2"/>
      </w:pPr>
      <w:bookmarkStart w:id="20" w:name="_Toc234333161"/>
      <w:r>
        <w:t>Principal Component Analysis</w:t>
      </w:r>
      <w:bookmarkEnd w:id="20"/>
    </w:p>
    <w:p w14:paraId="621F5F9C" w14:textId="2E3ED2F8" w:rsidR="00B60FD7" w:rsidRDefault="002C6578" w:rsidP="00B60FD7">
      <w:pPr>
        <w:rPr>
          <w:rFonts w:eastAsiaTheme="majorEastAsia" w:cstheme="majorBidi"/>
          <w:b/>
          <w:sz w:val="24"/>
          <w:szCs w:val="32"/>
        </w:rPr>
      </w:pPr>
      <w:r>
        <w:t xml:space="preserve">For model calibration in the </w:t>
      </w:r>
      <w:r w:rsidRPr="00EC4E7E">
        <w:t>Geographically Weighted Principal Component Analysis (GWPCA)</w:t>
      </w:r>
      <w:r>
        <w:t xml:space="preserve">, the global PCA was first computed. </w:t>
      </w:r>
      <w:r w:rsidR="00CE6436">
        <w:t xml:space="preserve">The winsorised </w:t>
      </w:r>
      <w:r w:rsidR="00CE6436" w:rsidRPr="00EC4E7E">
        <w:rPr>
          <w:rFonts w:eastAsiaTheme="minorEastAsia"/>
        </w:rPr>
        <w:t>dimension scores were standardised to z</w:t>
      </w:r>
      <w:r w:rsidR="00CE6436" w:rsidRPr="00EC4E7E">
        <w:rPr>
          <w:rFonts w:ascii="Cambria Math" w:eastAsiaTheme="minorEastAsia" w:hAnsi="Cambria Math" w:cs="Cambria Math"/>
        </w:rPr>
        <w:t>‑</w:t>
      </w:r>
      <w:r w:rsidR="00CE6436" w:rsidRPr="00EC4E7E">
        <w:rPr>
          <w:rFonts w:eastAsiaTheme="minorEastAsia"/>
        </w:rPr>
        <w:t>scores (mean</w:t>
      </w:r>
      <w:r w:rsidR="00CE6436" w:rsidRPr="00EC4E7E">
        <w:rPr>
          <w:rFonts w:eastAsiaTheme="minorEastAsia" w:cs="Arial"/>
        </w:rPr>
        <w:t> </w:t>
      </w:r>
      <w:r w:rsidR="00CE6436" w:rsidRPr="00EC4E7E">
        <w:rPr>
          <w:rFonts w:eastAsiaTheme="minorEastAsia"/>
        </w:rPr>
        <w:t>=</w:t>
      </w:r>
      <w:r w:rsidR="00CE6436" w:rsidRPr="00EC4E7E">
        <w:rPr>
          <w:rFonts w:eastAsiaTheme="minorEastAsia" w:cs="Arial"/>
        </w:rPr>
        <w:t> </w:t>
      </w:r>
      <w:r w:rsidR="00CE6436" w:rsidRPr="00EC4E7E">
        <w:rPr>
          <w:rFonts w:eastAsiaTheme="minorEastAsia"/>
        </w:rPr>
        <w:t>0, variance</w:t>
      </w:r>
      <w:r w:rsidR="00CE6436" w:rsidRPr="00EC4E7E">
        <w:rPr>
          <w:rFonts w:eastAsiaTheme="minorEastAsia" w:cs="Arial"/>
        </w:rPr>
        <w:t> </w:t>
      </w:r>
      <w:r w:rsidR="00CE6436" w:rsidRPr="00EC4E7E">
        <w:rPr>
          <w:rFonts w:eastAsiaTheme="minorEastAsia"/>
        </w:rPr>
        <w:t>=</w:t>
      </w:r>
      <w:r w:rsidR="00CE6436" w:rsidRPr="00EC4E7E">
        <w:rPr>
          <w:rFonts w:eastAsiaTheme="minorEastAsia" w:cs="Arial"/>
        </w:rPr>
        <w:t> </w:t>
      </w:r>
      <w:r w:rsidR="00CE6436" w:rsidRPr="00EC4E7E">
        <w:rPr>
          <w:rFonts w:eastAsiaTheme="minorEastAsia"/>
        </w:rPr>
        <w:t>1)</w:t>
      </w:r>
      <w:r w:rsidR="00CE6436">
        <w:rPr>
          <w:rFonts w:eastAsiaTheme="minorEastAsia"/>
        </w:rPr>
        <w:t xml:space="preserve"> </w:t>
      </w:r>
      <w:r w:rsidR="00CE6436">
        <w:t xml:space="preserve">and </w:t>
      </w:r>
      <w:r>
        <w:t xml:space="preserve">utilised in the </w:t>
      </w:r>
      <w:r w:rsidRPr="008D0B13">
        <w:t xml:space="preserve">'princomp' function </w:t>
      </w:r>
      <w:r>
        <w:t>in</w:t>
      </w:r>
      <w:r w:rsidRPr="008D0B13">
        <w:t xml:space="preserve"> base R</w:t>
      </w:r>
      <w:r>
        <w:t xml:space="preserve">. The first two components were selected based on the </w:t>
      </w:r>
      <w:r w:rsidRPr="00EC4E7E">
        <w:rPr>
          <w:rFonts w:eastAsiaTheme="minorEastAsia"/>
        </w:rPr>
        <w:t>Kaiser–Guttman criterion (eigenvalue &gt; 1)</w:t>
      </w:r>
      <w:r>
        <w:rPr>
          <w:rFonts w:eastAsiaTheme="minorEastAsia"/>
        </w:rPr>
        <w:t xml:space="preserve"> to construct global PCA weights for use in the sensitivity analysis.</w:t>
      </w:r>
    </w:p>
    <w:p w14:paraId="12DA8B6A" w14:textId="6FB88330" w:rsidR="00C82DEF" w:rsidRDefault="00F03390" w:rsidP="00DD3C63">
      <w:r>
        <w:t xml:space="preserve">Unlike the global PCA, </w:t>
      </w:r>
      <w:r w:rsidR="008A532F">
        <w:t xml:space="preserve">GWPCA </w:t>
      </w:r>
      <w:r w:rsidR="00821AE6">
        <w:t>calculates</w:t>
      </w:r>
      <w:r w:rsidR="00E4315A">
        <w:t xml:space="preserve"> PCA weights for each pixel based on its neighbourhood. Consequently, a neighbourhood specification is required in performing GWPCA</w:t>
      </w:r>
      <w:r w:rsidR="00C514E2">
        <w:t xml:space="preserve"> </w:t>
      </w:r>
      <w:r w:rsidR="006D1638" w:rsidRPr="006D1638">
        <w:rPr>
          <w:rFonts w:cs="Arial"/>
          <w:color w:val="000000"/>
        </w:rPr>
        <w:t>[2</w:t>
      </w:r>
      <w:r w:rsidR="00D4399E">
        <w:rPr>
          <w:rFonts w:cs="Arial"/>
          <w:color w:val="000000"/>
        </w:rPr>
        <w:t>2</w:t>
      </w:r>
      <w:r w:rsidR="006D1638" w:rsidRPr="006D1638">
        <w:rPr>
          <w:rFonts w:cs="Arial"/>
          <w:color w:val="000000"/>
        </w:rPr>
        <w:t>]</w:t>
      </w:r>
      <w:r w:rsidR="00914276">
        <w:t>.</w:t>
      </w:r>
      <w:r w:rsidR="00ED7E14">
        <w:t xml:space="preserve"> Here, cross validation was done for an adaptive bandwidth selection to balance between capturing local variation (small bandwidths) and </w:t>
      </w:r>
      <w:r w:rsidR="00D14DB2">
        <w:t>over smoothing (large bandwidths) of the estimates</w:t>
      </w:r>
      <w:r w:rsidR="00C514E2">
        <w:t xml:space="preserve"> </w:t>
      </w:r>
      <w:r w:rsidR="006D1638" w:rsidRPr="006D1638">
        <w:rPr>
          <w:rFonts w:cs="Arial"/>
          <w:color w:val="000000"/>
        </w:rPr>
        <w:t>[2</w:t>
      </w:r>
      <w:r w:rsidR="00D4399E">
        <w:rPr>
          <w:rFonts w:cs="Arial"/>
          <w:color w:val="000000"/>
        </w:rPr>
        <w:t>2</w:t>
      </w:r>
      <w:r w:rsidR="006D1638" w:rsidRPr="006D1638">
        <w:rPr>
          <w:rFonts w:cs="Arial"/>
          <w:color w:val="000000"/>
        </w:rPr>
        <w:t>,2</w:t>
      </w:r>
      <w:r w:rsidR="00D4399E">
        <w:rPr>
          <w:rFonts w:cs="Arial"/>
          <w:color w:val="000000"/>
        </w:rPr>
        <w:t>3</w:t>
      </w:r>
      <w:r w:rsidR="006D1638" w:rsidRPr="006D1638">
        <w:rPr>
          <w:rFonts w:cs="Arial"/>
          <w:color w:val="000000"/>
        </w:rPr>
        <w:t>]</w:t>
      </w:r>
      <w:r w:rsidR="00D14DB2">
        <w:t>.</w:t>
      </w:r>
      <w:r w:rsidR="000606DC">
        <w:t xml:space="preserve"> </w:t>
      </w:r>
      <w:r w:rsidR="000606DC" w:rsidRPr="00B60471">
        <w:t xml:space="preserve">The GWPCA was implemented </w:t>
      </w:r>
      <w:r w:rsidR="000606DC">
        <w:t xml:space="preserve">with a gaussian kernel function </w:t>
      </w:r>
      <w:r w:rsidR="000606DC" w:rsidRPr="00B60471">
        <w:t>in R within the GWmodel library package</w:t>
      </w:r>
      <w:r w:rsidR="00F774F7">
        <w:t xml:space="preserve"> </w:t>
      </w:r>
      <w:r w:rsidR="006D1638" w:rsidRPr="006D1638">
        <w:rPr>
          <w:rFonts w:cs="Arial"/>
          <w:color w:val="000000"/>
        </w:rPr>
        <w:t>[2</w:t>
      </w:r>
      <w:r w:rsidR="00D4399E">
        <w:rPr>
          <w:rFonts w:cs="Arial"/>
          <w:color w:val="000000"/>
        </w:rPr>
        <w:t>4</w:t>
      </w:r>
      <w:r w:rsidR="006D1638" w:rsidRPr="006D1638">
        <w:rPr>
          <w:rFonts w:cs="Arial"/>
          <w:color w:val="000000"/>
        </w:rPr>
        <w:t>]</w:t>
      </w:r>
      <w:r w:rsidR="000606DC">
        <w:t>. The results of the GWPCA were a set of five-dimension weights at each 1 km × 1 km pixel</w:t>
      </w:r>
      <w:r w:rsidR="007C2393">
        <w:t>.</w:t>
      </w:r>
    </w:p>
    <w:p w14:paraId="39399482" w14:textId="77777777" w:rsidR="00470A4D" w:rsidRDefault="00470A4D" w:rsidP="00DD3C63"/>
    <w:p w14:paraId="1E419A39" w14:textId="0740FBE4" w:rsidR="00470A4D" w:rsidRDefault="009C0CAC" w:rsidP="00DD3C63">
      <w:pPr>
        <w:pStyle w:val="Figurespace"/>
      </w:pPr>
      <w:r>
        <w:lastRenderedPageBreak/>
        <w:drawing>
          <wp:inline distT="0" distB="0" distL="0" distR="0" wp14:anchorId="630C0489" wp14:editId="54A49628">
            <wp:extent cx="5731510" cy="3209925"/>
            <wp:effectExtent l="0" t="0" r="2540" b="9525"/>
            <wp:docPr id="1620763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63257" name="Picture 162076325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209925"/>
                    </a:xfrm>
                    <a:prstGeom prst="rect">
                      <a:avLst/>
                    </a:prstGeom>
                  </pic:spPr>
                </pic:pic>
              </a:graphicData>
            </a:graphic>
          </wp:inline>
        </w:drawing>
      </w:r>
    </w:p>
    <w:p w14:paraId="66D6D7FC" w14:textId="402B3532" w:rsidR="004E30B2" w:rsidRPr="00AA494C" w:rsidRDefault="004E30B2" w:rsidP="00DD3C63">
      <w:pPr>
        <w:pStyle w:val="Figurelabel"/>
        <w:rPr>
          <w:rFonts w:eastAsiaTheme="minorEastAsia"/>
        </w:rPr>
      </w:pPr>
      <w:r w:rsidRPr="00AA494C">
        <w:rPr>
          <w:b/>
        </w:rPr>
        <w:t xml:space="preserve">Supplementary Figure </w:t>
      </w:r>
      <w:r>
        <w:rPr>
          <w:b/>
        </w:rPr>
        <w:t>10</w:t>
      </w:r>
      <w:r w:rsidRPr="00AA494C">
        <w:t xml:space="preserve">: </w:t>
      </w:r>
      <w:r w:rsidR="001829EC">
        <w:t>Cross-validation results for</w:t>
      </w:r>
      <w:r>
        <w:t xml:space="preserve"> bandwidth selection.</w:t>
      </w:r>
      <w:r w:rsidR="009C0CAC">
        <w:t xml:space="preserve"> The bandwidth that was selected was 12000 </w:t>
      </w:r>
      <w:r w:rsidR="009C0CAC" w:rsidRPr="00DD3C63">
        <w:t>neighbours</w:t>
      </w:r>
      <w:r w:rsidR="009C0CAC">
        <w:t>.</w:t>
      </w:r>
    </w:p>
    <w:p w14:paraId="2175D81E" w14:textId="77777777" w:rsidR="008E53D6" w:rsidRDefault="008E53D6" w:rsidP="00DD3C63">
      <w:pPr>
        <w:spacing w:after="0" w:line="240" w:lineRule="auto"/>
      </w:pPr>
    </w:p>
    <w:p w14:paraId="76569898" w14:textId="755714F3" w:rsidR="00DD3C63" w:rsidRDefault="00DD3C63" w:rsidP="00D32B6C">
      <w:pPr>
        <w:pStyle w:val="Heading2"/>
      </w:pPr>
      <w:bookmarkStart w:id="21" w:name="_Toc234333162"/>
      <w:r w:rsidRPr="00EC4E7E">
        <w:t>Relationship between travel time, access dimensions and composite access score</w:t>
      </w:r>
      <w:bookmarkEnd w:id="21"/>
    </w:p>
    <w:p w14:paraId="40F0CC3F" w14:textId="1E0F30A3" w:rsidR="008E53D6" w:rsidRPr="00EC4E7E" w:rsidRDefault="00C656C2" w:rsidP="00DD3C63">
      <w:r>
        <w:t>Associations</w:t>
      </w:r>
      <w:r w:rsidR="008E53D6" w:rsidRPr="00EC4E7E">
        <w:t xml:space="preserve"> between travel time and the four non</w:t>
      </w:r>
      <w:r w:rsidR="008E53D6">
        <w:t>-</w:t>
      </w:r>
      <w:r w:rsidR="008E53D6" w:rsidRPr="00EC4E7E">
        <w:t xml:space="preserve">geographic dimensions </w:t>
      </w:r>
      <w:r w:rsidR="008E53D6">
        <w:t xml:space="preserve">was </w:t>
      </w:r>
      <w:r w:rsidR="008E53D6" w:rsidRPr="00EC4E7E">
        <w:t>assessed using generalized additive models (GAMs) with cubic regression splines for travel time. Each dimension was modelled on its normalized [0</w:t>
      </w:r>
      <w:r w:rsidR="008E53D6">
        <w:t>-</w:t>
      </w:r>
      <w:r w:rsidR="008E53D6" w:rsidRPr="00EC4E7E">
        <w:t xml:space="preserve">1] scale (higher = better access), with smoothness selected via </w:t>
      </w:r>
      <w:r w:rsidR="008E53D6" w:rsidRPr="00247B2B">
        <w:t xml:space="preserve">restricted maximum likelihood </w:t>
      </w:r>
      <w:r w:rsidR="008E53D6">
        <w:t xml:space="preserve">(REML) </w:t>
      </w:r>
      <w:r w:rsidR="008E53D6" w:rsidRPr="00EC4E7E">
        <w:t xml:space="preserve">and basis dimension </w:t>
      </w:r>
      <m:oMath>
        <m:r>
          <w:rPr>
            <w:rFonts w:ascii="Cambria Math" w:hAnsi="Cambria Math"/>
          </w:rPr>
          <m:t>k=10</m:t>
        </m:r>
      </m:oMath>
      <w:r w:rsidR="008E53D6" w:rsidRPr="00EC4E7E">
        <w:t xml:space="preserve"> to balance flexibility and overfitting risk</w:t>
      </w:r>
      <w:r w:rsidR="00FD3801">
        <w:t xml:space="preserve"> </w:t>
      </w:r>
      <w:r w:rsidR="006D1638" w:rsidRPr="006D1638">
        <w:rPr>
          <w:rFonts w:cs="Arial"/>
          <w:color w:val="000000"/>
        </w:rPr>
        <w:t>[2</w:t>
      </w:r>
      <w:r w:rsidR="00D4399E">
        <w:rPr>
          <w:rFonts w:cs="Arial"/>
          <w:color w:val="000000"/>
        </w:rPr>
        <w:t>5</w:t>
      </w:r>
      <w:r w:rsidR="006D1638" w:rsidRPr="006D1638">
        <w:rPr>
          <w:rFonts w:cs="Arial"/>
          <w:color w:val="000000"/>
        </w:rPr>
        <w:t>]</w:t>
      </w:r>
      <w:r w:rsidR="008E53D6" w:rsidRPr="00EC4E7E">
        <w:t xml:space="preserve">. </w:t>
      </w:r>
      <w:r w:rsidR="008E53D6">
        <w:t>The GAM output includes a smooth term (effective degrees of freedom, EDF)</w:t>
      </w:r>
      <w:r w:rsidR="008E53D6" w:rsidRPr="00852D43">
        <w:t xml:space="preserve"> interpreted as follows: an EDF of 1 indicates a linear relationship, an EDF less than 2 indicates weak non</w:t>
      </w:r>
      <w:r w:rsidR="008E53D6" w:rsidRPr="00852D43">
        <w:rPr>
          <w:rFonts w:ascii="Cambria Math" w:hAnsi="Cambria Math" w:cs="Cambria Math"/>
        </w:rPr>
        <w:t>‑</w:t>
      </w:r>
      <w:r w:rsidR="008E53D6" w:rsidRPr="00852D43">
        <w:t>linearity, and an EDF greater than 2 indicates strong non</w:t>
      </w:r>
      <w:r w:rsidR="008E53D6" w:rsidRPr="00852D43">
        <w:rPr>
          <w:rFonts w:ascii="Cambria Math" w:hAnsi="Cambria Math" w:cs="Cambria Math"/>
        </w:rPr>
        <w:t>‑</w:t>
      </w:r>
      <w:r w:rsidR="008E53D6" w:rsidRPr="00852D43">
        <w:t>linearity. Predicted means and 95% confidence intervals were generated across the observed travel time range.</w:t>
      </w:r>
    </w:p>
    <w:p w14:paraId="70D85318" w14:textId="77777777" w:rsidR="008E53D6" w:rsidRDefault="008E53D6" w:rsidP="00DD3C63">
      <w:r w:rsidRPr="00694638">
        <w:t>To quantify the deficits that a travel</w:t>
      </w:r>
      <w:r w:rsidRPr="00694638">
        <w:noBreakHyphen/>
        <w:t>time</w:t>
      </w:r>
      <w:r w:rsidRPr="00694638">
        <w:noBreakHyphen/>
        <w:t xml:space="preserve">only approach would overlook, </w:t>
      </w:r>
      <w:r>
        <w:t>analysis was</w:t>
      </w:r>
      <w:r w:rsidRPr="00694638">
        <w:t xml:space="preserve"> restricted to pixels with travel time ≤ 60 minutes (the “golden hour”). </w:t>
      </w:r>
      <w:r w:rsidRPr="00EC4E7E">
        <w:t>Within this subset, pixels were divided into lowest (Q1) and highest (Q4) composite access score quartiles. Empirical cumulative distribution functions (ECDFs) compared normali</w:t>
      </w:r>
      <w:r>
        <w:t>s</w:t>
      </w:r>
      <w:r w:rsidRPr="00EC4E7E">
        <w:t>ed distributions of each non</w:t>
      </w:r>
      <w:r>
        <w:t>-</w:t>
      </w:r>
      <w:r w:rsidRPr="00EC4E7E">
        <w:t>geographic dimension between Q1 and Q4</w:t>
      </w:r>
      <w:r>
        <w:t xml:space="preserve">. </w:t>
      </w:r>
      <w:r w:rsidRPr="00B86E88">
        <w:t>If travel time alone were sufficient, the two groups would show similar distributions; conversely, marked differences would confirm that even among geographically proximate areas, multidimensional access varies widely. In addition, we summarised county</w:t>
      </w:r>
      <w:r w:rsidRPr="00B86E88">
        <w:rPr>
          <w:rFonts w:ascii="Cambria Math" w:hAnsi="Cambria Math" w:cs="Cambria Math"/>
        </w:rPr>
        <w:t>‑</w:t>
      </w:r>
      <w:r w:rsidRPr="00B86E88">
        <w:t xml:space="preserve">level travel times and composite scores to investigate how many counties classified as having </w:t>
      </w:r>
      <w:r w:rsidRPr="00B86E88">
        <w:rPr>
          <w:rFonts w:cs="Arial"/>
        </w:rPr>
        <w:t>“</w:t>
      </w:r>
      <w:r w:rsidRPr="00B86E88">
        <w:t>good</w:t>
      </w:r>
      <w:r w:rsidRPr="00B86E88">
        <w:rPr>
          <w:rFonts w:cs="Arial"/>
        </w:rPr>
        <w:t>”</w:t>
      </w:r>
      <w:r w:rsidRPr="00B86E88">
        <w:t xml:space="preserve"> geographic access would be misclassified as having good overall access when, in fact, they suffer from severe deficits in other dimensions.</w:t>
      </w:r>
    </w:p>
    <w:p w14:paraId="4E3E6BA0" w14:textId="026CC2B2" w:rsidR="00D93B28" w:rsidRPr="00D93B28" w:rsidRDefault="00DF1680" w:rsidP="00DD3C63">
      <w:pPr>
        <w:spacing w:after="0" w:line="240" w:lineRule="auto"/>
      </w:pPr>
      <w:r>
        <w:br w:type="page"/>
      </w:r>
    </w:p>
    <w:p w14:paraId="038FE727" w14:textId="21EAEE92" w:rsidR="00DC269F" w:rsidRPr="00DC269F" w:rsidRDefault="00CD10A0" w:rsidP="007C7C8E">
      <w:pPr>
        <w:pStyle w:val="Heading1"/>
      </w:pPr>
      <w:bookmarkStart w:id="22" w:name="_Toc234333163"/>
      <w:r>
        <w:lastRenderedPageBreak/>
        <w:t>S</w:t>
      </w:r>
      <w:r w:rsidRPr="00AA494C">
        <w:t xml:space="preserve">upplementary notes </w:t>
      </w:r>
      <w:r w:rsidR="0031271D">
        <w:t>4</w:t>
      </w:r>
      <w:r w:rsidRPr="00AA494C">
        <w:t>: Results</w:t>
      </w:r>
      <w:bookmarkEnd w:id="22"/>
    </w:p>
    <w:p w14:paraId="7B38C07C" w14:textId="12F9DC94" w:rsidR="0051665C" w:rsidRPr="00AA494C" w:rsidRDefault="00B45E39" w:rsidP="006F1A09">
      <w:pPr>
        <w:pStyle w:val="Figurespace"/>
      </w:pPr>
      <w:r>
        <w:drawing>
          <wp:inline distT="0" distB="0" distL="0" distR="0" wp14:anchorId="168FD2DE" wp14:editId="42325FAB">
            <wp:extent cx="5731510" cy="4134485"/>
            <wp:effectExtent l="0" t="0" r="2540" b="0"/>
            <wp:docPr id="1675989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89953" name="Picture 167598995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134485"/>
                    </a:xfrm>
                    <a:prstGeom prst="rect">
                      <a:avLst/>
                    </a:prstGeom>
                  </pic:spPr>
                </pic:pic>
              </a:graphicData>
            </a:graphic>
          </wp:inline>
        </w:drawing>
      </w:r>
    </w:p>
    <w:p w14:paraId="31F2E2EF" w14:textId="2DE6C9FB" w:rsidR="00E84AE4" w:rsidRPr="00EC4E7E" w:rsidRDefault="0051665C" w:rsidP="00E84AE4">
      <w:pPr>
        <w:rPr>
          <w:b/>
          <w:bCs/>
        </w:rPr>
      </w:pPr>
      <w:r w:rsidRPr="00927E8E">
        <w:rPr>
          <w:b/>
        </w:rPr>
        <w:t xml:space="preserve">Supplementary Figure </w:t>
      </w:r>
      <w:r w:rsidR="005F4159">
        <w:rPr>
          <w:b/>
        </w:rPr>
        <w:t>11</w:t>
      </w:r>
      <w:r w:rsidRPr="00927E8E">
        <w:rPr>
          <w:b/>
        </w:rPr>
        <w:t>:</w:t>
      </w:r>
      <w:r w:rsidRPr="00AA494C">
        <w:t xml:space="preserve"> </w:t>
      </w:r>
      <w:r w:rsidR="008A7CFB">
        <w:t>Association of the dimensions (normalised scale; 0 = poor, 1 = best) with travel time to the nearest facility from GAM model. The y</w:t>
      </w:r>
      <w:r w:rsidR="003B255A">
        <w:t>-</w:t>
      </w:r>
      <w:r w:rsidR="008A7CFB">
        <w:t>axis has been varied across the plots to show small dips/troughs for each dimension.</w:t>
      </w:r>
      <w:r w:rsidR="00E40ED1">
        <w:t xml:space="preserve"> The 95% c</w:t>
      </w:r>
      <w:r w:rsidR="00E40ED1" w:rsidRPr="00590D4B">
        <w:t>onfidence intervals (shaded ribbons) are extremely narrow due to the large sample size</w:t>
      </w:r>
      <w:r w:rsidR="00E40ED1">
        <w:t>.</w:t>
      </w:r>
      <w:r w:rsidR="00E84AE4">
        <w:t xml:space="preserve"> </w:t>
      </w:r>
      <w:r w:rsidR="00E84AE4" w:rsidRPr="00EC4E7E">
        <w:t>The density plot shows the sample sizes (number of pixels) across travel time.</w:t>
      </w:r>
      <w:r w:rsidR="00E84AE4">
        <w:t xml:space="preserve"> The plots have been trimmed to 480 minutes as this represent 98% of the pixels.</w:t>
      </w:r>
    </w:p>
    <w:p w14:paraId="2B68B9D0" w14:textId="4DF8C15E" w:rsidR="00E40ED1" w:rsidRDefault="00E40ED1" w:rsidP="00927E8E">
      <w:pPr>
        <w:pStyle w:val="Figurelabel"/>
      </w:pPr>
    </w:p>
    <w:p w14:paraId="56FB0C84" w14:textId="39176367" w:rsidR="00750488" w:rsidRDefault="00750488" w:rsidP="007C7C8E">
      <w:pPr>
        <w:sectPr w:rsidR="00750488" w:rsidSect="00750488">
          <w:pgSz w:w="11906" w:h="16838"/>
          <w:pgMar w:top="1440" w:right="1440" w:bottom="1440" w:left="1440" w:header="709" w:footer="709" w:gutter="0"/>
          <w:cols w:space="708"/>
          <w:docGrid w:linePitch="360"/>
        </w:sectPr>
      </w:pPr>
    </w:p>
    <w:p w14:paraId="0A7DCFB1" w14:textId="579A786A" w:rsidR="0051665C" w:rsidRPr="00AA494C" w:rsidRDefault="00A27AAF" w:rsidP="0025089E">
      <w:pPr>
        <w:pStyle w:val="Figurespace"/>
      </w:pPr>
      <w:r>
        <w:lastRenderedPageBreak/>
        <w:drawing>
          <wp:inline distT="0" distB="0" distL="0" distR="0" wp14:anchorId="5C0A69ED" wp14:editId="67A22386">
            <wp:extent cx="5731510" cy="3816350"/>
            <wp:effectExtent l="0" t="0" r="2540" b="0"/>
            <wp:docPr id="1512337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37565" name="Picture 151233756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816350"/>
                    </a:xfrm>
                    <a:prstGeom prst="rect">
                      <a:avLst/>
                    </a:prstGeom>
                  </pic:spPr>
                </pic:pic>
              </a:graphicData>
            </a:graphic>
          </wp:inline>
        </w:drawing>
      </w:r>
    </w:p>
    <w:p w14:paraId="3C331CAE" w14:textId="13E9F038" w:rsidR="0051665C" w:rsidRPr="00AA494C" w:rsidRDefault="0025089E" w:rsidP="007C7C8E">
      <w:r w:rsidRPr="00AA494C">
        <w:rPr>
          <w:b/>
          <w:bCs/>
        </w:rPr>
        <w:t xml:space="preserve">Supplementary Figure </w:t>
      </w:r>
      <w:r w:rsidR="00E6221F">
        <w:rPr>
          <w:b/>
          <w:bCs/>
        </w:rPr>
        <w:t>1</w:t>
      </w:r>
      <w:r w:rsidR="008E1CDE">
        <w:rPr>
          <w:b/>
          <w:bCs/>
        </w:rPr>
        <w:t>2</w:t>
      </w:r>
      <w:r w:rsidRPr="00AA494C">
        <w:t>:</w:t>
      </w:r>
      <w:r>
        <w:t xml:space="preserve"> Sensitivity analysis. </w:t>
      </w:r>
      <w:r w:rsidR="00DE62EA">
        <w:t>Dot-</w:t>
      </w:r>
      <w:r>
        <w:t xml:space="preserve">plots </w:t>
      </w:r>
      <w:r w:rsidR="00B66938">
        <w:t>for arithmetic (Panels A</w:t>
      </w:r>
      <w:r w:rsidR="003B255A">
        <w:t>-</w:t>
      </w:r>
      <w:r w:rsidR="00B66938">
        <w:t>C) and geometric mean (Panels C</w:t>
      </w:r>
      <w:r w:rsidR="003B255A">
        <w:t>-</w:t>
      </w:r>
      <w:r w:rsidR="00B66938">
        <w:t>D)</w:t>
      </w:r>
      <w:r w:rsidR="00F41578">
        <w:t xml:space="preserve"> </w:t>
      </w:r>
      <w:r w:rsidR="00BA5BBC">
        <w:t>against</w:t>
      </w:r>
      <w:r w:rsidR="00F41578">
        <w:t xml:space="preserve"> </w:t>
      </w:r>
      <w:r w:rsidR="00BA5BBC" w:rsidRPr="00BA5BBC">
        <w:t>Ordered Weighted Averaging (OWA)</w:t>
      </w:r>
      <w:r w:rsidR="00BA5BBC">
        <w:t>.</w:t>
      </w:r>
      <w:r w:rsidR="00CB1BBD">
        <w:t xml:space="preserve"> The blue line represent the line of equality.</w:t>
      </w:r>
    </w:p>
    <w:p w14:paraId="63DBE5F2" w14:textId="77777777" w:rsidR="00F54189" w:rsidRDefault="00F54189" w:rsidP="007C7C8E"/>
    <w:p w14:paraId="15B08B41" w14:textId="77777777" w:rsidR="00C01381" w:rsidRDefault="00C01381" w:rsidP="007C7C8E"/>
    <w:p w14:paraId="0117BB51" w14:textId="02990141" w:rsidR="00C3682F" w:rsidRDefault="00C3682F" w:rsidP="00A27AAF">
      <w:pPr>
        <w:pStyle w:val="Figurespace"/>
      </w:pPr>
      <w:r>
        <w:lastRenderedPageBreak/>
        <w:drawing>
          <wp:inline distT="0" distB="0" distL="0" distR="0" wp14:anchorId="42D1DAD4" wp14:editId="3FFF40A4">
            <wp:extent cx="5731510" cy="4776470"/>
            <wp:effectExtent l="0" t="0" r="2540" b="5080"/>
            <wp:docPr id="1459991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91498" name="Picture 145999149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4776470"/>
                    </a:xfrm>
                    <a:prstGeom prst="rect">
                      <a:avLst/>
                    </a:prstGeom>
                  </pic:spPr>
                </pic:pic>
              </a:graphicData>
            </a:graphic>
          </wp:inline>
        </w:drawing>
      </w:r>
    </w:p>
    <w:p w14:paraId="5F77080C" w14:textId="0B166736" w:rsidR="00EE5341" w:rsidRDefault="00A27AAF" w:rsidP="00EE5341">
      <w:r w:rsidRPr="00AA494C">
        <w:rPr>
          <w:b/>
          <w:bCs/>
        </w:rPr>
        <w:t xml:space="preserve">Supplementary Figure </w:t>
      </w:r>
      <w:r>
        <w:rPr>
          <w:b/>
          <w:bCs/>
        </w:rPr>
        <w:t>1</w:t>
      </w:r>
      <w:r w:rsidR="00D05D70">
        <w:rPr>
          <w:b/>
          <w:bCs/>
        </w:rPr>
        <w:t>3</w:t>
      </w:r>
      <w:r w:rsidRPr="00AA494C">
        <w:t>:</w:t>
      </w:r>
      <w:r>
        <w:t xml:space="preserve"> Sensitivity analysis</w:t>
      </w:r>
      <w:r w:rsidR="00EE5341">
        <w:t xml:space="preserve"> o</w:t>
      </w:r>
      <w:r w:rsidR="007B7050">
        <w:t>n</w:t>
      </w:r>
      <w:r w:rsidR="00EE5341">
        <w:t xml:space="preserve"> county ranking by the different aggregation-weighting methods</w:t>
      </w:r>
      <w:r>
        <w:t xml:space="preserve">. </w:t>
      </w:r>
      <w:r w:rsidR="00EE5341">
        <w:t>The counties (y-axis) have been sorted according to the OWA composite score; Lamu = highest access and Turkana = lowest access. The shades are as per the difference in ranking</w:t>
      </w:r>
      <w:r w:rsidR="00B943C0">
        <w:t xml:space="preserve"> of counties by other methods compared to OWA.</w:t>
      </w:r>
    </w:p>
    <w:p w14:paraId="260878AD" w14:textId="747C977D" w:rsidR="00A27AAF" w:rsidRPr="00AA494C" w:rsidRDefault="00A27AAF" w:rsidP="00A27AAF"/>
    <w:p w14:paraId="2C46187B" w14:textId="77777777" w:rsidR="00C3682F" w:rsidRDefault="00C3682F" w:rsidP="007C7C8E"/>
    <w:p w14:paraId="7A763E90" w14:textId="2D8E39A9" w:rsidR="00726F81" w:rsidRPr="00AA494C" w:rsidRDefault="00726F81" w:rsidP="007C7C8E"/>
    <w:p w14:paraId="6199AD30" w14:textId="77777777" w:rsidR="00F54189" w:rsidRPr="00AA494C" w:rsidRDefault="00F54189" w:rsidP="007C7C8E"/>
    <w:p w14:paraId="2FE27393" w14:textId="52E1DF4D" w:rsidR="00651135" w:rsidRPr="00AA494C" w:rsidRDefault="009B713F" w:rsidP="00FC50DF">
      <w:pPr>
        <w:pStyle w:val="Figurespace"/>
      </w:pPr>
      <w:r>
        <w:lastRenderedPageBreak/>
        <w:drawing>
          <wp:inline distT="0" distB="0" distL="0" distR="0" wp14:anchorId="3E4078F2" wp14:editId="625185CE">
            <wp:extent cx="5669291" cy="6565405"/>
            <wp:effectExtent l="0" t="0" r="7620" b="6985"/>
            <wp:docPr id="1249229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29755" name="Picture 124922975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69291" cy="6565405"/>
                    </a:xfrm>
                    <a:prstGeom prst="rect">
                      <a:avLst/>
                    </a:prstGeom>
                  </pic:spPr>
                </pic:pic>
              </a:graphicData>
            </a:graphic>
          </wp:inline>
        </w:drawing>
      </w:r>
    </w:p>
    <w:p w14:paraId="47FD35B1" w14:textId="7FF9ACCD" w:rsidR="0030279B" w:rsidRPr="00AA494C" w:rsidRDefault="0030279B" w:rsidP="0030279B">
      <w:r w:rsidRPr="00AA494C">
        <w:rPr>
          <w:b/>
          <w:bCs/>
        </w:rPr>
        <w:t xml:space="preserve">Supplementary Figure </w:t>
      </w:r>
      <w:r>
        <w:rPr>
          <w:b/>
          <w:bCs/>
        </w:rPr>
        <w:t>1</w:t>
      </w:r>
      <w:r w:rsidR="00537C70">
        <w:rPr>
          <w:b/>
          <w:bCs/>
        </w:rPr>
        <w:t>4</w:t>
      </w:r>
      <w:r w:rsidRPr="00AA494C">
        <w:t>:</w:t>
      </w:r>
      <w:r>
        <w:t xml:space="preserve"> Validation analysis. </w:t>
      </w:r>
      <w:r w:rsidR="00572AE4">
        <w:t>Quantile regression lines and associated coefficient estimates</w:t>
      </w:r>
      <w:r>
        <w:t xml:space="preserve"> for </w:t>
      </w:r>
      <w:r w:rsidR="0081114D" w:rsidRPr="00BA5BBC">
        <w:t>Ordered Weighted Averaging (OWA)</w:t>
      </w:r>
      <w:r w:rsidR="00062311">
        <w:t xml:space="preserve"> (Panel A), </w:t>
      </w:r>
      <w:r>
        <w:t xml:space="preserve">arithmetic (Panels </w:t>
      </w:r>
      <w:r w:rsidR="00062311">
        <w:t>B, D, F</w:t>
      </w:r>
      <w:r>
        <w:t>) and geometric mean (Panels C</w:t>
      </w:r>
      <w:r w:rsidR="00062311">
        <w:t>, E, G</w:t>
      </w:r>
      <w:r>
        <w:t xml:space="preserve">) against </w:t>
      </w:r>
      <w:r w:rsidR="00062311">
        <w:t>under-five mortality probability</w:t>
      </w:r>
      <w:r>
        <w:t>.</w:t>
      </w:r>
      <w:r w:rsidR="00062311">
        <w:t xml:space="preserve"> </w:t>
      </w:r>
      <w:r w:rsidR="00190757">
        <w:t xml:space="preserve">Coefficient values with an </w:t>
      </w:r>
      <w:r w:rsidR="005973B5">
        <w:t>asterisk</w:t>
      </w:r>
      <w:r w:rsidR="00190757">
        <w:t xml:space="preserve"> </w:t>
      </w:r>
      <w:r w:rsidR="004657AF">
        <w:t>were statistically significant at 95% confidence interval.</w:t>
      </w:r>
    </w:p>
    <w:p w14:paraId="00FE1800" w14:textId="29089BA7" w:rsidR="00C36049" w:rsidRDefault="00C36049" w:rsidP="007C7C8E">
      <w:pPr>
        <w:rPr>
          <w:b/>
          <w:bCs/>
        </w:rPr>
      </w:pPr>
      <w:r w:rsidRPr="00AA494C">
        <w:rPr>
          <w:b/>
          <w:bCs/>
        </w:rPr>
        <w:br w:type="page"/>
      </w:r>
    </w:p>
    <w:p w14:paraId="4B0C4F95" w14:textId="12F8F2B4" w:rsidR="00C35722" w:rsidRDefault="00976F63" w:rsidP="007C7C8E">
      <w:pPr>
        <w:rPr>
          <w:b/>
          <w:bCs/>
        </w:rPr>
      </w:pPr>
      <w:r w:rsidRPr="00AA494C">
        <w:rPr>
          <w:b/>
          <w:bCs/>
        </w:rPr>
        <w:lastRenderedPageBreak/>
        <w:t>References</w:t>
      </w:r>
    </w:p>
    <w:p w14:paraId="3FE77292" w14:textId="376FD459" w:rsidR="00DC6C6D" w:rsidRPr="00166CA5" w:rsidRDefault="00166CA5" w:rsidP="007B44A2">
      <w:pPr>
        <w:pStyle w:val="ListParagraph"/>
        <w:numPr>
          <w:ilvl w:val="0"/>
          <w:numId w:val="13"/>
        </w:numPr>
        <w:spacing w:line="480" w:lineRule="auto"/>
        <w:ind w:left="284"/>
        <w:divId w:val="301545776"/>
        <w:rPr>
          <w:rFonts w:eastAsia="Times New Roman" w:cs="Arial"/>
          <w:color w:val="000000"/>
          <w:kern w:val="0"/>
          <w14:ligatures w14:val="none"/>
        </w:rPr>
      </w:pPr>
      <w:r w:rsidRPr="00BA4757">
        <w:rPr>
          <w:rFonts w:eastAsia="Times New Roman" w:cs="Arial"/>
          <w:color w:val="000000"/>
        </w:rPr>
        <w:t xml:space="preserve">Ouma PO, Maina J, Thuranira PN, Macharia PM, Alegana VA, English M, et al. Access to emergency hospital care provided by the public sector in sub-Saharan Africa in 2015: a geocoded inventory and spatial analysis. Lancet Glob Health. Elsevier Ltd; 2018;6:e342–50. </w:t>
      </w:r>
      <w:hyperlink r:id="rId22" w:history="1">
        <w:r w:rsidRPr="00BA4757">
          <w:rPr>
            <w:rStyle w:val="Hyperlink"/>
            <w:rFonts w:eastAsia="Times New Roman" w:cs="Arial"/>
          </w:rPr>
          <w:t>https://doi.org/10.1016/S2214-109X(17)30488-6</w:t>
        </w:r>
      </w:hyperlink>
      <w:r w:rsidR="00DC6C6D" w:rsidRPr="00166CA5">
        <w:rPr>
          <w:rFonts w:eastAsia="Times New Roman" w:cs="Arial"/>
          <w:color w:val="000000"/>
        </w:rPr>
        <w:t xml:space="preserve"> </w:t>
      </w:r>
    </w:p>
    <w:p w14:paraId="2D233451" w14:textId="439800EC" w:rsidR="00DC6C6D" w:rsidRPr="00166CA5" w:rsidRDefault="00B5649F" w:rsidP="007B44A2">
      <w:pPr>
        <w:pStyle w:val="ListParagraph"/>
        <w:numPr>
          <w:ilvl w:val="0"/>
          <w:numId w:val="13"/>
        </w:numPr>
        <w:spacing w:line="480" w:lineRule="auto"/>
        <w:ind w:left="284"/>
        <w:divId w:val="1435789676"/>
        <w:rPr>
          <w:rFonts w:eastAsia="Times New Roman" w:cs="Arial"/>
          <w:color w:val="000000"/>
        </w:rPr>
      </w:pPr>
      <w:r w:rsidRPr="00B5649F">
        <w:rPr>
          <w:rFonts w:eastAsia="Times New Roman" w:cs="Arial"/>
          <w:color w:val="000000"/>
        </w:rPr>
        <w:t xml:space="preserve">Ministry of Health (MoH). Kenya Health Sector Strategic Plan. 2018. </w:t>
      </w:r>
      <w:hyperlink r:id="rId23" w:history="1">
        <w:r w:rsidR="007B44A2" w:rsidRPr="00227537">
          <w:rPr>
            <w:rStyle w:val="Hyperlink"/>
            <w:rFonts w:eastAsia="Times New Roman" w:cs="Arial"/>
          </w:rPr>
          <w:t>http://guidelines.health.go.ke:8000/media/Kenya_Health_Sector_Strategic_Plan_July_2018-_June_2023.pdf</w:t>
        </w:r>
      </w:hyperlink>
      <w:r w:rsidRPr="00B5649F">
        <w:rPr>
          <w:rFonts w:eastAsia="Times New Roman" w:cs="Arial"/>
          <w:color w:val="000000"/>
        </w:rPr>
        <w:t>.</w:t>
      </w:r>
      <w:r w:rsidR="007B44A2">
        <w:rPr>
          <w:rFonts w:eastAsia="Times New Roman" w:cs="Arial"/>
          <w:color w:val="000000"/>
        </w:rPr>
        <w:t xml:space="preserve"> </w:t>
      </w:r>
      <w:r w:rsidRPr="00B5649F">
        <w:rPr>
          <w:rFonts w:eastAsia="Times New Roman" w:cs="Arial"/>
          <w:color w:val="000000"/>
        </w:rPr>
        <w:t xml:space="preserve"> Accessed 8 Nov 2025</w:t>
      </w:r>
      <w:r w:rsidR="00DC6C6D" w:rsidRPr="00166CA5">
        <w:rPr>
          <w:rFonts w:eastAsia="Times New Roman" w:cs="Arial"/>
          <w:color w:val="000000"/>
        </w:rPr>
        <w:t xml:space="preserve"> </w:t>
      </w:r>
    </w:p>
    <w:p w14:paraId="0A45140B" w14:textId="1AF7A1F0" w:rsidR="00635B01" w:rsidRDefault="00635B01" w:rsidP="007B44A2">
      <w:pPr>
        <w:pStyle w:val="ListParagraph"/>
        <w:numPr>
          <w:ilvl w:val="0"/>
          <w:numId w:val="13"/>
        </w:numPr>
        <w:spacing w:line="480" w:lineRule="auto"/>
        <w:ind w:left="284"/>
        <w:divId w:val="388116812"/>
        <w:rPr>
          <w:rFonts w:eastAsia="Times New Roman" w:cs="Arial"/>
          <w:color w:val="000000"/>
        </w:rPr>
      </w:pPr>
      <w:r w:rsidRPr="00635B01">
        <w:rPr>
          <w:rFonts w:eastAsia="Times New Roman" w:cs="Arial"/>
          <w:color w:val="000000"/>
        </w:rPr>
        <w:t xml:space="preserve">Ministry of Health (MoH). Kenya health facility census report. 2023. </w:t>
      </w:r>
      <w:hyperlink r:id="rId24" w:history="1">
        <w:r w:rsidRPr="00227537">
          <w:rPr>
            <w:rStyle w:val="Hyperlink"/>
            <w:rFonts w:eastAsia="Times New Roman" w:cs="Arial"/>
          </w:rPr>
          <w:t>https://www.health.go.ke/sites/default/files/2024-01/Kenya%20Health%20Facility%20Census%20Report%20September%202023.pdf</w:t>
        </w:r>
      </w:hyperlink>
      <w:r w:rsidRPr="00635B01">
        <w:rPr>
          <w:rFonts w:eastAsia="Times New Roman" w:cs="Arial"/>
          <w:color w:val="000000"/>
        </w:rPr>
        <w:t>.</w:t>
      </w:r>
      <w:r>
        <w:rPr>
          <w:rFonts w:eastAsia="Times New Roman" w:cs="Arial"/>
          <w:color w:val="000000"/>
        </w:rPr>
        <w:t xml:space="preserve"> </w:t>
      </w:r>
      <w:r w:rsidRPr="00635B01">
        <w:rPr>
          <w:rFonts w:eastAsia="Times New Roman" w:cs="Arial"/>
          <w:color w:val="000000"/>
        </w:rPr>
        <w:t xml:space="preserve">  Accessed 12 Nov 2025.</w:t>
      </w:r>
      <w:r>
        <w:rPr>
          <w:rFonts w:eastAsia="Times New Roman" w:cs="Arial"/>
          <w:color w:val="000000"/>
        </w:rPr>
        <w:t xml:space="preserve"> </w:t>
      </w:r>
    </w:p>
    <w:p w14:paraId="70E1EC36" w14:textId="55E0A874" w:rsidR="006C337F" w:rsidRDefault="006C337F" w:rsidP="007B44A2">
      <w:pPr>
        <w:pStyle w:val="ListParagraph"/>
        <w:numPr>
          <w:ilvl w:val="0"/>
          <w:numId w:val="13"/>
        </w:numPr>
        <w:spacing w:line="480" w:lineRule="auto"/>
        <w:ind w:left="284"/>
        <w:divId w:val="182787216"/>
        <w:rPr>
          <w:rFonts w:eastAsia="Times New Roman" w:cs="Arial"/>
          <w:color w:val="000000"/>
        </w:rPr>
      </w:pPr>
      <w:r w:rsidRPr="006C337F">
        <w:rPr>
          <w:rFonts w:eastAsia="Times New Roman" w:cs="Arial"/>
          <w:color w:val="000000"/>
        </w:rPr>
        <w:t xml:space="preserve">KNBS, ICF. Kenya Demographic and Health Survey 2022: Volume 1. 2023. </w:t>
      </w:r>
      <w:hyperlink r:id="rId25" w:history="1">
        <w:r w:rsidRPr="00227537">
          <w:rPr>
            <w:rStyle w:val="Hyperlink"/>
            <w:rFonts w:eastAsia="Times New Roman" w:cs="Arial"/>
          </w:rPr>
          <w:t>https://www.knbs.or.ke/download/kenya-dhs-2022-main-report-volume-1/</w:t>
        </w:r>
      </w:hyperlink>
      <w:r>
        <w:rPr>
          <w:rFonts w:eastAsia="Times New Roman" w:cs="Arial"/>
          <w:color w:val="000000"/>
        </w:rPr>
        <w:t xml:space="preserve"> </w:t>
      </w:r>
      <w:r w:rsidRPr="006C337F">
        <w:rPr>
          <w:rFonts w:eastAsia="Times New Roman" w:cs="Arial"/>
          <w:color w:val="000000"/>
        </w:rPr>
        <w:t xml:space="preserve"> Accessed 22 Jan 2026</w:t>
      </w:r>
    </w:p>
    <w:p w14:paraId="16C465E2" w14:textId="2845A8AC" w:rsidR="00CE65DC" w:rsidRDefault="00CE65DC" w:rsidP="007B44A2">
      <w:pPr>
        <w:pStyle w:val="ListParagraph"/>
        <w:numPr>
          <w:ilvl w:val="0"/>
          <w:numId w:val="13"/>
        </w:numPr>
        <w:spacing w:line="480" w:lineRule="auto"/>
        <w:ind w:left="284"/>
        <w:divId w:val="1966814959"/>
        <w:rPr>
          <w:rFonts w:eastAsia="Times New Roman" w:cs="Arial"/>
          <w:color w:val="000000"/>
        </w:rPr>
      </w:pPr>
      <w:r w:rsidRPr="00CE65DC">
        <w:rPr>
          <w:rFonts w:eastAsia="Times New Roman" w:cs="Arial"/>
          <w:color w:val="000000"/>
        </w:rPr>
        <w:t xml:space="preserve">National Coordinating Agency for Population and Development (NCAPD) [Kenya], Ministry of Medical Services (MOMS) [Kenya], Ministry of Public Health and Sanitation (MOPHS) [Kenya], Kenya National Bureau of Statistics (KNBS) [Kenya], ICF Macro. Kenya Service Provision Assessment Survey 2010 [SPA17]. Nairobi;. 2010. </w:t>
      </w:r>
      <w:hyperlink r:id="rId26" w:history="1">
        <w:r w:rsidRPr="00227537">
          <w:rPr>
            <w:rStyle w:val="Hyperlink"/>
            <w:rFonts w:eastAsia="Times New Roman" w:cs="Arial"/>
          </w:rPr>
          <w:t>https://dhsprogram.com/pubs/pdf/SPA17/SPA17.pdf Accessed 15 Feb 2026</w:t>
        </w:r>
      </w:hyperlink>
    </w:p>
    <w:p w14:paraId="2B447474" w14:textId="729D99DA" w:rsidR="00317DB4" w:rsidRPr="00321962" w:rsidRDefault="00317DB4" w:rsidP="007B44A2">
      <w:pPr>
        <w:pStyle w:val="ListParagraph"/>
        <w:numPr>
          <w:ilvl w:val="0"/>
          <w:numId w:val="13"/>
        </w:numPr>
        <w:spacing w:line="480" w:lineRule="auto"/>
        <w:ind w:left="284"/>
        <w:divId w:val="1475100049"/>
        <w:rPr>
          <w:rFonts w:eastAsia="Times New Roman" w:cs="Arial"/>
          <w:color w:val="000000"/>
        </w:rPr>
      </w:pPr>
      <w:r w:rsidRPr="00317DB4">
        <w:rPr>
          <w:rFonts w:eastAsia="Times New Roman" w:cs="Arial"/>
          <w:color w:val="000000"/>
        </w:rPr>
        <w:t xml:space="preserve">Kenya national bureau of statistics (KNBS). Kenya household and health expenditure and utilization survey (KHHEUS) 2018 report. Kenya national bureau of statistics (KNBS). 2018. </w:t>
      </w:r>
      <w:hyperlink r:id="rId27" w:history="1">
        <w:r w:rsidRPr="00227537">
          <w:rPr>
            <w:rStyle w:val="Hyperlink"/>
            <w:rFonts w:eastAsia="Times New Roman" w:cs="Arial"/>
          </w:rPr>
          <w:t>https://statistics.knbs.or.ke/nada/index.php/catalog/95 Accessed 10 Feb 2026</w:t>
        </w:r>
      </w:hyperlink>
    </w:p>
    <w:p w14:paraId="2A8F9B33" w14:textId="0FFFE940" w:rsidR="00321962" w:rsidRDefault="00321962" w:rsidP="007B44A2">
      <w:pPr>
        <w:pStyle w:val="ListParagraph"/>
        <w:numPr>
          <w:ilvl w:val="0"/>
          <w:numId w:val="13"/>
        </w:numPr>
        <w:spacing w:line="480" w:lineRule="auto"/>
        <w:ind w:left="284"/>
        <w:divId w:val="1475100049"/>
        <w:rPr>
          <w:rFonts w:eastAsia="Times New Roman" w:cs="Arial"/>
          <w:color w:val="000000"/>
        </w:rPr>
      </w:pPr>
      <w:r w:rsidRPr="00321962">
        <w:rPr>
          <w:rFonts w:eastAsia="Times New Roman" w:cs="Arial"/>
          <w:color w:val="000000"/>
        </w:rPr>
        <w:t>Robert BN, Muchiri SK, Kahoro EW, Hindada BH, Kiarie H, Okiro EA, Macharia PM. Impact analysis of flood-induced changes in geographical accessibility and coverage to healthcare in both public and private sector, 2024, Kenya. International Journal of Health Geographics. 2026 Mar 18.</w:t>
      </w:r>
    </w:p>
    <w:p w14:paraId="0183EBCF" w14:textId="37AF36A3" w:rsidR="005B62DA" w:rsidRDefault="005B62DA" w:rsidP="007B44A2">
      <w:pPr>
        <w:pStyle w:val="ListParagraph"/>
        <w:numPr>
          <w:ilvl w:val="0"/>
          <w:numId w:val="13"/>
        </w:numPr>
        <w:spacing w:line="480" w:lineRule="auto"/>
        <w:ind w:left="284"/>
        <w:divId w:val="1026252948"/>
        <w:rPr>
          <w:rFonts w:eastAsia="Times New Roman" w:cs="Arial"/>
          <w:color w:val="000000"/>
        </w:rPr>
      </w:pPr>
      <w:r w:rsidRPr="005B62DA">
        <w:rPr>
          <w:rFonts w:eastAsia="Times New Roman" w:cs="Arial"/>
          <w:color w:val="000000"/>
        </w:rPr>
        <w:lastRenderedPageBreak/>
        <w:t xml:space="preserve">Ahmed S, Adams AM, Islam R, Hasan SM, Panciera R. Impact of traffic variability on geographic accessibility to 24/7 emergency healthcare for the urban poor: A GIS study in Dhaka,  Bangladesh. Wilson FA, editor. PLoS One . Public Library of Science (PLoS); 2019;14:e0222488. </w:t>
      </w:r>
      <w:hyperlink r:id="rId28" w:history="1">
        <w:r w:rsidRPr="00227537">
          <w:rPr>
            <w:rStyle w:val="Hyperlink"/>
            <w:rFonts w:eastAsia="Times New Roman" w:cs="Arial"/>
          </w:rPr>
          <w:t>https://doi.org/10.1371/journal.pone.0222488b</w:t>
        </w:r>
      </w:hyperlink>
      <w:r w:rsidRPr="005B62DA">
        <w:rPr>
          <w:rFonts w:eastAsia="Times New Roman" w:cs="Arial"/>
          <w:color w:val="000000"/>
        </w:rPr>
        <w:t xml:space="preserve"> </w:t>
      </w:r>
    </w:p>
    <w:p w14:paraId="7533BE9C" w14:textId="097B21CB" w:rsidR="003734B5" w:rsidRDefault="003734B5" w:rsidP="007B44A2">
      <w:pPr>
        <w:pStyle w:val="ListParagraph"/>
        <w:numPr>
          <w:ilvl w:val="0"/>
          <w:numId w:val="13"/>
        </w:numPr>
        <w:spacing w:line="480" w:lineRule="auto"/>
        <w:ind w:left="284"/>
        <w:divId w:val="2145584678"/>
        <w:rPr>
          <w:rFonts w:eastAsia="Times New Roman" w:cs="Arial"/>
          <w:color w:val="000000"/>
        </w:rPr>
      </w:pPr>
      <w:r w:rsidRPr="003734B5">
        <w:rPr>
          <w:rFonts w:eastAsia="Times New Roman" w:cs="Arial"/>
          <w:color w:val="000000"/>
        </w:rPr>
        <w:t xml:space="preserve">Mutono N, Wright JA, Mutunga M, Mutembei H, Thumbi SM. Impact of traffic congestion on spatial access to healthcare services in Nairobi. Frontiers in Health Services. 2022;2:788173. </w:t>
      </w:r>
      <w:hyperlink r:id="rId29" w:history="1">
        <w:r w:rsidRPr="00227537">
          <w:rPr>
            <w:rStyle w:val="Hyperlink"/>
            <w:rFonts w:eastAsia="Times New Roman" w:cs="Arial"/>
          </w:rPr>
          <w:t>https://doi.org/10.3389/frhs.2022.788173</w:t>
        </w:r>
      </w:hyperlink>
      <w:r w:rsidRPr="003734B5">
        <w:rPr>
          <w:rFonts w:eastAsia="Times New Roman" w:cs="Arial"/>
          <w:color w:val="000000"/>
        </w:rPr>
        <w:t xml:space="preserve"> </w:t>
      </w:r>
    </w:p>
    <w:p w14:paraId="48E59D46" w14:textId="28BAEB41" w:rsidR="00946AAD" w:rsidRDefault="00946AAD" w:rsidP="007B44A2">
      <w:pPr>
        <w:pStyle w:val="ListParagraph"/>
        <w:numPr>
          <w:ilvl w:val="0"/>
          <w:numId w:val="13"/>
        </w:numPr>
        <w:spacing w:line="480" w:lineRule="auto"/>
        <w:ind w:left="284"/>
        <w:divId w:val="743069554"/>
        <w:rPr>
          <w:rFonts w:eastAsia="Times New Roman" w:cs="Arial"/>
          <w:color w:val="000000"/>
        </w:rPr>
      </w:pPr>
      <w:r w:rsidRPr="00946AAD">
        <w:rPr>
          <w:rFonts w:eastAsia="Times New Roman" w:cs="Arial"/>
          <w:color w:val="000000"/>
        </w:rPr>
        <w:t xml:space="preserve">Fraser MS, Wachira BW, Flaxman AD, Lee AY, Duber HC. Impact of traffic, poverty and facility ownership on travel time to emergency care in Nairobi, Kenya. African Journal of Emergency Medicine. 2020;10:40-5. </w:t>
      </w:r>
      <w:hyperlink r:id="rId30" w:history="1">
        <w:r w:rsidRPr="00227537">
          <w:rPr>
            <w:rStyle w:val="Hyperlink"/>
            <w:rFonts w:eastAsia="Times New Roman" w:cs="Arial"/>
          </w:rPr>
          <w:t>https://doi.org/10.1016/j.afjem.2019.12.003</w:t>
        </w:r>
      </w:hyperlink>
    </w:p>
    <w:p w14:paraId="049EF25B" w14:textId="4726E3B4" w:rsidR="00C725CA" w:rsidRDefault="00C725CA" w:rsidP="007B44A2">
      <w:pPr>
        <w:pStyle w:val="ListParagraph"/>
        <w:numPr>
          <w:ilvl w:val="0"/>
          <w:numId w:val="13"/>
        </w:numPr>
        <w:spacing w:line="480" w:lineRule="auto"/>
        <w:ind w:left="284"/>
        <w:divId w:val="260069603"/>
        <w:rPr>
          <w:rFonts w:eastAsia="Times New Roman" w:cs="Arial"/>
          <w:color w:val="000000"/>
        </w:rPr>
      </w:pPr>
      <w:r w:rsidRPr="00C725CA">
        <w:rPr>
          <w:rFonts w:eastAsia="Times New Roman" w:cs="Arial"/>
          <w:color w:val="000000"/>
        </w:rPr>
        <w:t xml:space="preserve">Macharia PM, Wong KL, Olubodun T, Beňová L, Stanton C, Sundararajan N, et al. A geospatial database of close-to-reality travel times to obstetric emergency care in 15 Nigerian conurbations. Sci Data. 2023;10:736. </w:t>
      </w:r>
      <w:hyperlink r:id="rId31" w:history="1">
        <w:r w:rsidRPr="00227537">
          <w:rPr>
            <w:rStyle w:val="Hyperlink"/>
            <w:rFonts w:eastAsia="Times New Roman" w:cs="Arial"/>
          </w:rPr>
          <w:t>https://doi.org/10.1038/s41597-023-02651-9</w:t>
        </w:r>
      </w:hyperlink>
      <w:r w:rsidRPr="00C725CA">
        <w:rPr>
          <w:rFonts w:eastAsia="Times New Roman" w:cs="Arial"/>
          <w:color w:val="000000"/>
        </w:rPr>
        <w:t xml:space="preserve"> </w:t>
      </w:r>
    </w:p>
    <w:p w14:paraId="0FF5FB81" w14:textId="77777777" w:rsidR="00921AB5" w:rsidRDefault="00921AB5" w:rsidP="007B44A2">
      <w:pPr>
        <w:pStyle w:val="ListParagraph"/>
        <w:numPr>
          <w:ilvl w:val="0"/>
          <w:numId w:val="13"/>
        </w:numPr>
        <w:spacing w:line="480" w:lineRule="auto"/>
        <w:ind w:left="284"/>
        <w:divId w:val="967321835"/>
        <w:rPr>
          <w:rFonts w:eastAsia="Times New Roman" w:cs="Arial"/>
          <w:color w:val="000000"/>
        </w:rPr>
      </w:pPr>
      <w:r w:rsidRPr="00921AB5">
        <w:rPr>
          <w:rFonts w:eastAsia="Times New Roman" w:cs="Arial"/>
          <w:color w:val="000000"/>
        </w:rPr>
        <w:t xml:space="preserve">Ray N, Ebener S. AccessMod 3.0: computing geographic coverage and accessibility to health care services using anisotropic movement of patients. Int J Health Geogr. Springer Nature; 2008;7:63. </w:t>
      </w:r>
    </w:p>
    <w:p w14:paraId="03F89D64" w14:textId="22DB5B61" w:rsidR="00DC6C6D" w:rsidRDefault="006245C5" w:rsidP="007B44A2">
      <w:pPr>
        <w:pStyle w:val="ListParagraph"/>
        <w:numPr>
          <w:ilvl w:val="0"/>
          <w:numId w:val="13"/>
        </w:numPr>
        <w:spacing w:line="480" w:lineRule="auto"/>
        <w:ind w:left="284"/>
        <w:divId w:val="967321835"/>
        <w:rPr>
          <w:rFonts w:eastAsia="Times New Roman" w:cs="Arial"/>
          <w:color w:val="000000"/>
        </w:rPr>
      </w:pPr>
      <w:r w:rsidRPr="006245C5">
        <w:rPr>
          <w:rFonts w:eastAsia="Times New Roman" w:cs="Arial"/>
          <w:color w:val="000000"/>
        </w:rPr>
        <w:t>Macharia PM, Mumo E, Okiro EA. Modelling geographical accessibility to urban centres in Kenya in 2019. PLoS One. Public Library of Science (PLoS); 2021;16:e0251624.</w:t>
      </w:r>
      <w:r w:rsidR="00DC6C6D" w:rsidRPr="00166CA5">
        <w:rPr>
          <w:rFonts w:eastAsia="Times New Roman" w:cs="Arial"/>
          <w:color w:val="000000"/>
        </w:rPr>
        <w:t xml:space="preserve"> </w:t>
      </w:r>
    </w:p>
    <w:p w14:paraId="3E87D645" w14:textId="3AA3B843" w:rsidR="006619DE" w:rsidRDefault="0075373D" w:rsidP="007B44A2">
      <w:pPr>
        <w:pStyle w:val="ListParagraph"/>
        <w:numPr>
          <w:ilvl w:val="0"/>
          <w:numId w:val="13"/>
        </w:numPr>
        <w:spacing w:line="480" w:lineRule="auto"/>
        <w:ind w:left="284"/>
        <w:divId w:val="967321835"/>
        <w:rPr>
          <w:rFonts w:eastAsia="Times New Roman" w:cs="Arial"/>
          <w:color w:val="000000"/>
        </w:rPr>
      </w:pPr>
      <w:r w:rsidRPr="0075373D">
        <w:rPr>
          <w:rFonts w:eastAsia="Times New Roman" w:cs="Arial"/>
          <w:color w:val="000000"/>
        </w:rPr>
        <w:t>Rue H, Martino S, Chopin N. Approximate Bayesian inference for latent Gaussian models by using integrated nested Laplace approximations. J. R. Statist. Soc. B. 2009; 2:319</w:t>
      </w:r>
      <w:r w:rsidRPr="0075373D">
        <w:rPr>
          <w:rFonts w:ascii="Cambria Math" w:eastAsia="Times New Roman" w:hAnsi="Cambria Math" w:cs="Cambria Math"/>
          <w:color w:val="000000"/>
        </w:rPr>
        <w:t>‑</w:t>
      </w:r>
      <w:r w:rsidRPr="0075373D">
        <w:rPr>
          <w:rFonts w:eastAsia="Times New Roman" w:cs="Arial"/>
          <w:color w:val="000000"/>
        </w:rPr>
        <w:t>92.</w:t>
      </w:r>
    </w:p>
    <w:p w14:paraId="07CB7777" w14:textId="340721FD" w:rsidR="0075373D" w:rsidRPr="00166CA5" w:rsidRDefault="004C1899" w:rsidP="007B44A2">
      <w:pPr>
        <w:pStyle w:val="ListParagraph"/>
        <w:numPr>
          <w:ilvl w:val="0"/>
          <w:numId w:val="13"/>
        </w:numPr>
        <w:spacing w:line="480" w:lineRule="auto"/>
        <w:ind w:left="284"/>
        <w:divId w:val="967321835"/>
        <w:rPr>
          <w:rFonts w:eastAsia="Times New Roman" w:cs="Arial"/>
          <w:color w:val="000000"/>
        </w:rPr>
      </w:pPr>
      <w:r w:rsidRPr="004C1899">
        <w:rPr>
          <w:rFonts w:eastAsia="Times New Roman" w:cs="Arial"/>
          <w:color w:val="000000"/>
        </w:rPr>
        <w:t xml:space="preserve">Rue H, Riebler A, Sørbye SH, Illian JB, Simpson DP, Lindgren FK. Bayesian Computing with INLA: A Review. Annu Rev Stat Appl . Annual Reviews; 2017;4:395–421. </w:t>
      </w:r>
      <w:hyperlink r:id="rId32" w:history="1">
        <w:r w:rsidRPr="00227537">
          <w:rPr>
            <w:rStyle w:val="Hyperlink"/>
            <w:rFonts w:eastAsia="Times New Roman" w:cs="Arial"/>
          </w:rPr>
          <w:t>https://doi.org/10.1146/annurev-statistics-060116-054045</w:t>
        </w:r>
      </w:hyperlink>
      <w:r>
        <w:rPr>
          <w:rFonts w:eastAsia="Times New Roman" w:cs="Arial"/>
          <w:color w:val="000000"/>
        </w:rPr>
        <w:t xml:space="preserve"> </w:t>
      </w:r>
    </w:p>
    <w:p w14:paraId="24CB989E" w14:textId="7831B384" w:rsidR="00DC6C6D" w:rsidRPr="00166CA5" w:rsidRDefault="00DC6C6D" w:rsidP="007B44A2">
      <w:pPr>
        <w:pStyle w:val="ListParagraph"/>
        <w:numPr>
          <w:ilvl w:val="0"/>
          <w:numId w:val="13"/>
        </w:numPr>
        <w:spacing w:line="480" w:lineRule="auto"/>
        <w:ind w:left="284"/>
        <w:divId w:val="653798604"/>
        <w:rPr>
          <w:rFonts w:eastAsia="Times New Roman" w:cs="Arial"/>
          <w:color w:val="000000"/>
        </w:rPr>
      </w:pPr>
      <w:r w:rsidRPr="00166CA5">
        <w:rPr>
          <w:rFonts w:eastAsia="Times New Roman" w:cs="Arial"/>
          <w:color w:val="000000"/>
        </w:rPr>
        <w:t xml:space="preserve">Martins TG, Simpson D, Lindgren F, Rue H. Bayesian computing with INLA: New features. Comput Stat Data Anal [Internet]. Elsevier BV; 2013;67:68–83. </w:t>
      </w:r>
      <w:hyperlink r:id="rId33" w:history="1">
        <w:r w:rsidR="00042E52" w:rsidRPr="00227537">
          <w:rPr>
            <w:rStyle w:val="Hyperlink"/>
            <w:rFonts w:eastAsia="Times New Roman" w:cs="Arial"/>
          </w:rPr>
          <w:t>https://doi.org/10.1016/j.csda.2013.04.014</w:t>
        </w:r>
      </w:hyperlink>
      <w:r w:rsidR="00042E52">
        <w:rPr>
          <w:rFonts w:eastAsia="Times New Roman" w:cs="Arial"/>
          <w:color w:val="000000"/>
        </w:rPr>
        <w:t xml:space="preserve"> </w:t>
      </w:r>
    </w:p>
    <w:p w14:paraId="3C9EEF29" w14:textId="38AF64B3" w:rsidR="005F5AB9" w:rsidRDefault="00A80C41" w:rsidP="007B44A2">
      <w:pPr>
        <w:pStyle w:val="ListParagraph"/>
        <w:numPr>
          <w:ilvl w:val="0"/>
          <w:numId w:val="13"/>
        </w:numPr>
        <w:spacing w:line="480" w:lineRule="auto"/>
        <w:ind w:left="284"/>
        <w:divId w:val="1897812216"/>
        <w:rPr>
          <w:rFonts w:eastAsia="Times New Roman" w:cs="Arial"/>
          <w:color w:val="000000"/>
        </w:rPr>
      </w:pPr>
      <w:r w:rsidRPr="00A80C41">
        <w:rPr>
          <w:rFonts w:eastAsia="Times New Roman" w:cs="Arial"/>
          <w:color w:val="000000"/>
        </w:rPr>
        <w:lastRenderedPageBreak/>
        <w:t>Perez-Heydrich C, Warren JL, Burgert CR, Emch ME. Influence of demographic and health survey point displacements on raster-based analyses. Spatial demography. 2016 Jul;4(2):135-53.</w:t>
      </w:r>
    </w:p>
    <w:p w14:paraId="31AA9B59" w14:textId="090C6C2F" w:rsidR="00DC6C6D" w:rsidRPr="00166CA5" w:rsidRDefault="00DC6C6D" w:rsidP="007B44A2">
      <w:pPr>
        <w:pStyle w:val="ListParagraph"/>
        <w:numPr>
          <w:ilvl w:val="0"/>
          <w:numId w:val="13"/>
        </w:numPr>
        <w:spacing w:line="480" w:lineRule="auto"/>
        <w:ind w:left="284"/>
        <w:divId w:val="1897812216"/>
        <w:rPr>
          <w:rFonts w:eastAsia="Times New Roman" w:cs="Arial"/>
          <w:color w:val="000000"/>
        </w:rPr>
      </w:pPr>
      <w:r w:rsidRPr="00166CA5">
        <w:rPr>
          <w:rFonts w:eastAsia="Times New Roman" w:cs="Arial"/>
          <w:color w:val="000000"/>
        </w:rPr>
        <w:t xml:space="preserve">Bohling G. Introduction to geostatistics and variogram analysis. Earth. 2005. </w:t>
      </w:r>
    </w:p>
    <w:p w14:paraId="791676C7" w14:textId="183A19B7" w:rsidR="00DC6C6D" w:rsidRPr="00166CA5" w:rsidRDefault="00DC6C6D" w:rsidP="007B44A2">
      <w:pPr>
        <w:pStyle w:val="ListParagraph"/>
        <w:numPr>
          <w:ilvl w:val="0"/>
          <w:numId w:val="13"/>
        </w:numPr>
        <w:spacing w:line="480" w:lineRule="auto"/>
        <w:ind w:left="284"/>
        <w:divId w:val="41878114"/>
        <w:rPr>
          <w:rFonts w:eastAsia="Times New Roman" w:cs="Arial"/>
          <w:color w:val="000000"/>
        </w:rPr>
      </w:pPr>
      <w:r w:rsidRPr="00166CA5">
        <w:rPr>
          <w:rFonts w:eastAsia="Times New Roman" w:cs="Arial"/>
          <w:color w:val="000000"/>
        </w:rPr>
        <w:t xml:space="preserve">Lindgren F, Rue H, Lindström J. An explicit link between Gaussian fields and Gaussian Markov random fields: the stochastic partial differential equation approach. J. R. Statist. Soc. B. 2011. </w:t>
      </w:r>
    </w:p>
    <w:p w14:paraId="6DD79B23" w14:textId="0BCA49A8" w:rsidR="00DC6C6D" w:rsidRPr="00166CA5" w:rsidRDefault="00DC6C6D" w:rsidP="007B44A2">
      <w:pPr>
        <w:pStyle w:val="ListParagraph"/>
        <w:numPr>
          <w:ilvl w:val="0"/>
          <w:numId w:val="13"/>
        </w:numPr>
        <w:spacing w:line="480" w:lineRule="auto"/>
        <w:ind w:left="284"/>
        <w:divId w:val="1976449029"/>
        <w:rPr>
          <w:rFonts w:eastAsia="Times New Roman" w:cs="Arial"/>
          <w:color w:val="000000"/>
        </w:rPr>
      </w:pPr>
      <w:r w:rsidRPr="00166CA5">
        <w:rPr>
          <w:rFonts w:eastAsia="Times New Roman" w:cs="Arial"/>
          <w:color w:val="000000"/>
        </w:rPr>
        <w:t>Fuglstad GA, Simpson D, Lindgren F, Rue H. Constructing Priors that Penalize the Complexity of Gaussian Random Fields. J Am Stat Assoc. 2019;114. https://doi.org/10.1080/01621459.2017.1415907</w:t>
      </w:r>
    </w:p>
    <w:p w14:paraId="03678ED2" w14:textId="186137DF" w:rsidR="00DC6C6D" w:rsidRPr="00166CA5" w:rsidRDefault="00DC6C6D" w:rsidP="007B44A2">
      <w:pPr>
        <w:pStyle w:val="ListParagraph"/>
        <w:numPr>
          <w:ilvl w:val="0"/>
          <w:numId w:val="13"/>
        </w:numPr>
        <w:spacing w:line="480" w:lineRule="auto"/>
        <w:ind w:left="284"/>
        <w:divId w:val="2116442870"/>
        <w:rPr>
          <w:rFonts w:eastAsia="Times New Roman" w:cs="Arial"/>
          <w:color w:val="000000"/>
        </w:rPr>
      </w:pPr>
      <w:r w:rsidRPr="00166CA5">
        <w:rPr>
          <w:rFonts w:eastAsia="Times New Roman" w:cs="Arial"/>
          <w:color w:val="000000"/>
        </w:rPr>
        <w:t xml:space="preserve">Boudt K, Todorov V, Wang W. Robust Distribution-Based Winsorization in Composite Indicators Construction. Soc Indic Res. Springer; 2020;149:375–97. </w:t>
      </w:r>
      <w:hyperlink r:id="rId34" w:history="1">
        <w:r w:rsidR="002A43A2" w:rsidRPr="00227537">
          <w:rPr>
            <w:rStyle w:val="Hyperlink"/>
            <w:rFonts w:eastAsia="Times New Roman" w:cs="Arial"/>
          </w:rPr>
          <w:t>https://doi.org/10.1007/s11205-019-02259-w</w:t>
        </w:r>
      </w:hyperlink>
      <w:r w:rsidR="002A43A2">
        <w:rPr>
          <w:rFonts w:eastAsia="Times New Roman" w:cs="Arial"/>
          <w:color w:val="000000"/>
        </w:rPr>
        <w:t xml:space="preserve"> </w:t>
      </w:r>
    </w:p>
    <w:p w14:paraId="36DEC091" w14:textId="5A61E53D" w:rsidR="00DC6C6D" w:rsidRPr="00166CA5" w:rsidRDefault="0009320F" w:rsidP="0009320F">
      <w:pPr>
        <w:pStyle w:val="ListParagraph"/>
        <w:numPr>
          <w:ilvl w:val="0"/>
          <w:numId w:val="13"/>
        </w:numPr>
        <w:spacing w:line="480" w:lineRule="auto"/>
        <w:ind w:left="284"/>
        <w:divId w:val="1216694955"/>
        <w:rPr>
          <w:rFonts w:eastAsia="Times New Roman" w:cs="Arial"/>
          <w:color w:val="000000"/>
        </w:rPr>
      </w:pPr>
      <w:r w:rsidRPr="0009320F">
        <w:rPr>
          <w:rFonts w:eastAsia="Times New Roman" w:cs="Arial"/>
          <w:color w:val="000000"/>
        </w:rPr>
        <w:t>Harris P, Brunsdon C, Charlton M. Geographically weighted principal components analysis. International Journal of Geographical Information Science. 2011;25:1717</w:t>
      </w:r>
      <w:r w:rsidRPr="0009320F">
        <w:rPr>
          <w:rFonts w:ascii="Cambria Math" w:eastAsia="Times New Roman" w:hAnsi="Cambria Math" w:cs="Cambria Math"/>
          <w:color w:val="000000"/>
        </w:rPr>
        <w:t>‑</w:t>
      </w:r>
      <w:r w:rsidRPr="0009320F">
        <w:rPr>
          <w:rFonts w:eastAsia="Times New Roman" w:cs="Arial"/>
          <w:color w:val="000000"/>
        </w:rPr>
        <w:t xml:space="preserve">36. </w:t>
      </w:r>
      <w:hyperlink r:id="rId35" w:history="1">
        <w:r w:rsidRPr="00227537">
          <w:rPr>
            <w:rStyle w:val="Hyperlink"/>
            <w:rFonts w:eastAsia="Times New Roman" w:cs="Arial"/>
          </w:rPr>
          <w:t>https://doi.org/10.1080/13658816.2011.554838</w:t>
        </w:r>
      </w:hyperlink>
      <w:r w:rsidRPr="0009320F">
        <w:rPr>
          <w:rFonts w:eastAsia="Times New Roman" w:cs="Arial"/>
          <w:color w:val="000000"/>
        </w:rPr>
        <w:t xml:space="preserve"> </w:t>
      </w:r>
    </w:p>
    <w:p w14:paraId="1A08E9B5" w14:textId="77777777" w:rsidR="00363EA7" w:rsidRDefault="00363EA7" w:rsidP="007B44A2">
      <w:pPr>
        <w:pStyle w:val="ListParagraph"/>
        <w:numPr>
          <w:ilvl w:val="0"/>
          <w:numId w:val="13"/>
        </w:numPr>
        <w:spacing w:line="480" w:lineRule="auto"/>
        <w:ind w:left="284"/>
        <w:divId w:val="1257012309"/>
        <w:rPr>
          <w:rFonts w:eastAsia="Times New Roman" w:cs="Arial"/>
          <w:color w:val="000000"/>
        </w:rPr>
      </w:pPr>
      <w:r w:rsidRPr="00363EA7">
        <w:rPr>
          <w:rFonts w:eastAsia="Times New Roman" w:cs="Arial"/>
          <w:color w:val="000000"/>
        </w:rPr>
        <w:t>Harris P, Clarke A, Juggins S, Brunsdon C, Charlton M. Enhancements to a geographically weighted principal component analysis in the context of an application to an environmental data set. Geogr Anal. 2015;47:146</w:t>
      </w:r>
      <w:r w:rsidRPr="00363EA7">
        <w:rPr>
          <w:rFonts w:ascii="Cambria Math" w:eastAsia="Times New Roman" w:hAnsi="Cambria Math" w:cs="Cambria Math"/>
          <w:color w:val="000000"/>
        </w:rPr>
        <w:t>‑</w:t>
      </w:r>
      <w:r w:rsidRPr="00363EA7">
        <w:rPr>
          <w:rFonts w:eastAsia="Times New Roman" w:cs="Arial"/>
          <w:color w:val="000000"/>
        </w:rPr>
        <w:t xml:space="preserve">72. https://doi.org/10.1111/gean.12048 </w:t>
      </w:r>
    </w:p>
    <w:p w14:paraId="609DC583" w14:textId="67AE15C9" w:rsidR="00DC6C6D" w:rsidRPr="00166CA5" w:rsidRDefault="00DC6C6D" w:rsidP="007B44A2">
      <w:pPr>
        <w:pStyle w:val="ListParagraph"/>
        <w:numPr>
          <w:ilvl w:val="0"/>
          <w:numId w:val="13"/>
        </w:numPr>
        <w:spacing w:line="480" w:lineRule="auto"/>
        <w:ind w:left="284"/>
        <w:divId w:val="711929087"/>
        <w:rPr>
          <w:rFonts w:eastAsia="Times New Roman" w:cs="Arial"/>
          <w:color w:val="000000"/>
        </w:rPr>
      </w:pPr>
      <w:r w:rsidRPr="00166CA5">
        <w:rPr>
          <w:rFonts w:eastAsia="Times New Roman" w:cs="Arial"/>
          <w:color w:val="000000"/>
        </w:rPr>
        <w:t xml:space="preserve">Gollini I, Lu B, Charlton M, Brunsdon C, Harris P. Gwmodel: An R package for exploring spatial heterogeneity using geographically weighted models. J Stat Softw. 2015;63. </w:t>
      </w:r>
      <w:hyperlink r:id="rId36" w:history="1">
        <w:r w:rsidR="00CA5E4D" w:rsidRPr="00227537">
          <w:rPr>
            <w:rStyle w:val="Hyperlink"/>
            <w:rFonts w:eastAsia="Times New Roman" w:cs="Arial"/>
          </w:rPr>
          <w:t>https://doi.org/10.18637/jss.v063.i17</w:t>
        </w:r>
      </w:hyperlink>
      <w:r w:rsidR="00CA5E4D">
        <w:rPr>
          <w:rFonts w:eastAsia="Times New Roman" w:cs="Arial"/>
          <w:color w:val="000000"/>
        </w:rPr>
        <w:t xml:space="preserve"> </w:t>
      </w:r>
    </w:p>
    <w:p w14:paraId="1FAF2130" w14:textId="4554497E" w:rsidR="00DC6C6D" w:rsidRPr="00166CA5" w:rsidRDefault="00DC6C6D" w:rsidP="007B44A2">
      <w:pPr>
        <w:pStyle w:val="ListParagraph"/>
        <w:numPr>
          <w:ilvl w:val="0"/>
          <w:numId w:val="13"/>
        </w:numPr>
        <w:spacing w:line="480" w:lineRule="auto"/>
        <w:ind w:left="284"/>
        <w:divId w:val="535700084"/>
        <w:rPr>
          <w:rFonts w:eastAsia="Times New Roman" w:cs="Arial"/>
          <w:color w:val="000000"/>
        </w:rPr>
      </w:pPr>
      <w:r w:rsidRPr="00166CA5">
        <w:rPr>
          <w:rFonts w:eastAsia="Times New Roman" w:cs="Arial"/>
          <w:color w:val="000000"/>
        </w:rPr>
        <w:t xml:space="preserve">Wood SN. Inference and computation with generalized additive models and their extensions. Test. 2020;29. </w:t>
      </w:r>
      <w:hyperlink r:id="rId37" w:history="1">
        <w:r w:rsidR="00CA5E4D" w:rsidRPr="00227537">
          <w:rPr>
            <w:rStyle w:val="Hyperlink"/>
            <w:rFonts w:eastAsia="Times New Roman" w:cs="Arial"/>
          </w:rPr>
          <w:t>https://doi.org/10.1007/s11749-020-00711-5</w:t>
        </w:r>
      </w:hyperlink>
      <w:r w:rsidR="00CA5E4D">
        <w:rPr>
          <w:rFonts w:eastAsia="Times New Roman" w:cs="Arial"/>
          <w:color w:val="000000"/>
        </w:rPr>
        <w:t xml:space="preserve"> </w:t>
      </w:r>
    </w:p>
    <w:p w14:paraId="653D0201" w14:textId="728FEA14" w:rsidR="00F86707" w:rsidRPr="00A00CA4" w:rsidRDefault="00F86707" w:rsidP="007B44A2">
      <w:pPr>
        <w:spacing w:line="480" w:lineRule="auto"/>
        <w:ind w:left="284"/>
      </w:pPr>
    </w:p>
    <w:sectPr w:rsidR="00F86707" w:rsidRPr="00A00C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86C7" w14:textId="77777777" w:rsidR="00FC1B8F" w:rsidRPr="00AA494C" w:rsidRDefault="00FC1B8F" w:rsidP="001A7513">
      <w:r w:rsidRPr="00AA494C">
        <w:separator/>
      </w:r>
    </w:p>
  </w:endnote>
  <w:endnote w:type="continuationSeparator" w:id="0">
    <w:p w14:paraId="4D345037" w14:textId="77777777" w:rsidR="00FC1B8F" w:rsidRPr="00AA494C" w:rsidRDefault="00FC1B8F" w:rsidP="001A7513">
      <w:r w:rsidRPr="00AA49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CF242" w14:textId="77777777" w:rsidR="00FC1B8F" w:rsidRPr="00AA494C" w:rsidRDefault="00FC1B8F" w:rsidP="001A7513">
      <w:r w:rsidRPr="00AA494C">
        <w:separator/>
      </w:r>
    </w:p>
  </w:footnote>
  <w:footnote w:type="continuationSeparator" w:id="0">
    <w:p w14:paraId="082FFD1B" w14:textId="77777777" w:rsidR="00FC1B8F" w:rsidRPr="00AA494C" w:rsidRDefault="00FC1B8F" w:rsidP="001A7513">
      <w:r w:rsidRPr="00AA494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063"/>
    <w:multiLevelType w:val="hybridMultilevel"/>
    <w:tmpl w:val="67EA02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A8C28CE"/>
    <w:multiLevelType w:val="hybridMultilevel"/>
    <w:tmpl w:val="48600A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7482689"/>
    <w:multiLevelType w:val="multilevel"/>
    <w:tmpl w:val="D302AE0A"/>
    <w:lvl w:ilvl="0">
      <w:start w:val="1"/>
      <w:numFmt w:val="decimal"/>
      <w:lvlText w:val="%1"/>
      <w:lvlJc w:val="left"/>
      <w:pPr>
        <w:ind w:left="0" w:firstLine="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680" w:firstLine="40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68645B"/>
    <w:multiLevelType w:val="hybridMultilevel"/>
    <w:tmpl w:val="9EAEF0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1D74EDB"/>
    <w:multiLevelType w:val="hybridMultilevel"/>
    <w:tmpl w:val="6FE07C54"/>
    <w:lvl w:ilvl="0" w:tplc="F7DA2E8E">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DF2224C"/>
    <w:multiLevelType w:val="hybridMultilevel"/>
    <w:tmpl w:val="F35E284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0C536B1"/>
    <w:multiLevelType w:val="multilevel"/>
    <w:tmpl w:val="0E0C56C6"/>
    <w:lvl w:ilvl="0">
      <w:start w:val="1"/>
      <w:numFmt w:val="decimal"/>
      <w:pStyle w:val="Heading1"/>
      <w:suff w:val="space"/>
      <w:lvlText w:val="%1"/>
      <w:lvlJc w:val="left"/>
      <w:pPr>
        <w:ind w:left="0" w:firstLine="0"/>
      </w:pPr>
      <w:rPr>
        <w:rFonts w:hint="default"/>
        <w:vanish/>
      </w:rPr>
    </w:lvl>
    <w:lvl w:ilvl="1">
      <w:start w:val="1"/>
      <w:numFmt w:val="decimal"/>
      <w:pStyle w:val="Heading2"/>
      <w:suff w:val="space"/>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6CA828B9"/>
    <w:multiLevelType w:val="hybridMultilevel"/>
    <w:tmpl w:val="E54A0F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96C7D21"/>
    <w:multiLevelType w:val="multilevel"/>
    <w:tmpl w:val="AEC66544"/>
    <w:lvl w:ilvl="0">
      <w:start w:val="1"/>
      <w:numFmt w:val="decimal"/>
      <w:lvlText w:val="%1"/>
      <w:lvlJc w:val="left"/>
      <w:pPr>
        <w:ind w:left="284" w:hanging="284"/>
      </w:pPr>
      <w:rPr>
        <w:rFonts w:hint="default"/>
      </w:rPr>
    </w:lvl>
    <w:lvl w:ilvl="1">
      <w:start w:val="1"/>
      <w:numFmt w:val="decimal"/>
      <w:lvlText w:val="%1.%2"/>
      <w:lvlJc w:val="left"/>
      <w:pPr>
        <w:ind w:left="284" w:firstLine="76"/>
      </w:pPr>
      <w:rPr>
        <w:rFonts w:hint="default"/>
      </w:rPr>
    </w:lvl>
    <w:lvl w:ilvl="2">
      <w:start w:val="1"/>
      <w:numFmt w:val="decimal"/>
      <w:lvlText w:val="%1.%2.%3"/>
      <w:lvlJc w:val="left"/>
      <w:pPr>
        <w:ind w:left="284" w:firstLine="436"/>
      </w:pPr>
      <w:rPr>
        <w:rFonts w:hint="default"/>
      </w:rPr>
    </w:lvl>
    <w:lvl w:ilvl="3">
      <w:start w:val="1"/>
      <w:numFmt w:val="decimal"/>
      <w:lvlText w:val="%1.%2.%3.%4"/>
      <w:lvlJc w:val="left"/>
      <w:pPr>
        <w:ind w:left="680" w:firstLine="40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80555995">
    <w:abstractNumId w:val="5"/>
  </w:num>
  <w:num w:numId="2" w16cid:durableId="1703632204">
    <w:abstractNumId w:val="0"/>
  </w:num>
  <w:num w:numId="3" w16cid:durableId="2004703342">
    <w:abstractNumId w:val="4"/>
  </w:num>
  <w:num w:numId="4" w16cid:durableId="916397632">
    <w:abstractNumId w:val="3"/>
  </w:num>
  <w:num w:numId="5" w16cid:durableId="1603798313">
    <w:abstractNumId w:val="2"/>
  </w:num>
  <w:num w:numId="6" w16cid:durableId="393286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75117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9935028">
    <w:abstractNumId w:val="8"/>
  </w:num>
  <w:num w:numId="9" w16cid:durableId="371614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78735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8063746">
    <w:abstractNumId w:val="6"/>
  </w:num>
  <w:num w:numId="12" w16cid:durableId="641622652">
    <w:abstractNumId w:val="7"/>
  </w:num>
  <w:num w:numId="13" w16cid:durableId="661079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66"/>
    <w:rsid w:val="000006E8"/>
    <w:rsid w:val="00004D2A"/>
    <w:rsid w:val="00005F73"/>
    <w:rsid w:val="00006756"/>
    <w:rsid w:val="000077E2"/>
    <w:rsid w:val="00010DC7"/>
    <w:rsid w:val="00011572"/>
    <w:rsid w:val="00012203"/>
    <w:rsid w:val="00013C00"/>
    <w:rsid w:val="0002066C"/>
    <w:rsid w:val="000210AA"/>
    <w:rsid w:val="00021DEA"/>
    <w:rsid w:val="0002229E"/>
    <w:rsid w:val="00024DDD"/>
    <w:rsid w:val="00025790"/>
    <w:rsid w:val="00031FFA"/>
    <w:rsid w:val="00033C2C"/>
    <w:rsid w:val="00035CC2"/>
    <w:rsid w:val="00037466"/>
    <w:rsid w:val="00041692"/>
    <w:rsid w:val="00041FA2"/>
    <w:rsid w:val="00041FEC"/>
    <w:rsid w:val="00042E52"/>
    <w:rsid w:val="0004364C"/>
    <w:rsid w:val="00043CB4"/>
    <w:rsid w:val="000443B6"/>
    <w:rsid w:val="00044533"/>
    <w:rsid w:val="00044E33"/>
    <w:rsid w:val="00046280"/>
    <w:rsid w:val="0004766F"/>
    <w:rsid w:val="000476DB"/>
    <w:rsid w:val="00047CB1"/>
    <w:rsid w:val="00051C9B"/>
    <w:rsid w:val="000523D1"/>
    <w:rsid w:val="00053A6C"/>
    <w:rsid w:val="000606DC"/>
    <w:rsid w:val="00062311"/>
    <w:rsid w:val="00063D1B"/>
    <w:rsid w:val="00063DBA"/>
    <w:rsid w:val="000649D7"/>
    <w:rsid w:val="0006591A"/>
    <w:rsid w:val="0006638C"/>
    <w:rsid w:val="00073CE0"/>
    <w:rsid w:val="0008182B"/>
    <w:rsid w:val="000818F5"/>
    <w:rsid w:val="00082E59"/>
    <w:rsid w:val="00083432"/>
    <w:rsid w:val="00084252"/>
    <w:rsid w:val="00084414"/>
    <w:rsid w:val="00084DBA"/>
    <w:rsid w:val="0009318A"/>
    <w:rsid w:val="0009320F"/>
    <w:rsid w:val="000951D3"/>
    <w:rsid w:val="0009643B"/>
    <w:rsid w:val="00097AD1"/>
    <w:rsid w:val="00097E69"/>
    <w:rsid w:val="000A0982"/>
    <w:rsid w:val="000A0F00"/>
    <w:rsid w:val="000A2C99"/>
    <w:rsid w:val="000A54C3"/>
    <w:rsid w:val="000A7584"/>
    <w:rsid w:val="000B00C1"/>
    <w:rsid w:val="000B0C96"/>
    <w:rsid w:val="000B178D"/>
    <w:rsid w:val="000B3D3A"/>
    <w:rsid w:val="000B6152"/>
    <w:rsid w:val="000B62EA"/>
    <w:rsid w:val="000C0B45"/>
    <w:rsid w:val="000C2D3F"/>
    <w:rsid w:val="000C34B8"/>
    <w:rsid w:val="000C36AD"/>
    <w:rsid w:val="000C3A2D"/>
    <w:rsid w:val="000C47BC"/>
    <w:rsid w:val="000C4DE4"/>
    <w:rsid w:val="000C6779"/>
    <w:rsid w:val="000C72B8"/>
    <w:rsid w:val="000C7A4D"/>
    <w:rsid w:val="000D1425"/>
    <w:rsid w:val="000D33EC"/>
    <w:rsid w:val="000D4CF9"/>
    <w:rsid w:val="000D4D9A"/>
    <w:rsid w:val="000D6824"/>
    <w:rsid w:val="000D7A1E"/>
    <w:rsid w:val="000E008E"/>
    <w:rsid w:val="000E0FB7"/>
    <w:rsid w:val="000E305D"/>
    <w:rsid w:val="000E7E6F"/>
    <w:rsid w:val="000F041A"/>
    <w:rsid w:val="000F109F"/>
    <w:rsid w:val="000F487F"/>
    <w:rsid w:val="000F5167"/>
    <w:rsid w:val="000F5F77"/>
    <w:rsid w:val="000F746D"/>
    <w:rsid w:val="001053E6"/>
    <w:rsid w:val="00110090"/>
    <w:rsid w:val="001116AB"/>
    <w:rsid w:val="001158F9"/>
    <w:rsid w:val="0011710C"/>
    <w:rsid w:val="00117A27"/>
    <w:rsid w:val="001226D7"/>
    <w:rsid w:val="00122A6D"/>
    <w:rsid w:val="00122CEE"/>
    <w:rsid w:val="00124C1B"/>
    <w:rsid w:val="00125A5E"/>
    <w:rsid w:val="0013012D"/>
    <w:rsid w:val="0013199F"/>
    <w:rsid w:val="00131B44"/>
    <w:rsid w:val="00132530"/>
    <w:rsid w:val="00133D67"/>
    <w:rsid w:val="001375A6"/>
    <w:rsid w:val="00141903"/>
    <w:rsid w:val="001433C7"/>
    <w:rsid w:val="00143BDF"/>
    <w:rsid w:val="0014427E"/>
    <w:rsid w:val="001445BD"/>
    <w:rsid w:val="00144D00"/>
    <w:rsid w:val="001453D9"/>
    <w:rsid w:val="00145916"/>
    <w:rsid w:val="001474BB"/>
    <w:rsid w:val="00153E82"/>
    <w:rsid w:val="001548BD"/>
    <w:rsid w:val="001606C7"/>
    <w:rsid w:val="00161031"/>
    <w:rsid w:val="0016225B"/>
    <w:rsid w:val="00164420"/>
    <w:rsid w:val="00165524"/>
    <w:rsid w:val="00166184"/>
    <w:rsid w:val="00166399"/>
    <w:rsid w:val="00166CA5"/>
    <w:rsid w:val="00167BBD"/>
    <w:rsid w:val="00170B50"/>
    <w:rsid w:val="0017294A"/>
    <w:rsid w:val="0017367E"/>
    <w:rsid w:val="00173815"/>
    <w:rsid w:val="00174AF6"/>
    <w:rsid w:val="00176FB3"/>
    <w:rsid w:val="001818B2"/>
    <w:rsid w:val="00182445"/>
    <w:rsid w:val="001829EC"/>
    <w:rsid w:val="001830CB"/>
    <w:rsid w:val="00184364"/>
    <w:rsid w:val="00185242"/>
    <w:rsid w:val="00186B50"/>
    <w:rsid w:val="00187CE4"/>
    <w:rsid w:val="001900F5"/>
    <w:rsid w:val="00190757"/>
    <w:rsid w:val="001924EB"/>
    <w:rsid w:val="00197A20"/>
    <w:rsid w:val="00197CCE"/>
    <w:rsid w:val="001A0ED2"/>
    <w:rsid w:val="001A3548"/>
    <w:rsid w:val="001A4829"/>
    <w:rsid w:val="001A56E7"/>
    <w:rsid w:val="001A7513"/>
    <w:rsid w:val="001B11EA"/>
    <w:rsid w:val="001B149D"/>
    <w:rsid w:val="001B2A06"/>
    <w:rsid w:val="001B407C"/>
    <w:rsid w:val="001B45E6"/>
    <w:rsid w:val="001B5869"/>
    <w:rsid w:val="001B6514"/>
    <w:rsid w:val="001B6C44"/>
    <w:rsid w:val="001B78B9"/>
    <w:rsid w:val="001C0125"/>
    <w:rsid w:val="001C191B"/>
    <w:rsid w:val="001C1FF0"/>
    <w:rsid w:val="001C415E"/>
    <w:rsid w:val="001C5B6D"/>
    <w:rsid w:val="001C7ADC"/>
    <w:rsid w:val="001D0444"/>
    <w:rsid w:val="001D0C6A"/>
    <w:rsid w:val="001D3E04"/>
    <w:rsid w:val="001D4765"/>
    <w:rsid w:val="001D4773"/>
    <w:rsid w:val="001D50A1"/>
    <w:rsid w:val="001E2EB4"/>
    <w:rsid w:val="001E355D"/>
    <w:rsid w:val="001E517D"/>
    <w:rsid w:val="001E54B2"/>
    <w:rsid w:val="001E6AE7"/>
    <w:rsid w:val="001F22DC"/>
    <w:rsid w:val="001F407D"/>
    <w:rsid w:val="001F714E"/>
    <w:rsid w:val="002028EE"/>
    <w:rsid w:val="00204F2A"/>
    <w:rsid w:val="00207BB0"/>
    <w:rsid w:val="00210739"/>
    <w:rsid w:val="00211325"/>
    <w:rsid w:val="00215E26"/>
    <w:rsid w:val="00217272"/>
    <w:rsid w:val="00222E6D"/>
    <w:rsid w:val="00224299"/>
    <w:rsid w:val="00225F83"/>
    <w:rsid w:val="00235790"/>
    <w:rsid w:val="002365D6"/>
    <w:rsid w:val="00236EA2"/>
    <w:rsid w:val="002373B2"/>
    <w:rsid w:val="00241946"/>
    <w:rsid w:val="00241DEA"/>
    <w:rsid w:val="0024336D"/>
    <w:rsid w:val="00246973"/>
    <w:rsid w:val="0025089E"/>
    <w:rsid w:val="002517A7"/>
    <w:rsid w:val="0025235D"/>
    <w:rsid w:val="002558CE"/>
    <w:rsid w:val="00257A3D"/>
    <w:rsid w:val="00257C1C"/>
    <w:rsid w:val="002632B7"/>
    <w:rsid w:val="00264148"/>
    <w:rsid w:val="0026422D"/>
    <w:rsid w:val="00265359"/>
    <w:rsid w:val="002740B1"/>
    <w:rsid w:val="0027593F"/>
    <w:rsid w:val="002764B6"/>
    <w:rsid w:val="0028103F"/>
    <w:rsid w:val="0028290E"/>
    <w:rsid w:val="00283B5D"/>
    <w:rsid w:val="00284CDD"/>
    <w:rsid w:val="002864EC"/>
    <w:rsid w:val="00292F29"/>
    <w:rsid w:val="002A1A69"/>
    <w:rsid w:val="002A3B43"/>
    <w:rsid w:val="002A43A2"/>
    <w:rsid w:val="002A59B5"/>
    <w:rsid w:val="002B47C7"/>
    <w:rsid w:val="002B49BD"/>
    <w:rsid w:val="002C1B09"/>
    <w:rsid w:val="002C2D9A"/>
    <w:rsid w:val="002C49A1"/>
    <w:rsid w:val="002C6578"/>
    <w:rsid w:val="002D02B9"/>
    <w:rsid w:val="002D109E"/>
    <w:rsid w:val="002D12E5"/>
    <w:rsid w:val="002D151C"/>
    <w:rsid w:val="002D1DF2"/>
    <w:rsid w:val="002D355A"/>
    <w:rsid w:val="002D5221"/>
    <w:rsid w:val="002E4792"/>
    <w:rsid w:val="002E6807"/>
    <w:rsid w:val="002F0558"/>
    <w:rsid w:val="002F60D3"/>
    <w:rsid w:val="00300FD4"/>
    <w:rsid w:val="003024A8"/>
    <w:rsid w:val="0030279B"/>
    <w:rsid w:val="003071AF"/>
    <w:rsid w:val="00307B03"/>
    <w:rsid w:val="00307F02"/>
    <w:rsid w:val="0031271D"/>
    <w:rsid w:val="00313BFC"/>
    <w:rsid w:val="003141E5"/>
    <w:rsid w:val="00315150"/>
    <w:rsid w:val="00315C37"/>
    <w:rsid w:val="00315FE7"/>
    <w:rsid w:val="00317DB4"/>
    <w:rsid w:val="00320BBC"/>
    <w:rsid w:val="00321962"/>
    <w:rsid w:val="00321F20"/>
    <w:rsid w:val="003226B8"/>
    <w:rsid w:val="00322A12"/>
    <w:rsid w:val="00322BAE"/>
    <w:rsid w:val="00322EC4"/>
    <w:rsid w:val="00323EFE"/>
    <w:rsid w:val="00325A06"/>
    <w:rsid w:val="00327988"/>
    <w:rsid w:val="00330E96"/>
    <w:rsid w:val="00331964"/>
    <w:rsid w:val="00335952"/>
    <w:rsid w:val="00340993"/>
    <w:rsid w:val="003423D4"/>
    <w:rsid w:val="0034451A"/>
    <w:rsid w:val="003474F3"/>
    <w:rsid w:val="00352D48"/>
    <w:rsid w:val="003547E9"/>
    <w:rsid w:val="0035518A"/>
    <w:rsid w:val="00360EE5"/>
    <w:rsid w:val="003631B6"/>
    <w:rsid w:val="00363EA7"/>
    <w:rsid w:val="0037003C"/>
    <w:rsid w:val="003701D3"/>
    <w:rsid w:val="00370476"/>
    <w:rsid w:val="00371491"/>
    <w:rsid w:val="00371768"/>
    <w:rsid w:val="003734B5"/>
    <w:rsid w:val="00376415"/>
    <w:rsid w:val="00377822"/>
    <w:rsid w:val="003779F8"/>
    <w:rsid w:val="00377E80"/>
    <w:rsid w:val="00377FAB"/>
    <w:rsid w:val="00392B74"/>
    <w:rsid w:val="003945B2"/>
    <w:rsid w:val="00395159"/>
    <w:rsid w:val="00395BE3"/>
    <w:rsid w:val="00397923"/>
    <w:rsid w:val="003A2BE9"/>
    <w:rsid w:val="003A366E"/>
    <w:rsid w:val="003A3ADC"/>
    <w:rsid w:val="003B255A"/>
    <w:rsid w:val="003B497D"/>
    <w:rsid w:val="003B4D72"/>
    <w:rsid w:val="003B7487"/>
    <w:rsid w:val="003C1631"/>
    <w:rsid w:val="003C1C81"/>
    <w:rsid w:val="003C5187"/>
    <w:rsid w:val="003C795D"/>
    <w:rsid w:val="003D0518"/>
    <w:rsid w:val="003D4337"/>
    <w:rsid w:val="003D4AE8"/>
    <w:rsid w:val="003D5BE8"/>
    <w:rsid w:val="003E2168"/>
    <w:rsid w:val="003E303B"/>
    <w:rsid w:val="003E586D"/>
    <w:rsid w:val="003F18AE"/>
    <w:rsid w:val="003F2107"/>
    <w:rsid w:val="003F2129"/>
    <w:rsid w:val="003F4AA2"/>
    <w:rsid w:val="004012E2"/>
    <w:rsid w:val="0040516F"/>
    <w:rsid w:val="00405FBE"/>
    <w:rsid w:val="00411C15"/>
    <w:rsid w:val="00412A36"/>
    <w:rsid w:val="00413FA7"/>
    <w:rsid w:val="004200E3"/>
    <w:rsid w:val="00421F27"/>
    <w:rsid w:val="00422760"/>
    <w:rsid w:val="00422F42"/>
    <w:rsid w:val="00425A5B"/>
    <w:rsid w:val="00426027"/>
    <w:rsid w:val="004279B7"/>
    <w:rsid w:val="004323DC"/>
    <w:rsid w:val="00435238"/>
    <w:rsid w:val="0044130C"/>
    <w:rsid w:val="0044194D"/>
    <w:rsid w:val="004421F3"/>
    <w:rsid w:val="00442F51"/>
    <w:rsid w:val="004432A0"/>
    <w:rsid w:val="00443602"/>
    <w:rsid w:val="0045117A"/>
    <w:rsid w:val="004516E0"/>
    <w:rsid w:val="00454386"/>
    <w:rsid w:val="00454531"/>
    <w:rsid w:val="00454EB5"/>
    <w:rsid w:val="00455A39"/>
    <w:rsid w:val="00455CE6"/>
    <w:rsid w:val="004657AF"/>
    <w:rsid w:val="00470A4D"/>
    <w:rsid w:val="0047345A"/>
    <w:rsid w:val="00473DDF"/>
    <w:rsid w:val="0047701B"/>
    <w:rsid w:val="00481676"/>
    <w:rsid w:val="004816E1"/>
    <w:rsid w:val="004817A2"/>
    <w:rsid w:val="0048199B"/>
    <w:rsid w:val="0048256A"/>
    <w:rsid w:val="00483087"/>
    <w:rsid w:val="0048330D"/>
    <w:rsid w:val="00492A6A"/>
    <w:rsid w:val="004932E7"/>
    <w:rsid w:val="00496FC6"/>
    <w:rsid w:val="004A001C"/>
    <w:rsid w:val="004A0B19"/>
    <w:rsid w:val="004A1108"/>
    <w:rsid w:val="004A2605"/>
    <w:rsid w:val="004A5AD8"/>
    <w:rsid w:val="004A6FE4"/>
    <w:rsid w:val="004B3E02"/>
    <w:rsid w:val="004B58A3"/>
    <w:rsid w:val="004C0963"/>
    <w:rsid w:val="004C1010"/>
    <w:rsid w:val="004C1899"/>
    <w:rsid w:val="004C3D94"/>
    <w:rsid w:val="004C5553"/>
    <w:rsid w:val="004C60D4"/>
    <w:rsid w:val="004D124B"/>
    <w:rsid w:val="004D4687"/>
    <w:rsid w:val="004D4B11"/>
    <w:rsid w:val="004D661E"/>
    <w:rsid w:val="004E0331"/>
    <w:rsid w:val="004E30B2"/>
    <w:rsid w:val="004E3D52"/>
    <w:rsid w:val="004E6B6E"/>
    <w:rsid w:val="004E77CE"/>
    <w:rsid w:val="004E78B8"/>
    <w:rsid w:val="004F0F48"/>
    <w:rsid w:val="004F4C2F"/>
    <w:rsid w:val="004F667A"/>
    <w:rsid w:val="004F7D58"/>
    <w:rsid w:val="00501B9B"/>
    <w:rsid w:val="00501FAA"/>
    <w:rsid w:val="005034E3"/>
    <w:rsid w:val="005041F9"/>
    <w:rsid w:val="00506110"/>
    <w:rsid w:val="005069E4"/>
    <w:rsid w:val="00506C7D"/>
    <w:rsid w:val="0051366E"/>
    <w:rsid w:val="005143E5"/>
    <w:rsid w:val="00514EAB"/>
    <w:rsid w:val="00515844"/>
    <w:rsid w:val="005164E6"/>
    <w:rsid w:val="0051665C"/>
    <w:rsid w:val="00520127"/>
    <w:rsid w:val="0052049F"/>
    <w:rsid w:val="00520F4D"/>
    <w:rsid w:val="00521333"/>
    <w:rsid w:val="005216C5"/>
    <w:rsid w:val="00521FF1"/>
    <w:rsid w:val="00522AC0"/>
    <w:rsid w:val="00525974"/>
    <w:rsid w:val="0053158C"/>
    <w:rsid w:val="005318D3"/>
    <w:rsid w:val="00532D39"/>
    <w:rsid w:val="00537C70"/>
    <w:rsid w:val="00541CF2"/>
    <w:rsid w:val="005447C1"/>
    <w:rsid w:val="005522B4"/>
    <w:rsid w:val="00552B93"/>
    <w:rsid w:val="005532F2"/>
    <w:rsid w:val="00556104"/>
    <w:rsid w:val="00556E4A"/>
    <w:rsid w:val="005609DE"/>
    <w:rsid w:val="00561F67"/>
    <w:rsid w:val="00567C8F"/>
    <w:rsid w:val="00572AE4"/>
    <w:rsid w:val="00573D0C"/>
    <w:rsid w:val="005753F9"/>
    <w:rsid w:val="00575C97"/>
    <w:rsid w:val="00580430"/>
    <w:rsid w:val="0058061F"/>
    <w:rsid w:val="0058428D"/>
    <w:rsid w:val="00585447"/>
    <w:rsid w:val="005861DA"/>
    <w:rsid w:val="00587006"/>
    <w:rsid w:val="005900EF"/>
    <w:rsid w:val="0059082B"/>
    <w:rsid w:val="00590F20"/>
    <w:rsid w:val="00595389"/>
    <w:rsid w:val="00596856"/>
    <w:rsid w:val="005973B5"/>
    <w:rsid w:val="005A0FFC"/>
    <w:rsid w:val="005A288A"/>
    <w:rsid w:val="005A294F"/>
    <w:rsid w:val="005A427D"/>
    <w:rsid w:val="005A4A50"/>
    <w:rsid w:val="005B1D07"/>
    <w:rsid w:val="005B3B99"/>
    <w:rsid w:val="005B42F8"/>
    <w:rsid w:val="005B4465"/>
    <w:rsid w:val="005B5758"/>
    <w:rsid w:val="005B62DA"/>
    <w:rsid w:val="005C1B93"/>
    <w:rsid w:val="005C2051"/>
    <w:rsid w:val="005C2F70"/>
    <w:rsid w:val="005C5720"/>
    <w:rsid w:val="005C588F"/>
    <w:rsid w:val="005C5B75"/>
    <w:rsid w:val="005D0047"/>
    <w:rsid w:val="005D0DC6"/>
    <w:rsid w:val="005D1C98"/>
    <w:rsid w:val="005D20FB"/>
    <w:rsid w:val="005D2177"/>
    <w:rsid w:val="005D6C72"/>
    <w:rsid w:val="005E395D"/>
    <w:rsid w:val="005E3B84"/>
    <w:rsid w:val="005E4CFD"/>
    <w:rsid w:val="005F35D1"/>
    <w:rsid w:val="005F36A1"/>
    <w:rsid w:val="005F39B8"/>
    <w:rsid w:val="005F4159"/>
    <w:rsid w:val="005F5AB9"/>
    <w:rsid w:val="005F630F"/>
    <w:rsid w:val="005F6F60"/>
    <w:rsid w:val="00601FC8"/>
    <w:rsid w:val="00604339"/>
    <w:rsid w:val="00604AFA"/>
    <w:rsid w:val="0060558B"/>
    <w:rsid w:val="00611407"/>
    <w:rsid w:val="006132C8"/>
    <w:rsid w:val="006160E4"/>
    <w:rsid w:val="006178FD"/>
    <w:rsid w:val="006217F7"/>
    <w:rsid w:val="00622ADF"/>
    <w:rsid w:val="0062377F"/>
    <w:rsid w:val="006245C5"/>
    <w:rsid w:val="00624A89"/>
    <w:rsid w:val="0062556E"/>
    <w:rsid w:val="00630BFB"/>
    <w:rsid w:val="006316D2"/>
    <w:rsid w:val="00635B01"/>
    <w:rsid w:val="00636251"/>
    <w:rsid w:val="00637229"/>
    <w:rsid w:val="00641304"/>
    <w:rsid w:val="006418B3"/>
    <w:rsid w:val="00641AC4"/>
    <w:rsid w:val="00646DA8"/>
    <w:rsid w:val="00651135"/>
    <w:rsid w:val="00655E08"/>
    <w:rsid w:val="006563AD"/>
    <w:rsid w:val="00657BCF"/>
    <w:rsid w:val="006607C5"/>
    <w:rsid w:val="006619DE"/>
    <w:rsid w:val="00662938"/>
    <w:rsid w:val="00664A8A"/>
    <w:rsid w:val="00666F35"/>
    <w:rsid w:val="00670130"/>
    <w:rsid w:val="0067228B"/>
    <w:rsid w:val="00672957"/>
    <w:rsid w:val="00673723"/>
    <w:rsid w:val="00673734"/>
    <w:rsid w:val="006746BB"/>
    <w:rsid w:val="00674F17"/>
    <w:rsid w:val="00675C5E"/>
    <w:rsid w:val="006777C9"/>
    <w:rsid w:val="006805B1"/>
    <w:rsid w:val="00683424"/>
    <w:rsid w:val="00686C8B"/>
    <w:rsid w:val="0069281C"/>
    <w:rsid w:val="006957B0"/>
    <w:rsid w:val="006A2015"/>
    <w:rsid w:val="006A3FAF"/>
    <w:rsid w:val="006A5E4E"/>
    <w:rsid w:val="006B045E"/>
    <w:rsid w:val="006B0C3F"/>
    <w:rsid w:val="006B2FB8"/>
    <w:rsid w:val="006B403E"/>
    <w:rsid w:val="006B429C"/>
    <w:rsid w:val="006B5872"/>
    <w:rsid w:val="006B6041"/>
    <w:rsid w:val="006C081C"/>
    <w:rsid w:val="006C1825"/>
    <w:rsid w:val="006C337F"/>
    <w:rsid w:val="006C49C0"/>
    <w:rsid w:val="006C6281"/>
    <w:rsid w:val="006C6C51"/>
    <w:rsid w:val="006D1638"/>
    <w:rsid w:val="006D1FDD"/>
    <w:rsid w:val="006D5BFD"/>
    <w:rsid w:val="006E1B93"/>
    <w:rsid w:val="006E1C7D"/>
    <w:rsid w:val="006E27E1"/>
    <w:rsid w:val="006E4B94"/>
    <w:rsid w:val="006E4CB0"/>
    <w:rsid w:val="006F1A09"/>
    <w:rsid w:val="006F3983"/>
    <w:rsid w:val="006F3BDD"/>
    <w:rsid w:val="006F6E8E"/>
    <w:rsid w:val="006F7646"/>
    <w:rsid w:val="00701DE1"/>
    <w:rsid w:val="007022F6"/>
    <w:rsid w:val="00703B13"/>
    <w:rsid w:val="00706043"/>
    <w:rsid w:val="0070767D"/>
    <w:rsid w:val="0071058C"/>
    <w:rsid w:val="0071085A"/>
    <w:rsid w:val="007119F9"/>
    <w:rsid w:val="00711DD5"/>
    <w:rsid w:val="00713065"/>
    <w:rsid w:val="00713CD9"/>
    <w:rsid w:val="00715BF9"/>
    <w:rsid w:val="00715F94"/>
    <w:rsid w:val="00723242"/>
    <w:rsid w:val="00723D9C"/>
    <w:rsid w:val="00724BA8"/>
    <w:rsid w:val="00725711"/>
    <w:rsid w:val="00726F81"/>
    <w:rsid w:val="00736C1C"/>
    <w:rsid w:val="00737181"/>
    <w:rsid w:val="0074016F"/>
    <w:rsid w:val="0074106F"/>
    <w:rsid w:val="0074144D"/>
    <w:rsid w:val="00742605"/>
    <w:rsid w:val="0074403F"/>
    <w:rsid w:val="00744B14"/>
    <w:rsid w:val="00745C34"/>
    <w:rsid w:val="007460A8"/>
    <w:rsid w:val="00746D4A"/>
    <w:rsid w:val="00750069"/>
    <w:rsid w:val="00750488"/>
    <w:rsid w:val="00750937"/>
    <w:rsid w:val="00752CAF"/>
    <w:rsid w:val="0075373D"/>
    <w:rsid w:val="007544A6"/>
    <w:rsid w:val="0075573C"/>
    <w:rsid w:val="007557EC"/>
    <w:rsid w:val="00757786"/>
    <w:rsid w:val="00760107"/>
    <w:rsid w:val="00763E61"/>
    <w:rsid w:val="00763E94"/>
    <w:rsid w:val="0076419D"/>
    <w:rsid w:val="007674DF"/>
    <w:rsid w:val="00775767"/>
    <w:rsid w:val="007759ED"/>
    <w:rsid w:val="007820B3"/>
    <w:rsid w:val="00782D04"/>
    <w:rsid w:val="00784E2D"/>
    <w:rsid w:val="0078554A"/>
    <w:rsid w:val="00786878"/>
    <w:rsid w:val="007878AD"/>
    <w:rsid w:val="00790A95"/>
    <w:rsid w:val="007912EC"/>
    <w:rsid w:val="00796DAE"/>
    <w:rsid w:val="007972F9"/>
    <w:rsid w:val="0079758E"/>
    <w:rsid w:val="007A3597"/>
    <w:rsid w:val="007A443A"/>
    <w:rsid w:val="007A72CF"/>
    <w:rsid w:val="007A7F7E"/>
    <w:rsid w:val="007B0ACD"/>
    <w:rsid w:val="007B44A2"/>
    <w:rsid w:val="007B4A9C"/>
    <w:rsid w:val="007B6790"/>
    <w:rsid w:val="007B7050"/>
    <w:rsid w:val="007C1191"/>
    <w:rsid w:val="007C2393"/>
    <w:rsid w:val="007C2C00"/>
    <w:rsid w:val="007C316F"/>
    <w:rsid w:val="007C45AE"/>
    <w:rsid w:val="007C5D9D"/>
    <w:rsid w:val="007C6412"/>
    <w:rsid w:val="007C7C8E"/>
    <w:rsid w:val="007D0357"/>
    <w:rsid w:val="007D08A5"/>
    <w:rsid w:val="007D17C0"/>
    <w:rsid w:val="007D7212"/>
    <w:rsid w:val="007D7AA3"/>
    <w:rsid w:val="007E1F6E"/>
    <w:rsid w:val="007E3A25"/>
    <w:rsid w:val="007E48C8"/>
    <w:rsid w:val="007E5C1E"/>
    <w:rsid w:val="007E67E4"/>
    <w:rsid w:val="007F06B2"/>
    <w:rsid w:val="007F17D1"/>
    <w:rsid w:val="007F17F3"/>
    <w:rsid w:val="007F1F6E"/>
    <w:rsid w:val="007F4D88"/>
    <w:rsid w:val="00802004"/>
    <w:rsid w:val="00802B01"/>
    <w:rsid w:val="0081114D"/>
    <w:rsid w:val="00817291"/>
    <w:rsid w:val="008173AB"/>
    <w:rsid w:val="00817EFB"/>
    <w:rsid w:val="008201C9"/>
    <w:rsid w:val="008202E3"/>
    <w:rsid w:val="00821AE6"/>
    <w:rsid w:val="008224BE"/>
    <w:rsid w:val="008229EF"/>
    <w:rsid w:val="00822CE2"/>
    <w:rsid w:val="0082449D"/>
    <w:rsid w:val="00827ECD"/>
    <w:rsid w:val="008312BF"/>
    <w:rsid w:val="00831FB4"/>
    <w:rsid w:val="0083531A"/>
    <w:rsid w:val="008402FA"/>
    <w:rsid w:val="0084190B"/>
    <w:rsid w:val="00842794"/>
    <w:rsid w:val="00843E4D"/>
    <w:rsid w:val="00847B32"/>
    <w:rsid w:val="00850B3D"/>
    <w:rsid w:val="008516D5"/>
    <w:rsid w:val="008536B0"/>
    <w:rsid w:val="00854163"/>
    <w:rsid w:val="00854192"/>
    <w:rsid w:val="00855848"/>
    <w:rsid w:val="00857EEF"/>
    <w:rsid w:val="0086050B"/>
    <w:rsid w:val="00862B81"/>
    <w:rsid w:val="008638E9"/>
    <w:rsid w:val="00874242"/>
    <w:rsid w:val="00876B28"/>
    <w:rsid w:val="00877F25"/>
    <w:rsid w:val="00881A4E"/>
    <w:rsid w:val="00883322"/>
    <w:rsid w:val="0088762B"/>
    <w:rsid w:val="008908BD"/>
    <w:rsid w:val="0089202A"/>
    <w:rsid w:val="0089483F"/>
    <w:rsid w:val="008964D6"/>
    <w:rsid w:val="008A000A"/>
    <w:rsid w:val="008A1517"/>
    <w:rsid w:val="008A2FAA"/>
    <w:rsid w:val="008A532F"/>
    <w:rsid w:val="008A53DA"/>
    <w:rsid w:val="008A660B"/>
    <w:rsid w:val="008A7CFB"/>
    <w:rsid w:val="008B1C53"/>
    <w:rsid w:val="008B5AF2"/>
    <w:rsid w:val="008B76F6"/>
    <w:rsid w:val="008C008C"/>
    <w:rsid w:val="008C0614"/>
    <w:rsid w:val="008C1E4D"/>
    <w:rsid w:val="008C547A"/>
    <w:rsid w:val="008C5B1C"/>
    <w:rsid w:val="008D0B13"/>
    <w:rsid w:val="008D0DAA"/>
    <w:rsid w:val="008D0ED9"/>
    <w:rsid w:val="008D30C7"/>
    <w:rsid w:val="008D6C5C"/>
    <w:rsid w:val="008D6C85"/>
    <w:rsid w:val="008E0F17"/>
    <w:rsid w:val="008E1CDE"/>
    <w:rsid w:val="008E32A8"/>
    <w:rsid w:val="008E3681"/>
    <w:rsid w:val="008E53D6"/>
    <w:rsid w:val="008E62F2"/>
    <w:rsid w:val="008E6809"/>
    <w:rsid w:val="008F03DA"/>
    <w:rsid w:val="00900650"/>
    <w:rsid w:val="00900C3A"/>
    <w:rsid w:val="009055B9"/>
    <w:rsid w:val="0090581A"/>
    <w:rsid w:val="00911389"/>
    <w:rsid w:val="00911CD8"/>
    <w:rsid w:val="00912130"/>
    <w:rsid w:val="0091384B"/>
    <w:rsid w:val="00914276"/>
    <w:rsid w:val="00916B43"/>
    <w:rsid w:val="00921AB5"/>
    <w:rsid w:val="00926090"/>
    <w:rsid w:val="00927240"/>
    <w:rsid w:val="00927E1B"/>
    <w:rsid w:val="00927E8E"/>
    <w:rsid w:val="00930916"/>
    <w:rsid w:val="00933D45"/>
    <w:rsid w:val="00936C30"/>
    <w:rsid w:val="00936FED"/>
    <w:rsid w:val="00937E1F"/>
    <w:rsid w:val="009417E1"/>
    <w:rsid w:val="00941B5E"/>
    <w:rsid w:val="00941C68"/>
    <w:rsid w:val="009430CC"/>
    <w:rsid w:val="0094428A"/>
    <w:rsid w:val="00946324"/>
    <w:rsid w:val="00946AAD"/>
    <w:rsid w:val="00946C51"/>
    <w:rsid w:val="0095083A"/>
    <w:rsid w:val="00951307"/>
    <w:rsid w:val="00951DF9"/>
    <w:rsid w:val="00956DAA"/>
    <w:rsid w:val="00960FC8"/>
    <w:rsid w:val="00962A3B"/>
    <w:rsid w:val="00963DCD"/>
    <w:rsid w:val="00964466"/>
    <w:rsid w:val="009676F5"/>
    <w:rsid w:val="00967AA0"/>
    <w:rsid w:val="00971796"/>
    <w:rsid w:val="00973510"/>
    <w:rsid w:val="00976F63"/>
    <w:rsid w:val="009801CF"/>
    <w:rsid w:val="0098117D"/>
    <w:rsid w:val="00982276"/>
    <w:rsid w:val="00982CE9"/>
    <w:rsid w:val="00983469"/>
    <w:rsid w:val="009859BF"/>
    <w:rsid w:val="0098646D"/>
    <w:rsid w:val="00986BD7"/>
    <w:rsid w:val="00987D81"/>
    <w:rsid w:val="00991643"/>
    <w:rsid w:val="009922E6"/>
    <w:rsid w:val="009929E5"/>
    <w:rsid w:val="00993FC4"/>
    <w:rsid w:val="00995D86"/>
    <w:rsid w:val="009A0C09"/>
    <w:rsid w:val="009A69F9"/>
    <w:rsid w:val="009B0619"/>
    <w:rsid w:val="009B1B36"/>
    <w:rsid w:val="009B3DDE"/>
    <w:rsid w:val="009B6AC9"/>
    <w:rsid w:val="009B713F"/>
    <w:rsid w:val="009C0474"/>
    <w:rsid w:val="009C0CAC"/>
    <w:rsid w:val="009C2C93"/>
    <w:rsid w:val="009C4698"/>
    <w:rsid w:val="009C485C"/>
    <w:rsid w:val="009C6940"/>
    <w:rsid w:val="009C6DBE"/>
    <w:rsid w:val="009C7711"/>
    <w:rsid w:val="009D0BEB"/>
    <w:rsid w:val="009D3001"/>
    <w:rsid w:val="009D4EB8"/>
    <w:rsid w:val="009D7B77"/>
    <w:rsid w:val="009E16F8"/>
    <w:rsid w:val="009E1F15"/>
    <w:rsid w:val="009E2404"/>
    <w:rsid w:val="009E5B19"/>
    <w:rsid w:val="009E6C77"/>
    <w:rsid w:val="009F049C"/>
    <w:rsid w:val="009F1867"/>
    <w:rsid w:val="009F4844"/>
    <w:rsid w:val="009F512C"/>
    <w:rsid w:val="009F5FD2"/>
    <w:rsid w:val="00A00CA4"/>
    <w:rsid w:val="00A032D8"/>
    <w:rsid w:val="00A04A5D"/>
    <w:rsid w:val="00A06155"/>
    <w:rsid w:val="00A11B2D"/>
    <w:rsid w:val="00A11C5E"/>
    <w:rsid w:val="00A11F66"/>
    <w:rsid w:val="00A13A27"/>
    <w:rsid w:val="00A1478E"/>
    <w:rsid w:val="00A1773E"/>
    <w:rsid w:val="00A26B74"/>
    <w:rsid w:val="00A27AAF"/>
    <w:rsid w:val="00A3006E"/>
    <w:rsid w:val="00A31F43"/>
    <w:rsid w:val="00A34D66"/>
    <w:rsid w:val="00A35377"/>
    <w:rsid w:val="00A40709"/>
    <w:rsid w:val="00A40BC0"/>
    <w:rsid w:val="00A4301E"/>
    <w:rsid w:val="00A4409E"/>
    <w:rsid w:val="00A441F2"/>
    <w:rsid w:val="00A46A02"/>
    <w:rsid w:val="00A47C8B"/>
    <w:rsid w:val="00A52755"/>
    <w:rsid w:val="00A52E1E"/>
    <w:rsid w:val="00A53171"/>
    <w:rsid w:val="00A532DB"/>
    <w:rsid w:val="00A54910"/>
    <w:rsid w:val="00A5777C"/>
    <w:rsid w:val="00A6363A"/>
    <w:rsid w:val="00A65143"/>
    <w:rsid w:val="00A65E31"/>
    <w:rsid w:val="00A660C4"/>
    <w:rsid w:val="00A6785D"/>
    <w:rsid w:val="00A70B97"/>
    <w:rsid w:val="00A76512"/>
    <w:rsid w:val="00A80C41"/>
    <w:rsid w:val="00A849AD"/>
    <w:rsid w:val="00A85B9C"/>
    <w:rsid w:val="00A87DF2"/>
    <w:rsid w:val="00A90340"/>
    <w:rsid w:val="00A92207"/>
    <w:rsid w:val="00A97269"/>
    <w:rsid w:val="00AA0954"/>
    <w:rsid w:val="00AA425D"/>
    <w:rsid w:val="00AA494C"/>
    <w:rsid w:val="00AB1DD2"/>
    <w:rsid w:val="00AB3B22"/>
    <w:rsid w:val="00AB5567"/>
    <w:rsid w:val="00AC0D23"/>
    <w:rsid w:val="00AC0F5E"/>
    <w:rsid w:val="00AC104A"/>
    <w:rsid w:val="00AC2404"/>
    <w:rsid w:val="00AC3531"/>
    <w:rsid w:val="00AC4675"/>
    <w:rsid w:val="00AC4721"/>
    <w:rsid w:val="00AC6E3C"/>
    <w:rsid w:val="00AC73C9"/>
    <w:rsid w:val="00AD1D83"/>
    <w:rsid w:val="00AD2104"/>
    <w:rsid w:val="00AD4A83"/>
    <w:rsid w:val="00AD4C75"/>
    <w:rsid w:val="00AD703A"/>
    <w:rsid w:val="00AE193E"/>
    <w:rsid w:val="00AE251F"/>
    <w:rsid w:val="00AE6DBD"/>
    <w:rsid w:val="00AF432C"/>
    <w:rsid w:val="00AF574C"/>
    <w:rsid w:val="00AF6E15"/>
    <w:rsid w:val="00AF72B9"/>
    <w:rsid w:val="00B052F6"/>
    <w:rsid w:val="00B06D33"/>
    <w:rsid w:val="00B116A1"/>
    <w:rsid w:val="00B12AAA"/>
    <w:rsid w:val="00B17CDC"/>
    <w:rsid w:val="00B2084E"/>
    <w:rsid w:val="00B20F69"/>
    <w:rsid w:val="00B22C1E"/>
    <w:rsid w:val="00B23061"/>
    <w:rsid w:val="00B23A0B"/>
    <w:rsid w:val="00B23A37"/>
    <w:rsid w:val="00B245D9"/>
    <w:rsid w:val="00B25675"/>
    <w:rsid w:val="00B30882"/>
    <w:rsid w:val="00B30B72"/>
    <w:rsid w:val="00B31357"/>
    <w:rsid w:val="00B316B1"/>
    <w:rsid w:val="00B324FC"/>
    <w:rsid w:val="00B3389C"/>
    <w:rsid w:val="00B33D9A"/>
    <w:rsid w:val="00B340D4"/>
    <w:rsid w:val="00B35D04"/>
    <w:rsid w:val="00B37B49"/>
    <w:rsid w:val="00B43361"/>
    <w:rsid w:val="00B4525D"/>
    <w:rsid w:val="00B45E39"/>
    <w:rsid w:val="00B466CC"/>
    <w:rsid w:val="00B517B5"/>
    <w:rsid w:val="00B52006"/>
    <w:rsid w:val="00B52C61"/>
    <w:rsid w:val="00B5649F"/>
    <w:rsid w:val="00B6031C"/>
    <w:rsid w:val="00B60471"/>
    <w:rsid w:val="00B607E6"/>
    <w:rsid w:val="00B60FD7"/>
    <w:rsid w:val="00B62326"/>
    <w:rsid w:val="00B63C6B"/>
    <w:rsid w:val="00B653D2"/>
    <w:rsid w:val="00B66938"/>
    <w:rsid w:val="00B711C5"/>
    <w:rsid w:val="00B72644"/>
    <w:rsid w:val="00B74BE1"/>
    <w:rsid w:val="00B7664C"/>
    <w:rsid w:val="00B81E9F"/>
    <w:rsid w:val="00B872EA"/>
    <w:rsid w:val="00B91E48"/>
    <w:rsid w:val="00B92E37"/>
    <w:rsid w:val="00B9426B"/>
    <w:rsid w:val="00B943C0"/>
    <w:rsid w:val="00B9545A"/>
    <w:rsid w:val="00B961A8"/>
    <w:rsid w:val="00BA2F93"/>
    <w:rsid w:val="00BA5B11"/>
    <w:rsid w:val="00BA5BBC"/>
    <w:rsid w:val="00BA683B"/>
    <w:rsid w:val="00BA7755"/>
    <w:rsid w:val="00BA7A15"/>
    <w:rsid w:val="00BB0779"/>
    <w:rsid w:val="00BB07DA"/>
    <w:rsid w:val="00BB0C59"/>
    <w:rsid w:val="00BB4780"/>
    <w:rsid w:val="00BB50C9"/>
    <w:rsid w:val="00BC258C"/>
    <w:rsid w:val="00BC3618"/>
    <w:rsid w:val="00BC7919"/>
    <w:rsid w:val="00BD06B0"/>
    <w:rsid w:val="00BD2986"/>
    <w:rsid w:val="00BD6570"/>
    <w:rsid w:val="00BD6B4B"/>
    <w:rsid w:val="00BE0C2E"/>
    <w:rsid w:val="00BE2DEE"/>
    <w:rsid w:val="00BE4437"/>
    <w:rsid w:val="00BE4678"/>
    <w:rsid w:val="00BE577A"/>
    <w:rsid w:val="00BF17DB"/>
    <w:rsid w:val="00BF34A5"/>
    <w:rsid w:val="00BF49DA"/>
    <w:rsid w:val="00C01381"/>
    <w:rsid w:val="00C02EC6"/>
    <w:rsid w:val="00C06E8D"/>
    <w:rsid w:val="00C11253"/>
    <w:rsid w:val="00C11CE5"/>
    <w:rsid w:val="00C12027"/>
    <w:rsid w:val="00C13441"/>
    <w:rsid w:val="00C139CC"/>
    <w:rsid w:val="00C15267"/>
    <w:rsid w:val="00C15664"/>
    <w:rsid w:val="00C16F70"/>
    <w:rsid w:val="00C17A64"/>
    <w:rsid w:val="00C17EC9"/>
    <w:rsid w:val="00C2045D"/>
    <w:rsid w:val="00C2164A"/>
    <w:rsid w:val="00C23195"/>
    <w:rsid w:val="00C24FB3"/>
    <w:rsid w:val="00C25C99"/>
    <w:rsid w:val="00C261B0"/>
    <w:rsid w:val="00C263A0"/>
    <w:rsid w:val="00C348BC"/>
    <w:rsid w:val="00C35722"/>
    <w:rsid w:val="00C35ECE"/>
    <w:rsid w:val="00C35EED"/>
    <w:rsid w:val="00C36049"/>
    <w:rsid w:val="00C3682F"/>
    <w:rsid w:val="00C413C5"/>
    <w:rsid w:val="00C42334"/>
    <w:rsid w:val="00C4313F"/>
    <w:rsid w:val="00C439CC"/>
    <w:rsid w:val="00C44EB2"/>
    <w:rsid w:val="00C4592F"/>
    <w:rsid w:val="00C473F6"/>
    <w:rsid w:val="00C5068A"/>
    <w:rsid w:val="00C50D6E"/>
    <w:rsid w:val="00C514E2"/>
    <w:rsid w:val="00C51883"/>
    <w:rsid w:val="00C53577"/>
    <w:rsid w:val="00C55FDF"/>
    <w:rsid w:val="00C56490"/>
    <w:rsid w:val="00C57865"/>
    <w:rsid w:val="00C656C2"/>
    <w:rsid w:val="00C66E33"/>
    <w:rsid w:val="00C70F0D"/>
    <w:rsid w:val="00C725CA"/>
    <w:rsid w:val="00C77AD1"/>
    <w:rsid w:val="00C8128F"/>
    <w:rsid w:val="00C8169B"/>
    <w:rsid w:val="00C82DEF"/>
    <w:rsid w:val="00C8453B"/>
    <w:rsid w:val="00C84D59"/>
    <w:rsid w:val="00C91A89"/>
    <w:rsid w:val="00C92261"/>
    <w:rsid w:val="00C9624F"/>
    <w:rsid w:val="00CA0747"/>
    <w:rsid w:val="00CA0AD7"/>
    <w:rsid w:val="00CA3B9B"/>
    <w:rsid w:val="00CA4A75"/>
    <w:rsid w:val="00CA5730"/>
    <w:rsid w:val="00CA5E4D"/>
    <w:rsid w:val="00CA5F48"/>
    <w:rsid w:val="00CA5FFD"/>
    <w:rsid w:val="00CA6BA7"/>
    <w:rsid w:val="00CA773A"/>
    <w:rsid w:val="00CB1113"/>
    <w:rsid w:val="00CB1BBD"/>
    <w:rsid w:val="00CB24F9"/>
    <w:rsid w:val="00CC091A"/>
    <w:rsid w:val="00CC110B"/>
    <w:rsid w:val="00CC3388"/>
    <w:rsid w:val="00CD10A0"/>
    <w:rsid w:val="00CD3184"/>
    <w:rsid w:val="00CD37C8"/>
    <w:rsid w:val="00CD3A26"/>
    <w:rsid w:val="00CD4400"/>
    <w:rsid w:val="00CD5DBD"/>
    <w:rsid w:val="00CE2F57"/>
    <w:rsid w:val="00CE366D"/>
    <w:rsid w:val="00CE430C"/>
    <w:rsid w:val="00CE6408"/>
    <w:rsid w:val="00CE6436"/>
    <w:rsid w:val="00CE65DC"/>
    <w:rsid w:val="00CE7D97"/>
    <w:rsid w:val="00CF00E1"/>
    <w:rsid w:val="00CF0B74"/>
    <w:rsid w:val="00CF2481"/>
    <w:rsid w:val="00CF3E39"/>
    <w:rsid w:val="00D02168"/>
    <w:rsid w:val="00D053FC"/>
    <w:rsid w:val="00D05D70"/>
    <w:rsid w:val="00D1130E"/>
    <w:rsid w:val="00D126E9"/>
    <w:rsid w:val="00D12BE0"/>
    <w:rsid w:val="00D12D73"/>
    <w:rsid w:val="00D1385E"/>
    <w:rsid w:val="00D14DB2"/>
    <w:rsid w:val="00D21760"/>
    <w:rsid w:val="00D24850"/>
    <w:rsid w:val="00D25A4C"/>
    <w:rsid w:val="00D2757D"/>
    <w:rsid w:val="00D276BC"/>
    <w:rsid w:val="00D32B6C"/>
    <w:rsid w:val="00D33842"/>
    <w:rsid w:val="00D3538A"/>
    <w:rsid w:val="00D405EE"/>
    <w:rsid w:val="00D42CF7"/>
    <w:rsid w:val="00D434E8"/>
    <w:rsid w:val="00D4399E"/>
    <w:rsid w:val="00D46370"/>
    <w:rsid w:val="00D47335"/>
    <w:rsid w:val="00D474BB"/>
    <w:rsid w:val="00D523D3"/>
    <w:rsid w:val="00D54035"/>
    <w:rsid w:val="00D57AB0"/>
    <w:rsid w:val="00D600A6"/>
    <w:rsid w:val="00D64AE4"/>
    <w:rsid w:val="00D65039"/>
    <w:rsid w:val="00D65DF1"/>
    <w:rsid w:val="00D703E8"/>
    <w:rsid w:val="00D7164D"/>
    <w:rsid w:val="00D71C8C"/>
    <w:rsid w:val="00D7265F"/>
    <w:rsid w:val="00D80122"/>
    <w:rsid w:val="00D83DB0"/>
    <w:rsid w:val="00D863EA"/>
    <w:rsid w:val="00D917EC"/>
    <w:rsid w:val="00D91B24"/>
    <w:rsid w:val="00D93B28"/>
    <w:rsid w:val="00D94D34"/>
    <w:rsid w:val="00D9613A"/>
    <w:rsid w:val="00D96D89"/>
    <w:rsid w:val="00D977D9"/>
    <w:rsid w:val="00DA184C"/>
    <w:rsid w:val="00DA21DA"/>
    <w:rsid w:val="00DA26CB"/>
    <w:rsid w:val="00DA53DE"/>
    <w:rsid w:val="00DA53ED"/>
    <w:rsid w:val="00DB1907"/>
    <w:rsid w:val="00DB2CA6"/>
    <w:rsid w:val="00DB753B"/>
    <w:rsid w:val="00DB7DC5"/>
    <w:rsid w:val="00DC269F"/>
    <w:rsid w:val="00DC2B85"/>
    <w:rsid w:val="00DC67D8"/>
    <w:rsid w:val="00DC6C6D"/>
    <w:rsid w:val="00DD3A21"/>
    <w:rsid w:val="00DD3C63"/>
    <w:rsid w:val="00DD5310"/>
    <w:rsid w:val="00DE02B6"/>
    <w:rsid w:val="00DE0A4B"/>
    <w:rsid w:val="00DE341F"/>
    <w:rsid w:val="00DE4559"/>
    <w:rsid w:val="00DE4956"/>
    <w:rsid w:val="00DE62EA"/>
    <w:rsid w:val="00DE7A40"/>
    <w:rsid w:val="00DF0891"/>
    <w:rsid w:val="00DF1680"/>
    <w:rsid w:val="00DF2E13"/>
    <w:rsid w:val="00DF3E0B"/>
    <w:rsid w:val="00DF669A"/>
    <w:rsid w:val="00DF77F8"/>
    <w:rsid w:val="00E0004A"/>
    <w:rsid w:val="00E00F7F"/>
    <w:rsid w:val="00E034A4"/>
    <w:rsid w:val="00E03EC2"/>
    <w:rsid w:val="00E10E2F"/>
    <w:rsid w:val="00E12F48"/>
    <w:rsid w:val="00E1505F"/>
    <w:rsid w:val="00E173EE"/>
    <w:rsid w:val="00E2225E"/>
    <w:rsid w:val="00E247B1"/>
    <w:rsid w:val="00E24859"/>
    <w:rsid w:val="00E24E6A"/>
    <w:rsid w:val="00E3113C"/>
    <w:rsid w:val="00E375A8"/>
    <w:rsid w:val="00E378EF"/>
    <w:rsid w:val="00E37B83"/>
    <w:rsid w:val="00E40ED1"/>
    <w:rsid w:val="00E4154F"/>
    <w:rsid w:val="00E4192C"/>
    <w:rsid w:val="00E4315A"/>
    <w:rsid w:val="00E43471"/>
    <w:rsid w:val="00E452A2"/>
    <w:rsid w:val="00E47352"/>
    <w:rsid w:val="00E5073F"/>
    <w:rsid w:val="00E509FF"/>
    <w:rsid w:val="00E538CC"/>
    <w:rsid w:val="00E5643D"/>
    <w:rsid w:val="00E5702E"/>
    <w:rsid w:val="00E6221F"/>
    <w:rsid w:val="00E628E3"/>
    <w:rsid w:val="00E62C6D"/>
    <w:rsid w:val="00E62D9C"/>
    <w:rsid w:val="00E703DE"/>
    <w:rsid w:val="00E721D5"/>
    <w:rsid w:val="00E74458"/>
    <w:rsid w:val="00E74E38"/>
    <w:rsid w:val="00E75CBD"/>
    <w:rsid w:val="00E7608F"/>
    <w:rsid w:val="00E81B88"/>
    <w:rsid w:val="00E82EAD"/>
    <w:rsid w:val="00E833B4"/>
    <w:rsid w:val="00E84AE4"/>
    <w:rsid w:val="00E85EC2"/>
    <w:rsid w:val="00E879B2"/>
    <w:rsid w:val="00E905AA"/>
    <w:rsid w:val="00E91D7F"/>
    <w:rsid w:val="00E93B8B"/>
    <w:rsid w:val="00E94CBB"/>
    <w:rsid w:val="00E95CB6"/>
    <w:rsid w:val="00E96BA2"/>
    <w:rsid w:val="00EA26B1"/>
    <w:rsid w:val="00EA2DC3"/>
    <w:rsid w:val="00EA73F2"/>
    <w:rsid w:val="00EA7884"/>
    <w:rsid w:val="00EB0E2A"/>
    <w:rsid w:val="00EB1746"/>
    <w:rsid w:val="00EB5B4A"/>
    <w:rsid w:val="00EB5C5E"/>
    <w:rsid w:val="00EB5FDB"/>
    <w:rsid w:val="00EB694B"/>
    <w:rsid w:val="00EC1ECC"/>
    <w:rsid w:val="00EC4306"/>
    <w:rsid w:val="00EC4CD2"/>
    <w:rsid w:val="00ED1EB6"/>
    <w:rsid w:val="00ED24F0"/>
    <w:rsid w:val="00ED264F"/>
    <w:rsid w:val="00ED2D73"/>
    <w:rsid w:val="00ED4633"/>
    <w:rsid w:val="00ED61C6"/>
    <w:rsid w:val="00ED75EE"/>
    <w:rsid w:val="00ED7871"/>
    <w:rsid w:val="00ED7E14"/>
    <w:rsid w:val="00EE00E1"/>
    <w:rsid w:val="00EE1437"/>
    <w:rsid w:val="00EE3939"/>
    <w:rsid w:val="00EE5341"/>
    <w:rsid w:val="00EE7178"/>
    <w:rsid w:val="00EF15B9"/>
    <w:rsid w:val="00EF2861"/>
    <w:rsid w:val="00EF6207"/>
    <w:rsid w:val="00F03196"/>
    <w:rsid w:val="00F03390"/>
    <w:rsid w:val="00F0511A"/>
    <w:rsid w:val="00F05C52"/>
    <w:rsid w:val="00F10111"/>
    <w:rsid w:val="00F12B12"/>
    <w:rsid w:val="00F1388B"/>
    <w:rsid w:val="00F163BB"/>
    <w:rsid w:val="00F175BC"/>
    <w:rsid w:val="00F23505"/>
    <w:rsid w:val="00F26C74"/>
    <w:rsid w:val="00F273B9"/>
    <w:rsid w:val="00F27B0F"/>
    <w:rsid w:val="00F30163"/>
    <w:rsid w:val="00F3060B"/>
    <w:rsid w:val="00F335BF"/>
    <w:rsid w:val="00F34725"/>
    <w:rsid w:val="00F34DC1"/>
    <w:rsid w:val="00F34DD2"/>
    <w:rsid w:val="00F3559C"/>
    <w:rsid w:val="00F3630F"/>
    <w:rsid w:val="00F37E34"/>
    <w:rsid w:val="00F41578"/>
    <w:rsid w:val="00F41AD7"/>
    <w:rsid w:val="00F45680"/>
    <w:rsid w:val="00F456E3"/>
    <w:rsid w:val="00F460D5"/>
    <w:rsid w:val="00F464A6"/>
    <w:rsid w:val="00F467E6"/>
    <w:rsid w:val="00F46C14"/>
    <w:rsid w:val="00F50FAC"/>
    <w:rsid w:val="00F519D8"/>
    <w:rsid w:val="00F5315D"/>
    <w:rsid w:val="00F54189"/>
    <w:rsid w:val="00F56A38"/>
    <w:rsid w:val="00F57C83"/>
    <w:rsid w:val="00F57E53"/>
    <w:rsid w:val="00F60381"/>
    <w:rsid w:val="00F62CE2"/>
    <w:rsid w:val="00F6772F"/>
    <w:rsid w:val="00F72643"/>
    <w:rsid w:val="00F73A6C"/>
    <w:rsid w:val="00F74A2F"/>
    <w:rsid w:val="00F74C7E"/>
    <w:rsid w:val="00F75531"/>
    <w:rsid w:val="00F774F7"/>
    <w:rsid w:val="00F77A55"/>
    <w:rsid w:val="00F81ECA"/>
    <w:rsid w:val="00F84696"/>
    <w:rsid w:val="00F86707"/>
    <w:rsid w:val="00F86F4E"/>
    <w:rsid w:val="00F87384"/>
    <w:rsid w:val="00F8754C"/>
    <w:rsid w:val="00F90890"/>
    <w:rsid w:val="00F93104"/>
    <w:rsid w:val="00F93EF8"/>
    <w:rsid w:val="00F945D7"/>
    <w:rsid w:val="00F9491E"/>
    <w:rsid w:val="00FA44F6"/>
    <w:rsid w:val="00FA5DB2"/>
    <w:rsid w:val="00FA5F5B"/>
    <w:rsid w:val="00FA69AF"/>
    <w:rsid w:val="00FA7829"/>
    <w:rsid w:val="00FA7D66"/>
    <w:rsid w:val="00FA7FF7"/>
    <w:rsid w:val="00FB1D07"/>
    <w:rsid w:val="00FB2828"/>
    <w:rsid w:val="00FB3EDE"/>
    <w:rsid w:val="00FB409E"/>
    <w:rsid w:val="00FB5206"/>
    <w:rsid w:val="00FC0660"/>
    <w:rsid w:val="00FC0F04"/>
    <w:rsid w:val="00FC1B8F"/>
    <w:rsid w:val="00FC251D"/>
    <w:rsid w:val="00FC3EBC"/>
    <w:rsid w:val="00FC50DF"/>
    <w:rsid w:val="00FD0FEC"/>
    <w:rsid w:val="00FD3801"/>
    <w:rsid w:val="00FD4D86"/>
    <w:rsid w:val="00FD4DC8"/>
    <w:rsid w:val="00FD5B7F"/>
    <w:rsid w:val="00FF049F"/>
    <w:rsid w:val="00FF0E6F"/>
    <w:rsid w:val="00FF5CE5"/>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5A381"/>
  <w15:chartTrackingRefBased/>
  <w15:docId w15:val="{8755B4EC-34D7-44F0-BDFB-ED15654F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4"/>
        <w:lang w:val="en-KE"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41"/>
    <w:pPr>
      <w:spacing w:after="160" w:line="278" w:lineRule="auto"/>
      <w:jc w:val="left"/>
    </w:pPr>
    <w:rPr>
      <w:lang w:val="en-GB"/>
    </w:rPr>
  </w:style>
  <w:style w:type="paragraph" w:styleId="Heading1">
    <w:name w:val="heading 1"/>
    <w:basedOn w:val="Normal"/>
    <w:next w:val="Normal"/>
    <w:link w:val="Heading1Char"/>
    <w:uiPriority w:val="9"/>
    <w:qFormat/>
    <w:rsid w:val="00D25A4C"/>
    <w:pPr>
      <w:keepNext/>
      <w:keepLines/>
      <w:numPr>
        <w:numId w:val="11"/>
      </w:numPr>
      <w:spacing w:before="120" w:after="12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D25A4C"/>
    <w:pPr>
      <w:keepNext/>
      <w:keepLines/>
      <w:numPr>
        <w:ilvl w:val="1"/>
        <w:numId w:val="11"/>
      </w:numPr>
      <w:spacing w:before="360" w:after="120"/>
      <w:outlineLvl w:val="1"/>
    </w:pPr>
    <w:rPr>
      <w:rFonts w:eastAsiaTheme="majorEastAsia" w:cstheme="majorBidi"/>
      <w:b/>
      <w:sz w:val="24"/>
      <w:szCs w:val="32"/>
    </w:rPr>
  </w:style>
  <w:style w:type="paragraph" w:styleId="Heading3">
    <w:name w:val="heading 3"/>
    <w:basedOn w:val="Normal"/>
    <w:next w:val="Normal"/>
    <w:link w:val="Heading3Char"/>
    <w:uiPriority w:val="9"/>
    <w:unhideWhenUsed/>
    <w:qFormat/>
    <w:rsid w:val="00D25A4C"/>
    <w:pPr>
      <w:keepNext/>
      <w:keepLines/>
      <w:numPr>
        <w:ilvl w:val="2"/>
        <w:numId w:val="11"/>
      </w:numPr>
      <w:spacing w:before="160" w:after="80"/>
      <w:outlineLvl w:val="2"/>
    </w:pPr>
    <w:rPr>
      <w:rFonts w:eastAsiaTheme="majorEastAsia" w:cstheme="majorBidi"/>
      <w:i/>
      <w:sz w:val="24"/>
      <w:szCs w:val="28"/>
      <w:u w:val="single"/>
    </w:rPr>
  </w:style>
  <w:style w:type="paragraph" w:styleId="Heading4">
    <w:name w:val="heading 4"/>
    <w:basedOn w:val="Normal"/>
    <w:next w:val="Normal"/>
    <w:link w:val="Heading4Char"/>
    <w:uiPriority w:val="9"/>
    <w:semiHidden/>
    <w:unhideWhenUsed/>
    <w:qFormat/>
    <w:rsid w:val="00A34D6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34D6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34D6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4D6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4D6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4D6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A4C"/>
    <w:rPr>
      <w:rFonts w:eastAsiaTheme="majorEastAsia" w:cstheme="majorBidi"/>
      <w:b/>
      <w:sz w:val="28"/>
      <w:szCs w:val="40"/>
      <w:lang w:val="en-GB"/>
    </w:rPr>
  </w:style>
  <w:style w:type="character" w:customStyle="1" w:styleId="Heading2Char">
    <w:name w:val="Heading 2 Char"/>
    <w:basedOn w:val="DefaultParagraphFont"/>
    <w:link w:val="Heading2"/>
    <w:uiPriority w:val="9"/>
    <w:rsid w:val="00D25A4C"/>
    <w:rPr>
      <w:rFonts w:eastAsiaTheme="majorEastAsia" w:cstheme="majorBidi"/>
      <w:b/>
      <w:sz w:val="24"/>
      <w:szCs w:val="32"/>
      <w:lang w:val="en-GB"/>
    </w:rPr>
  </w:style>
  <w:style w:type="character" w:customStyle="1" w:styleId="Heading3Char">
    <w:name w:val="Heading 3 Char"/>
    <w:basedOn w:val="DefaultParagraphFont"/>
    <w:link w:val="Heading3"/>
    <w:uiPriority w:val="9"/>
    <w:rsid w:val="00D25A4C"/>
    <w:rPr>
      <w:rFonts w:eastAsiaTheme="majorEastAsia" w:cstheme="majorBidi"/>
      <w:i/>
      <w:sz w:val="24"/>
      <w:szCs w:val="28"/>
      <w:u w:val="single"/>
      <w:lang w:val="en-GB"/>
    </w:rPr>
  </w:style>
  <w:style w:type="character" w:customStyle="1" w:styleId="Heading4Char">
    <w:name w:val="Heading 4 Char"/>
    <w:basedOn w:val="DefaultParagraphFont"/>
    <w:link w:val="Heading4"/>
    <w:uiPriority w:val="9"/>
    <w:semiHidden/>
    <w:rsid w:val="00A34D66"/>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34D66"/>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A34D66"/>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34D66"/>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A34D66"/>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34D66"/>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A34D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D6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34D6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D66"/>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34D66"/>
    <w:pPr>
      <w:spacing w:before="160"/>
      <w:jc w:val="center"/>
    </w:pPr>
    <w:rPr>
      <w:i/>
      <w:iCs/>
      <w:color w:val="404040" w:themeColor="text1" w:themeTint="BF"/>
    </w:rPr>
  </w:style>
  <w:style w:type="character" w:customStyle="1" w:styleId="QuoteChar">
    <w:name w:val="Quote Char"/>
    <w:basedOn w:val="DefaultParagraphFont"/>
    <w:link w:val="Quote"/>
    <w:uiPriority w:val="29"/>
    <w:rsid w:val="00A34D66"/>
    <w:rPr>
      <w:i/>
      <w:iCs/>
      <w:color w:val="404040" w:themeColor="text1" w:themeTint="BF"/>
      <w:lang w:val="en-GB"/>
    </w:rPr>
  </w:style>
  <w:style w:type="paragraph" w:styleId="ListParagraph">
    <w:name w:val="List Paragraph"/>
    <w:basedOn w:val="Normal"/>
    <w:uiPriority w:val="34"/>
    <w:qFormat/>
    <w:rsid w:val="00A34D66"/>
    <w:pPr>
      <w:ind w:left="720"/>
      <w:contextualSpacing/>
    </w:pPr>
  </w:style>
  <w:style w:type="character" w:styleId="IntenseEmphasis">
    <w:name w:val="Intense Emphasis"/>
    <w:basedOn w:val="DefaultParagraphFont"/>
    <w:uiPriority w:val="21"/>
    <w:qFormat/>
    <w:rsid w:val="00A34D66"/>
    <w:rPr>
      <w:i/>
      <w:iCs/>
      <w:color w:val="0F4761" w:themeColor="accent1" w:themeShade="BF"/>
    </w:rPr>
  </w:style>
  <w:style w:type="paragraph" w:styleId="IntenseQuote">
    <w:name w:val="Intense Quote"/>
    <w:basedOn w:val="Normal"/>
    <w:next w:val="Normal"/>
    <w:link w:val="IntenseQuoteChar"/>
    <w:uiPriority w:val="30"/>
    <w:qFormat/>
    <w:rsid w:val="00A34D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D66"/>
    <w:rPr>
      <w:i/>
      <w:iCs/>
      <w:color w:val="0F4761" w:themeColor="accent1" w:themeShade="BF"/>
      <w:lang w:val="en-GB"/>
    </w:rPr>
  </w:style>
  <w:style w:type="character" w:styleId="IntenseReference">
    <w:name w:val="Intense Reference"/>
    <w:basedOn w:val="DefaultParagraphFont"/>
    <w:uiPriority w:val="32"/>
    <w:qFormat/>
    <w:rsid w:val="00A34D66"/>
    <w:rPr>
      <w:b/>
      <w:bCs/>
      <w:smallCaps/>
      <w:color w:val="0F4761" w:themeColor="accent1" w:themeShade="BF"/>
      <w:spacing w:val="5"/>
    </w:rPr>
  </w:style>
  <w:style w:type="paragraph" w:styleId="Caption">
    <w:name w:val="caption"/>
    <w:basedOn w:val="Normal"/>
    <w:next w:val="Normal"/>
    <w:uiPriority w:val="35"/>
    <w:semiHidden/>
    <w:unhideWhenUsed/>
    <w:qFormat/>
    <w:rsid w:val="00C17EC9"/>
    <w:pPr>
      <w:spacing w:after="200"/>
    </w:pPr>
    <w:rPr>
      <w:i/>
      <w:iCs/>
      <w:color w:val="0E2841" w:themeColor="text2"/>
      <w:sz w:val="18"/>
      <w:szCs w:val="18"/>
    </w:rPr>
  </w:style>
  <w:style w:type="paragraph" w:styleId="Bibliography">
    <w:name w:val="Bibliography"/>
    <w:basedOn w:val="Normal"/>
    <w:next w:val="Normal"/>
    <w:uiPriority w:val="37"/>
    <w:semiHidden/>
    <w:unhideWhenUsed/>
    <w:rsid w:val="00A11B2D"/>
  </w:style>
  <w:style w:type="character" w:styleId="Hyperlink">
    <w:name w:val="Hyperlink"/>
    <w:basedOn w:val="DefaultParagraphFont"/>
    <w:uiPriority w:val="99"/>
    <w:unhideWhenUsed/>
    <w:rsid w:val="004A5AD8"/>
    <w:rPr>
      <w:color w:val="467886" w:themeColor="hyperlink"/>
      <w:u w:val="single"/>
    </w:rPr>
  </w:style>
  <w:style w:type="character" w:styleId="UnresolvedMention">
    <w:name w:val="Unresolved Mention"/>
    <w:basedOn w:val="DefaultParagraphFont"/>
    <w:uiPriority w:val="99"/>
    <w:semiHidden/>
    <w:unhideWhenUsed/>
    <w:rsid w:val="004A5AD8"/>
    <w:rPr>
      <w:color w:val="605E5C"/>
      <w:shd w:val="clear" w:color="auto" w:fill="E1DFDD"/>
    </w:rPr>
  </w:style>
  <w:style w:type="table" w:styleId="TableGrid">
    <w:name w:val="Table Grid"/>
    <w:basedOn w:val="TableNormal"/>
    <w:uiPriority w:val="39"/>
    <w:rsid w:val="00021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7F7E"/>
    <w:rPr>
      <w:color w:val="666666"/>
    </w:rPr>
  </w:style>
  <w:style w:type="paragraph" w:styleId="Header">
    <w:name w:val="header"/>
    <w:basedOn w:val="Normal"/>
    <w:link w:val="HeaderChar"/>
    <w:uiPriority w:val="99"/>
    <w:unhideWhenUsed/>
    <w:rsid w:val="001A7513"/>
    <w:pPr>
      <w:tabs>
        <w:tab w:val="center" w:pos="4513"/>
        <w:tab w:val="right" w:pos="9026"/>
      </w:tabs>
    </w:pPr>
  </w:style>
  <w:style w:type="character" w:customStyle="1" w:styleId="HeaderChar">
    <w:name w:val="Header Char"/>
    <w:basedOn w:val="DefaultParagraphFont"/>
    <w:link w:val="Header"/>
    <w:uiPriority w:val="99"/>
    <w:rsid w:val="001A7513"/>
  </w:style>
  <w:style w:type="paragraph" w:styleId="Footer">
    <w:name w:val="footer"/>
    <w:basedOn w:val="Normal"/>
    <w:link w:val="FooterChar"/>
    <w:uiPriority w:val="99"/>
    <w:unhideWhenUsed/>
    <w:rsid w:val="001A7513"/>
    <w:pPr>
      <w:tabs>
        <w:tab w:val="center" w:pos="4513"/>
        <w:tab w:val="right" w:pos="9026"/>
      </w:tabs>
    </w:pPr>
  </w:style>
  <w:style w:type="character" w:customStyle="1" w:styleId="FooterChar">
    <w:name w:val="Footer Char"/>
    <w:basedOn w:val="DefaultParagraphFont"/>
    <w:link w:val="Footer"/>
    <w:uiPriority w:val="99"/>
    <w:rsid w:val="001A7513"/>
  </w:style>
  <w:style w:type="character" w:styleId="CommentReference">
    <w:name w:val="annotation reference"/>
    <w:basedOn w:val="DefaultParagraphFont"/>
    <w:uiPriority w:val="99"/>
    <w:semiHidden/>
    <w:unhideWhenUsed/>
    <w:rsid w:val="00E93B8B"/>
    <w:rPr>
      <w:sz w:val="16"/>
      <w:szCs w:val="16"/>
    </w:rPr>
  </w:style>
  <w:style w:type="paragraph" w:styleId="CommentText">
    <w:name w:val="annotation text"/>
    <w:basedOn w:val="Normal"/>
    <w:link w:val="CommentTextChar"/>
    <w:uiPriority w:val="99"/>
    <w:unhideWhenUsed/>
    <w:rsid w:val="00E93B8B"/>
    <w:rPr>
      <w:sz w:val="20"/>
      <w:szCs w:val="20"/>
    </w:rPr>
  </w:style>
  <w:style w:type="character" w:customStyle="1" w:styleId="CommentTextChar">
    <w:name w:val="Comment Text Char"/>
    <w:basedOn w:val="DefaultParagraphFont"/>
    <w:link w:val="CommentText"/>
    <w:uiPriority w:val="99"/>
    <w:rsid w:val="00E93B8B"/>
    <w:rPr>
      <w:sz w:val="20"/>
      <w:szCs w:val="20"/>
    </w:rPr>
  </w:style>
  <w:style w:type="table" w:styleId="GridTable2">
    <w:name w:val="Grid Table 2"/>
    <w:basedOn w:val="TableNormal"/>
    <w:uiPriority w:val="47"/>
    <w:rsid w:val="00715F9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74016F"/>
    <w:rPr>
      <w:b/>
      <w:bCs/>
    </w:rPr>
  </w:style>
  <w:style w:type="character" w:customStyle="1" w:styleId="CommentSubjectChar">
    <w:name w:val="Comment Subject Char"/>
    <w:basedOn w:val="CommentTextChar"/>
    <w:link w:val="CommentSubject"/>
    <w:uiPriority w:val="99"/>
    <w:semiHidden/>
    <w:rsid w:val="0074016F"/>
    <w:rPr>
      <w:b/>
      <w:bCs/>
      <w:sz w:val="20"/>
      <w:szCs w:val="20"/>
    </w:rPr>
  </w:style>
  <w:style w:type="paragraph" w:styleId="TOCHeading">
    <w:name w:val="TOC Heading"/>
    <w:basedOn w:val="Heading1"/>
    <w:next w:val="Normal"/>
    <w:uiPriority w:val="39"/>
    <w:unhideWhenUsed/>
    <w:qFormat/>
    <w:rsid w:val="00BB07DA"/>
    <w:pPr>
      <w:numPr>
        <w:numId w:val="0"/>
      </w:numPr>
      <w:spacing w:before="240" w:after="0"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E75CBD"/>
    <w:pPr>
      <w:tabs>
        <w:tab w:val="right" w:leader="dot" w:pos="9016"/>
      </w:tabs>
      <w:spacing w:after="100"/>
    </w:pPr>
  </w:style>
  <w:style w:type="paragraph" w:styleId="TOC2">
    <w:name w:val="toc 2"/>
    <w:basedOn w:val="Normal"/>
    <w:next w:val="Normal"/>
    <w:autoRedefine/>
    <w:uiPriority w:val="39"/>
    <w:unhideWhenUsed/>
    <w:rsid w:val="00BB07DA"/>
    <w:pPr>
      <w:spacing w:after="100"/>
      <w:ind w:left="220"/>
    </w:pPr>
  </w:style>
  <w:style w:type="paragraph" w:styleId="TOC3">
    <w:name w:val="toc 3"/>
    <w:basedOn w:val="Normal"/>
    <w:next w:val="Normal"/>
    <w:autoRedefine/>
    <w:uiPriority w:val="39"/>
    <w:unhideWhenUsed/>
    <w:rsid w:val="00BB07DA"/>
    <w:pPr>
      <w:spacing w:after="100"/>
      <w:ind w:left="440"/>
    </w:pPr>
  </w:style>
  <w:style w:type="paragraph" w:customStyle="1" w:styleId="Tablelabel">
    <w:name w:val="Table label"/>
    <w:basedOn w:val="Normal"/>
    <w:link w:val="TablelabelChar"/>
    <w:qFormat/>
    <w:rsid w:val="00B06D33"/>
    <w:pPr>
      <w:spacing w:before="240" w:after="60"/>
    </w:pPr>
  </w:style>
  <w:style w:type="character" w:customStyle="1" w:styleId="TablelabelChar">
    <w:name w:val="Table label Char"/>
    <w:basedOn w:val="DefaultParagraphFont"/>
    <w:link w:val="Tablelabel"/>
    <w:rsid w:val="00B06D33"/>
    <w:rPr>
      <w:lang w:val="en-GB"/>
    </w:rPr>
  </w:style>
  <w:style w:type="paragraph" w:customStyle="1" w:styleId="Figurelabel">
    <w:name w:val="Figure label"/>
    <w:basedOn w:val="Normal"/>
    <w:link w:val="FigurelabelChar"/>
    <w:qFormat/>
    <w:rsid w:val="00B06D33"/>
    <w:pPr>
      <w:spacing w:before="60" w:after="120" w:line="240" w:lineRule="auto"/>
    </w:pPr>
    <w:rPr>
      <w:bCs/>
    </w:rPr>
  </w:style>
  <w:style w:type="character" w:customStyle="1" w:styleId="FigurelabelChar">
    <w:name w:val="Figure label Char"/>
    <w:basedOn w:val="DefaultParagraphFont"/>
    <w:link w:val="Figurelabel"/>
    <w:rsid w:val="00B06D33"/>
    <w:rPr>
      <w:bCs/>
      <w:lang w:val="en-GB"/>
    </w:rPr>
  </w:style>
  <w:style w:type="paragraph" w:customStyle="1" w:styleId="Figurespace">
    <w:name w:val="Figure space"/>
    <w:basedOn w:val="Normal"/>
    <w:link w:val="FigurespaceChar"/>
    <w:qFormat/>
    <w:rsid w:val="00E905AA"/>
    <w:pPr>
      <w:spacing w:before="120" w:after="60" w:line="240" w:lineRule="auto"/>
      <w:jc w:val="center"/>
    </w:pPr>
    <w:rPr>
      <w:noProof/>
    </w:rPr>
  </w:style>
  <w:style w:type="character" w:customStyle="1" w:styleId="FigurespaceChar">
    <w:name w:val="Figure space Char"/>
    <w:basedOn w:val="DefaultParagraphFont"/>
    <w:link w:val="Figurespace"/>
    <w:rsid w:val="00E905AA"/>
    <w:rPr>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2458">
      <w:marLeft w:val="0"/>
      <w:marRight w:val="0"/>
      <w:marTop w:val="0"/>
      <w:marBottom w:val="0"/>
      <w:divBdr>
        <w:top w:val="none" w:sz="0" w:space="0" w:color="auto"/>
        <w:left w:val="none" w:sz="0" w:space="0" w:color="auto"/>
        <w:bottom w:val="none" w:sz="0" w:space="0" w:color="auto"/>
        <w:right w:val="none" w:sz="0" w:space="0" w:color="auto"/>
      </w:divBdr>
    </w:div>
    <w:div w:id="41878114">
      <w:marLeft w:val="0"/>
      <w:marRight w:val="0"/>
      <w:marTop w:val="0"/>
      <w:marBottom w:val="0"/>
      <w:divBdr>
        <w:top w:val="none" w:sz="0" w:space="0" w:color="auto"/>
        <w:left w:val="none" w:sz="0" w:space="0" w:color="auto"/>
        <w:bottom w:val="none" w:sz="0" w:space="0" w:color="auto"/>
        <w:right w:val="none" w:sz="0" w:space="0" w:color="auto"/>
      </w:divBdr>
    </w:div>
    <w:div w:id="69738106">
      <w:marLeft w:val="0"/>
      <w:marRight w:val="0"/>
      <w:marTop w:val="0"/>
      <w:marBottom w:val="0"/>
      <w:divBdr>
        <w:top w:val="none" w:sz="0" w:space="0" w:color="auto"/>
        <w:left w:val="none" w:sz="0" w:space="0" w:color="auto"/>
        <w:bottom w:val="none" w:sz="0" w:space="0" w:color="auto"/>
        <w:right w:val="none" w:sz="0" w:space="0" w:color="auto"/>
      </w:divBdr>
    </w:div>
    <w:div w:id="141123371">
      <w:marLeft w:val="0"/>
      <w:marRight w:val="0"/>
      <w:marTop w:val="0"/>
      <w:marBottom w:val="0"/>
      <w:divBdr>
        <w:top w:val="none" w:sz="0" w:space="0" w:color="auto"/>
        <w:left w:val="none" w:sz="0" w:space="0" w:color="auto"/>
        <w:bottom w:val="none" w:sz="0" w:space="0" w:color="auto"/>
        <w:right w:val="none" w:sz="0" w:space="0" w:color="auto"/>
      </w:divBdr>
    </w:div>
    <w:div w:id="182787216">
      <w:marLeft w:val="0"/>
      <w:marRight w:val="0"/>
      <w:marTop w:val="0"/>
      <w:marBottom w:val="0"/>
      <w:divBdr>
        <w:top w:val="none" w:sz="0" w:space="0" w:color="auto"/>
        <w:left w:val="none" w:sz="0" w:space="0" w:color="auto"/>
        <w:bottom w:val="none" w:sz="0" w:space="0" w:color="auto"/>
        <w:right w:val="none" w:sz="0" w:space="0" w:color="auto"/>
      </w:divBdr>
    </w:div>
    <w:div w:id="193420950">
      <w:marLeft w:val="0"/>
      <w:marRight w:val="0"/>
      <w:marTop w:val="0"/>
      <w:marBottom w:val="0"/>
      <w:divBdr>
        <w:top w:val="none" w:sz="0" w:space="0" w:color="auto"/>
        <w:left w:val="none" w:sz="0" w:space="0" w:color="auto"/>
        <w:bottom w:val="none" w:sz="0" w:space="0" w:color="auto"/>
        <w:right w:val="none" w:sz="0" w:space="0" w:color="auto"/>
      </w:divBdr>
    </w:div>
    <w:div w:id="194658659">
      <w:marLeft w:val="0"/>
      <w:marRight w:val="0"/>
      <w:marTop w:val="0"/>
      <w:marBottom w:val="0"/>
      <w:divBdr>
        <w:top w:val="none" w:sz="0" w:space="0" w:color="auto"/>
        <w:left w:val="none" w:sz="0" w:space="0" w:color="auto"/>
        <w:bottom w:val="none" w:sz="0" w:space="0" w:color="auto"/>
        <w:right w:val="none" w:sz="0" w:space="0" w:color="auto"/>
      </w:divBdr>
    </w:div>
    <w:div w:id="206644187">
      <w:marLeft w:val="0"/>
      <w:marRight w:val="0"/>
      <w:marTop w:val="0"/>
      <w:marBottom w:val="0"/>
      <w:divBdr>
        <w:top w:val="none" w:sz="0" w:space="0" w:color="auto"/>
        <w:left w:val="none" w:sz="0" w:space="0" w:color="auto"/>
        <w:bottom w:val="none" w:sz="0" w:space="0" w:color="auto"/>
        <w:right w:val="none" w:sz="0" w:space="0" w:color="auto"/>
      </w:divBdr>
    </w:div>
    <w:div w:id="235937094">
      <w:marLeft w:val="0"/>
      <w:marRight w:val="0"/>
      <w:marTop w:val="0"/>
      <w:marBottom w:val="0"/>
      <w:divBdr>
        <w:top w:val="none" w:sz="0" w:space="0" w:color="auto"/>
        <w:left w:val="none" w:sz="0" w:space="0" w:color="auto"/>
        <w:bottom w:val="none" w:sz="0" w:space="0" w:color="auto"/>
        <w:right w:val="none" w:sz="0" w:space="0" w:color="auto"/>
      </w:divBdr>
    </w:div>
    <w:div w:id="247689747">
      <w:marLeft w:val="0"/>
      <w:marRight w:val="0"/>
      <w:marTop w:val="0"/>
      <w:marBottom w:val="0"/>
      <w:divBdr>
        <w:top w:val="none" w:sz="0" w:space="0" w:color="auto"/>
        <w:left w:val="none" w:sz="0" w:space="0" w:color="auto"/>
        <w:bottom w:val="none" w:sz="0" w:space="0" w:color="auto"/>
        <w:right w:val="none" w:sz="0" w:space="0" w:color="auto"/>
      </w:divBdr>
    </w:div>
    <w:div w:id="252591912">
      <w:marLeft w:val="0"/>
      <w:marRight w:val="0"/>
      <w:marTop w:val="0"/>
      <w:marBottom w:val="0"/>
      <w:divBdr>
        <w:top w:val="none" w:sz="0" w:space="0" w:color="auto"/>
        <w:left w:val="none" w:sz="0" w:space="0" w:color="auto"/>
        <w:bottom w:val="none" w:sz="0" w:space="0" w:color="auto"/>
        <w:right w:val="none" w:sz="0" w:space="0" w:color="auto"/>
      </w:divBdr>
    </w:div>
    <w:div w:id="260069603">
      <w:marLeft w:val="0"/>
      <w:marRight w:val="0"/>
      <w:marTop w:val="0"/>
      <w:marBottom w:val="0"/>
      <w:divBdr>
        <w:top w:val="none" w:sz="0" w:space="0" w:color="auto"/>
        <w:left w:val="none" w:sz="0" w:space="0" w:color="auto"/>
        <w:bottom w:val="none" w:sz="0" w:space="0" w:color="auto"/>
        <w:right w:val="none" w:sz="0" w:space="0" w:color="auto"/>
      </w:divBdr>
    </w:div>
    <w:div w:id="290789474">
      <w:marLeft w:val="0"/>
      <w:marRight w:val="0"/>
      <w:marTop w:val="0"/>
      <w:marBottom w:val="0"/>
      <w:divBdr>
        <w:top w:val="none" w:sz="0" w:space="0" w:color="auto"/>
        <w:left w:val="none" w:sz="0" w:space="0" w:color="auto"/>
        <w:bottom w:val="none" w:sz="0" w:space="0" w:color="auto"/>
        <w:right w:val="none" w:sz="0" w:space="0" w:color="auto"/>
      </w:divBdr>
    </w:div>
    <w:div w:id="301545776">
      <w:marLeft w:val="0"/>
      <w:marRight w:val="0"/>
      <w:marTop w:val="0"/>
      <w:marBottom w:val="0"/>
      <w:divBdr>
        <w:top w:val="none" w:sz="0" w:space="0" w:color="auto"/>
        <w:left w:val="none" w:sz="0" w:space="0" w:color="auto"/>
        <w:bottom w:val="none" w:sz="0" w:space="0" w:color="auto"/>
        <w:right w:val="none" w:sz="0" w:space="0" w:color="auto"/>
      </w:divBdr>
    </w:div>
    <w:div w:id="369845388">
      <w:marLeft w:val="0"/>
      <w:marRight w:val="0"/>
      <w:marTop w:val="0"/>
      <w:marBottom w:val="0"/>
      <w:divBdr>
        <w:top w:val="none" w:sz="0" w:space="0" w:color="auto"/>
        <w:left w:val="none" w:sz="0" w:space="0" w:color="auto"/>
        <w:bottom w:val="none" w:sz="0" w:space="0" w:color="auto"/>
        <w:right w:val="none" w:sz="0" w:space="0" w:color="auto"/>
      </w:divBdr>
    </w:div>
    <w:div w:id="388116812">
      <w:marLeft w:val="0"/>
      <w:marRight w:val="0"/>
      <w:marTop w:val="0"/>
      <w:marBottom w:val="0"/>
      <w:divBdr>
        <w:top w:val="none" w:sz="0" w:space="0" w:color="auto"/>
        <w:left w:val="none" w:sz="0" w:space="0" w:color="auto"/>
        <w:bottom w:val="none" w:sz="0" w:space="0" w:color="auto"/>
        <w:right w:val="none" w:sz="0" w:space="0" w:color="auto"/>
      </w:divBdr>
    </w:div>
    <w:div w:id="411780487">
      <w:marLeft w:val="0"/>
      <w:marRight w:val="0"/>
      <w:marTop w:val="0"/>
      <w:marBottom w:val="0"/>
      <w:divBdr>
        <w:top w:val="none" w:sz="0" w:space="0" w:color="auto"/>
        <w:left w:val="none" w:sz="0" w:space="0" w:color="auto"/>
        <w:bottom w:val="none" w:sz="0" w:space="0" w:color="auto"/>
        <w:right w:val="none" w:sz="0" w:space="0" w:color="auto"/>
      </w:divBdr>
    </w:div>
    <w:div w:id="516847238">
      <w:marLeft w:val="0"/>
      <w:marRight w:val="0"/>
      <w:marTop w:val="0"/>
      <w:marBottom w:val="0"/>
      <w:divBdr>
        <w:top w:val="none" w:sz="0" w:space="0" w:color="auto"/>
        <w:left w:val="none" w:sz="0" w:space="0" w:color="auto"/>
        <w:bottom w:val="none" w:sz="0" w:space="0" w:color="auto"/>
        <w:right w:val="none" w:sz="0" w:space="0" w:color="auto"/>
      </w:divBdr>
    </w:div>
    <w:div w:id="535700084">
      <w:marLeft w:val="0"/>
      <w:marRight w:val="0"/>
      <w:marTop w:val="0"/>
      <w:marBottom w:val="0"/>
      <w:divBdr>
        <w:top w:val="none" w:sz="0" w:space="0" w:color="auto"/>
        <w:left w:val="none" w:sz="0" w:space="0" w:color="auto"/>
        <w:bottom w:val="none" w:sz="0" w:space="0" w:color="auto"/>
        <w:right w:val="none" w:sz="0" w:space="0" w:color="auto"/>
      </w:divBdr>
    </w:div>
    <w:div w:id="599221609">
      <w:marLeft w:val="0"/>
      <w:marRight w:val="0"/>
      <w:marTop w:val="0"/>
      <w:marBottom w:val="0"/>
      <w:divBdr>
        <w:top w:val="none" w:sz="0" w:space="0" w:color="auto"/>
        <w:left w:val="none" w:sz="0" w:space="0" w:color="auto"/>
        <w:bottom w:val="none" w:sz="0" w:space="0" w:color="auto"/>
        <w:right w:val="none" w:sz="0" w:space="0" w:color="auto"/>
      </w:divBdr>
    </w:div>
    <w:div w:id="641346777">
      <w:marLeft w:val="0"/>
      <w:marRight w:val="0"/>
      <w:marTop w:val="0"/>
      <w:marBottom w:val="0"/>
      <w:divBdr>
        <w:top w:val="none" w:sz="0" w:space="0" w:color="auto"/>
        <w:left w:val="none" w:sz="0" w:space="0" w:color="auto"/>
        <w:bottom w:val="none" w:sz="0" w:space="0" w:color="auto"/>
        <w:right w:val="none" w:sz="0" w:space="0" w:color="auto"/>
      </w:divBdr>
    </w:div>
    <w:div w:id="653798604">
      <w:marLeft w:val="0"/>
      <w:marRight w:val="0"/>
      <w:marTop w:val="0"/>
      <w:marBottom w:val="0"/>
      <w:divBdr>
        <w:top w:val="none" w:sz="0" w:space="0" w:color="auto"/>
        <w:left w:val="none" w:sz="0" w:space="0" w:color="auto"/>
        <w:bottom w:val="none" w:sz="0" w:space="0" w:color="auto"/>
        <w:right w:val="none" w:sz="0" w:space="0" w:color="auto"/>
      </w:divBdr>
    </w:div>
    <w:div w:id="711929087">
      <w:marLeft w:val="0"/>
      <w:marRight w:val="0"/>
      <w:marTop w:val="0"/>
      <w:marBottom w:val="0"/>
      <w:divBdr>
        <w:top w:val="none" w:sz="0" w:space="0" w:color="auto"/>
        <w:left w:val="none" w:sz="0" w:space="0" w:color="auto"/>
        <w:bottom w:val="none" w:sz="0" w:space="0" w:color="auto"/>
        <w:right w:val="none" w:sz="0" w:space="0" w:color="auto"/>
      </w:divBdr>
    </w:div>
    <w:div w:id="743069554">
      <w:marLeft w:val="0"/>
      <w:marRight w:val="0"/>
      <w:marTop w:val="0"/>
      <w:marBottom w:val="0"/>
      <w:divBdr>
        <w:top w:val="none" w:sz="0" w:space="0" w:color="auto"/>
        <w:left w:val="none" w:sz="0" w:space="0" w:color="auto"/>
        <w:bottom w:val="none" w:sz="0" w:space="0" w:color="auto"/>
        <w:right w:val="none" w:sz="0" w:space="0" w:color="auto"/>
      </w:divBdr>
    </w:div>
    <w:div w:id="755248551">
      <w:marLeft w:val="0"/>
      <w:marRight w:val="0"/>
      <w:marTop w:val="0"/>
      <w:marBottom w:val="0"/>
      <w:divBdr>
        <w:top w:val="none" w:sz="0" w:space="0" w:color="auto"/>
        <w:left w:val="none" w:sz="0" w:space="0" w:color="auto"/>
        <w:bottom w:val="none" w:sz="0" w:space="0" w:color="auto"/>
        <w:right w:val="none" w:sz="0" w:space="0" w:color="auto"/>
      </w:divBdr>
    </w:div>
    <w:div w:id="779184585">
      <w:marLeft w:val="0"/>
      <w:marRight w:val="0"/>
      <w:marTop w:val="0"/>
      <w:marBottom w:val="0"/>
      <w:divBdr>
        <w:top w:val="none" w:sz="0" w:space="0" w:color="auto"/>
        <w:left w:val="none" w:sz="0" w:space="0" w:color="auto"/>
        <w:bottom w:val="none" w:sz="0" w:space="0" w:color="auto"/>
        <w:right w:val="none" w:sz="0" w:space="0" w:color="auto"/>
      </w:divBdr>
    </w:div>
    <w:div w:id="809253215">
      <w:marLeft w:val="0"/>
      <w:marRight w:val="0"/>
      <w:marTop w:val="0"/>
      <w:marBottom w:val="0"/>
      <w:divBdr>
        <w:top w:val="none" w:sz="0" w:space="0" w:color="auto"/>
        <w:left w:val="none" w:sz="0" w:space="0" w:color="auto"/>
        <w:bottom w:val="none" w:sz="0" w:space="0" w:color="auto"/>
        <w:right w:val="none" w:sz="0" w:space="0" w:color="auto"/>
      </w:divBdr>
    </w:div>
    <w:div w:id="815071277">
      <w:marLeft w:val="0"/>
      <w:marRight w:val="0"/>
      <w:marTop w:val="0"/>
      <w:marBottom w:val="0"/>
      <w:divBdr>
        <w:top w:val="none" w:sz="0" w:space="0" w:color="auto"/>
        <w:left w:val="none" w:sz="0" w:space="0" w:color="auto"/>
        <w:bottom w:val="none" w:sz="0" w:space="0" w:color="auto"/>
        <w:right w:val="none" w:sz="0" w:space="0" w:color="auto"/>
      </w:divBdr>
    </w:div>
    <w:div w:id="880704343">
      <w:marLeft w:val="0"/>
      <w:marRight w:val="0"/>
      <w:marTop w:val="0"/>
      <w:marBottom w:val="0"/>
      <w:divBdr>
        <w:top w:val="none" w:sz="0" w:space="0" w:color="auto"/>
        <w:left w:val="none" w:sz="0" w:space="0" w:color="auto"/>
        <w:bottom w:val="none" w:sz="0" w:space="0" w:color="auto"/>
        <w:right w:val="none" w:sz="0" w:space="0" w:color="auto"/>
      </w:divBdr>
    </w:div>
    <w:div w:id="897476944">
      <w:marLeft w:val="0"/>
      <w:marRight w:val="0"/>
      <w:marTop w:val="0"/>
      <w:marBottom w:val="0"/>
      <w:divBdr>
        <w:top w:val="none" w:sz="0" w:space="0" w:color="auto"/>
        <w:left w:val="none" w:sz="0" w:space="0" w:color="auto"/>
        <w:bottom w:val="none" w:sz="0" w:space="0" w:color="auto"/>
        <w:right w:val="none" w:sz="0" w:space="0" w:color="auto"/>
      </w:divBdr>
    </w:div>
    <w:div w:id="917979532">
      <w:marLeft w:val="0"/>
      <w:marRight w:val="0"/>
      <w:marTop w:val="0"/>
      <w:marBottom w:val="0"/>
      <w:divBdr>
        <w:top w:val="none" w:sz="0" w:space="0" w:color="auto"/>
        <w:left w:val="none" w:sz="0" w:space="0" w:color="auto"/>
        <w:bottom w:val="none" w:sz="0" w:space="0" w:color="auto"/>
        <w:right w:val="none" w:sz="0" w:space="0" w:color="auto"/>
      </w:divBdr>
    </w:div>
    <w:div w:id="928075881">
      <w:marLeft w:val="0"/>
      <w:marRight w:val="0"/>
      <w:marTop w:val="0"/>
      <w:marBottom w:val="0"/>
      <w:divBdr>
        <w:top w:val="none" w:sz="0" w:space="0" w:color="auto"/>
        <w:left w:val="none" w:sz="0" w:space="0" w:color="auto"/>
        <w:bottom w:val="none" w:sz="0" w:space="0" w:color="auto"/>
        <w:right w:val="none" w:sz="0" w:space="0" w:color="auto"/>
      </w:divBdr>
    </w:div>
    <w:div w:id="949046640">
      <w:marLeft w:val="0"/>
      <w:marRight w:val="0"/>
      <w:marTop w:val="0"/>
      <w:marBottom w:val="0"/>
      <w:divBdr>
        <w:top w:val="none" w:sz="0" w:space="0" w:color="auto"/>
        <w:left w:val="none" w:sz="0" w:space="0" w:color="auto"/>
        <w:bottom w:val="none" w:sz="0" w:space="0" w:color="auto"/>
        <w:right w:val="none" w:sz="0" w:space="0" w:color="auto"/>
      </w:divBdr>
    </w:div>
    <w:div w:id="967321835">
      <w:marLeft w:val="0"/>
      <w:marRight w:val="0"/>
      <w:marTop w:val="0"/>
      <w:marBottom w:val="0"/>
      <w:divBdr>
        <w:top w:val="none" w:sz="0" w:space="0" w:color="auto"/>
        <w:left w:val="none" w:sz="0" w:space="0" w:color="auto"/>
        <w:bottom w:val="none" w:sz="0" w:space="0" w:color="auto"/>
        <w:right w:val="none" w:sz="0" w:space="0" w:color="auto"/>
      </w:divBdr>
    </w:div>
    <w:div w:id="967591318">
      <w:marLeft w:val="0"/>
      <w:marRight w:val="0"/>
      <w:marTop w:val="0"/>
      <w:marBottom w:val="0"/>
      <w:divBdr>
        <w:top w:val="none" w:sz="0" w:space="0" w:color="auto"/>
        <w:left w:val="none" w:sz="0" w:space="0" w:color="auto"/>
        <w:bottom w:val="none" w:sz="0" w:space="0" w:color="auto"/>
        <w:right w:val="none" w:sz="0" w:space="0" w:color="auto"/>
      </w:divBdr>
    </w:div>
    <w:div w:id="1000111320">
      <w:marLeft w:val="0"/>
      <w:marRight w:val="0"/>
      <w:marTop w:val="0"/>
      <w:marBottom w:val="0"/>
      <w:divBdr>
        <w:top w:val="none" w:sz="0" w:space="0" w:color="auto"/>
        <w:left w:val="none" w:sz="0" w:space="0" w:color="auto"/>
        <w:bottom w:val="none" w:sz="0" w:space="0" w:color="auto"/>
        <w:right w:val="none" w:sz="0" w:space="0" w:color="auto"/>
      </w:divBdr>
    </w:div>
    <w:div w:id="1026252948">
      <w:marLeft w:val="0"/>
      <w:marRight w:val="0"/>
      <w:marTop w:val="0"/>
      <w:marBottom w:val="0"/>
      <w:divBdr>
        <w:top w:val="none" w:sz="0" w:space="0" w:color="auto"/>
        <w:left w:val="none" w:sz="0" w:space="0" w:color="auto"/>
        <w:bottom w:val="none" w:sz="0" w:space="0" w:color="auto"/>
        <w:right w:val="none" w:sz="0" w:space="0" w:color="auto"/>
      </w:divBdr>
    </w:div>
    <w:div w:id="1106345468">
      <w:marLeft w:val="0"/>
      <w:marRight w:val="0"/>
      <w:marTop w:val="0"/>
      <w:marBottom w:val="0"/>
      <w:divBdr>
        <w:top w:val="none" w:sz="0" w:space="0" w:color="auto"/>
        <w:left w:val="none" w:sz="0" w:space="0" w:color="auto"/>
        <w:bottom w:val="none" w:sz="0" w:space="0" w:color="auto"/>
        <w:right w:val="none" w:sz="0" w:space="0" w:color="auto"/>
      </w:divBdr>
    </w:div>
    <w:div w:id="1138183331">
      <w:marLeft w:val="0"/>
      <w:marRight w:val="0"/>
      <w:marTop w:val="0"/>
      <w:marBottom w:val="0"/>
      <w:divBdr>
        <w:top w:val="none" w:sz="0" w:space="0" w:color="auto"/>
        <w:left w:val="none" w:sz="0" w:space="0" w:color="auto"/>
        <w:bottom w:val="none" w:sz="0" w:space="0" w:color="auto"/>
        <w:right w:val="none" w:sz="0" w:space="0" w:color="auto"/>
      </w:divBdr>
    </w:div>
    <w:div w:id="1154834715">
      <w:marLeft w:val="0"/>
      <w:marRight w:val="0"/>
      <w:marTop w:val="0"/>
      <w:marBottom w:val="0"/>
      <w:divBdr>
        <w:top w:val="none" w:sz="0" w:space="0" w:color="auto"/>
        <w:left w:val="none" w:sz="0" w:space="0" w:color="auto"/>
        <w:bottom w:val="none" w:sz="0" w:space="0" w:color="auto"/>
        <w:right w:val="none" w:sz="0" w:space="0" w:color="auto"/>
      </w:divBdr>
    </w:div>
    <w:div w:id="1174762212">
      <w:marLeft w:val="0"/>
      <w:marRight w:val="0"/>
      <w:marTop w:val="0"/>
      <w:marBottom w:val="0"/>
      <w:divBdr>
        <w:top w:val="none" w:sz="0" w:space="0" w:color="auto"/>
        <w:left w:val="none" w:sz="0" w:space="0" w:color="auto"/>
        <w:bottom w:val="none" w:sz="0" w:space="0" w:color="auto"/>
        <w:right w:val="none" w:sz="0" w:space="0" w:color="auto"/>
      </w:divBdr>
    </w:div>
    <w:div w:id="1216694955">
      <w:marLeft w:val="0"/>
      <w:marRight w:val="0"/>
      <w:marTop w:val="0"/>
      <w:marBottom w:val="0"/>
      <w:divBdr>
        <w:top w:val="none" w:sz="0" w:space="0" w:color="auto"/>
        <w:left w:val="none" w:sz="0" w:space="0" w:color="auto"/>
        <w:bottom w:val="none" w:sz="0" w:space="0" w:color="auto"/>
        <w:right w:val="none" w:sz="0" w:space="0" w:color="auto"/>
      </w:divBdr>
    </w:div>
    <w:div w:id="1257012309">
      <w:marLeft w:val="0"/>
      <w:marRight w:val="0"/>
      <w:marTop w:val="0"/>
      <w:marBottom w:val="0"/>
      <w:divBdr>
        <w:top w:val="none" w:sz="0" w:space="0" w:color="auto"/>
        <w:left w:val="none" w:sz="0" w:space="0" w:color="auto"/>
        <w:bottom w:val="none" w:sz="0" w:space="0" w:color="auto"/>
        <w:right w:val="none" w:sz="0" w:space="0" w:color="auto"/>
      </w:divBdr>
    </w:div>
    <w:div w:id="1317298909">
      <w:marLeft w:val="0"/>
      <w:marRight w:val="0"/>
      <w:marTop w:val="0"/>
      <w:marBottom w:val="0"/>
      <w:divBdr>
        <w:top w:val="none" w:sz="0" w:space="0" w:color="auto"/>
        <w:left w:val="none" w:sz="0" w:space="0" w:color="auto"/>
        <w:bottom w:val="none" w:sz="0" w:space="0" w:color="auto"/>
        <w:right w:val="none" w:sz="0" w:space="0" w:color="auto"/>
      </w:divBdr>
    </w:div>
    <w:div w:id="1338116185">
      <w:marLeft w:val="0"/>
      <w:marRight w:val="0"/>
      <w:marTop w:val="0"/>
      <w:marBottom w:val="0"/>
      <w:divBdr>
        <w:top w:val="none" w:sz="0" w:space="0" w:color="auto"/>
        <w:left w:val="none" w:sz="0" w:space="0" w:color="auto"/>
        <w:bottom w:val="none" w:sz="0" w:space="0" w:color="auto"/>
        <w:right w:val="none" w:sz="0" w:space="0" w:color="auto"/>
      </w:divBdr>
    </w:div>
    <w:div w:id="1368524128">
      <w:marLeft w:val="0"/>
      <w:marRight w:val="0"/>
      <w:marTop w:val="0"/>
      <w:marBottom w:val="0"/>
      <w:divBdr>
        <w:top w:val="none" w:sz="0" w:space="0" w:color="auto"/>
        <w:left w:val="none" w:sz="0" w:space="0" w:color="auto"/>
        <w:bottom w:val="none" w:sz="0" w:space="0" w:color="auto"/>
        <w:right w:val="none" w:sz="0" w:space="0" w:color="auto"/>
      </w:divBdr>
    </w:div>
    <w:div w:id="1384138204">
      <w:marLeft w:val="0"/>
      <w:marRight w:val="0"/>
      <w:marTop w:val="0"/>
      <w:marBottom w:val="0"/>
      <w:divBdr>
        <w:top w:val="none" w:sz="0" w:space="0" w:color="auto"/>
        <w:left w:val="none" w:sz="0" w:space="0" w:color="auto"/>
        <w:bottom w:val="none" w:sz="0" w:space="0" w:color="auto"/>
        <w:right w:val="none" w:sz="0" w:space="0" w:color="auto"/>
      </w:divBdr>
    </w:div>
    <w:div w:id="1435789676">
      <w:marLeft w:val="0"/>
      <w:marRight w:val="0"/>
      <w:marTop w:val="0"/>
      <w:marBottom w:val="0"/>
      <w:divBdr>
        <w:top w:val="none" w:sz="0" w:space="0" w:color="auto"/>
        <w:left w:val="none" w:sz="0" w:space="0" w:color="auto"/>
        <w:bottom w:val="none" w:sz="0" w:space="0" w:color="auto"/>
        <w:right w:val="none" w:sz="0" w:space="0" w:color="auto"/>
      </w:divBdr>
    </w:div>
    <w:div w:id="1436974254">
      <w:marLeft w:val="0"/>
      <w:marRight w:val="0"/>
      <w:marTop w:val="0"/>
      <w:marBottom w:val="0"/>
      <w:divBdr>
        <w:top w:val="none" w:sz="0" w:space="0" w:color="auto"/>
        <w:left w:val="none" w:sz="0" w:space="0" w:color="auto"/>
        <w:bottom w:val="none" w:sz="0" w:space="0" w:color="auto"/>
        <w:right w:val="none" w:sz="0" w:space="0" w:color="auto"/>
      </w:divBdr>
    </w:div>
    <w:div w:id="1475100049">
      <w:marLeft w:val="0"/>
      <w:marRight w:val="0"/>
      <w:marTop w:val="0"/>
      <w:marBottom w:val="0"/>
      <w:divBdr>
        <w:top w:val="none" w:sz="0" w:space="0" w:color="auto"/>
        <w:left w:val="none" w:sz="0" w:space="0" w:color="auto"/>
        <w:bottom w:val="none" w:sz="0" w:space="0" w:color="auto"/>
        <w:right w:val="none" w:sz="0" w:space="0" w:color="auto"/>
      </w:divBdr>
    </w:div>
    <w:div w:id="1543709970">
      <w:marLeft w:val="0"/>
      <w:marRight w:val="0"/>
      <w:marTop w:val="0"/>
      <w:marBottom w:val="0"/>
      <w:divBdr>
        <w:top w:val="none" w:sz="0" w:space="0" w:color="auto"/>
        <w:left w:val="none" w:sz="0" w:space="0" w:color="auto"/>
        <w:bottom w:val="none" w:sz="0" w:space="0" w:color="auto"/>
        <w:right w:val="none" w:sz="0" w:space="0" w:color="auto"/>
      </w:divBdr>
    </w:div>
    <w:div w:id="1660619264">
      <w:marLeft w:val="0"/>
      <w:marRight w:val="0"/>
      <w:marTop w:val="0"/>
      <w:marBottom w:val="0"/>
      <w:divBdr>
        <w:top w:val="none" w:sz="0" w:space="0" w:color="auto"/>
        <w:left w:val="none" w:sz="0" w:space="0" w:color="auto"/>
        <w:bottom w:val="none" w:sz="0" w:space="0" w:color="auto"/>
        <w:right w:val="none" w:sz="0" w:space="0" w:color="auto"/>
      </w:divBdr>
    </w:div>
    <w:div w:id="1695036637">
      <w:marLeft w:val="0"/>
      <w:marRight w:val="0"/>
      <w:marTop w:val="0"/>
      <w:marBottom w:val="0"/>
      <w:divBdr>
        <w:top w:val="none" w:sz="0" w:space="0" w:color="auto"/>
        <w:left w:val="none" w:sz="0" w:space="0" w:color="auto"/>
        <w:bottom w:val="none" w:sz="0" w:space="0" w:color="auto"/>
        <w:right w:val="none" w:sz="0" w:space="0" w:color="auto"/>
      </w:divBdr>
    </w:div>
    <w:div w:id="1706447880">
      <w:marLeft w:val="0"/>
      <w:marRight w:val="0"/>
      <w:marTop w:val="0"/>
      <w:marBottom w:val="0"/>
      <w:divBdr>
        <w:top w:val="none" w:sz="0" w:space="0" w:color="auto"/>
        <w:left w:val="none" w:sz="0" w:space="0" w:color="auto"/>
        <w:bottom w:val="none" w:sz="0" w:space="0" w:color="auto"/>
        <w:right w:val="none" w:sz="0" w:space="0" w:color="auto"/>
      </w:divBdr>
    </w:div>
    <w:div w:id="1708065095">
      <w:marLeft w:val="0"/>
      <w:marRight w:val="0"/>
      <w:marTop w:val="0"/>
      <w:marBottom w:val="0"/>
      <w:divBdr>
        <w:top w:val="none" w:sz="0" w:space="0" w:color="auto"/>
        <w:left w:val="none" w:sz="0" w:space="0" w:color="auto"/>
        <w:bottom w:val="none" w:sz="0" w:space="0" w:color="auto"/>
        <w:right w:val="none" w:sz="0" w:space="0" w:color="auto"/>
      </w:divBdr>
    </w:div>
    <w:div w:id="1796409233">
      <w:marLeft w:val="0"/>
      <w:marRight w:val="0"/>
      <w:marTop w:val="0"/>
      <w:marBottom w:val="0"/>
      <w:divBdr>
        <w:top w:val="none" w:sz="0" w:space="0" w:color="auto"/>
        <w:left w:val="none" w:sz="0" w:space="0" w:color="auto"/>
        <w:bottom w:val="none" w:sz="0" w:space="0" w:color="auto"/>
        <w:right w:val="none" w:sz="0" w:space="0" w:color="auto"/>
      </w:divBdr>
    </w:div>
    <w:div w:id="1812746247">
      <w:marLeft w:val="0"/>
      <w:marRight w:val="0"/>
      <w:marTop w:val="0"/>
      <w:marBottom w:val="0"/>
      <w:divBdr>
        <w:top w:val="none" w:sz="0" w:space="0" w:color="auto"/>
        <w:left w:val="none" w:sz="0" w:space="0" w:color="auto"/>
        <w:bottom w:val="none" w:sz="0" w:space="0" w:color="auto"/>
        <w:right w:val="none" w:sz="0" w:space="0" w:color="auto"/>
      </w:divBdr>
    </w:div>
    <w:div w:id="1850099395">
      <w:marLeft w:val="0"/>
      <w:marRight w:val="0"/>
      <w:marTop w:val="0"/>
      <w:marBottom w:val="0"/>
      <w:divBdr>
        <w:top w:val="none" w:sz="0" w:space="0" w:color="auto"/>
        <w:left w:val="none" w:sz="0" w:space="0" w:color="auto"/>
        <w:bottom w:val="none" w:sz="0" w:space="0" w:color="auto"/>
        <w:right w:val="none" w:sz="0" w:space="0" w:color="auto"/>
      </w:divBdr>
    </w:div>
    <w:div w:id="1897812216">
      <w:marLeft w:val="0"/>
      <w:marRight w:val="0"/>
      <w:marTop w:val="0"/>
      <w:marBottom w:val="0"/>
      <w:divBdr>
        <w:top w:val="none" w:sz="0" w:space="0" w:color="auto"/>
        <w:left w:val="none" w:sz="0" w:space="0" w:color="auto"/>
        <w:bottom w:val="none" w:sz="0" w:space="0" w:color="auto"/>
        <w:right w:val="none" w:sz="0" w:space="0" w:color="auto"/>
      </w:divBdr>
    </w:div>
    <w:div w:id="1917590736">
      <w:marLeft w:val="0"/>
      <w:marRight w:val="0"/>
      <w:marTop w:val="0"/>
      <w:marBottom w:val="0"/>
      <w:divBdr>
        <w:top w:val="none" w:sz="0" w:space="0" w:color="auto"/>
        <w:left w:val="none" w:sz="0" w:space="0" w:color="auto"/>
        <w:bottom w:val="none" w:sz="0" w:space="0" w:color="auto"/>
        <w:right w:val="none" w:sz="0" w:space="0" w:color="auto"/>
      </w:divBdr>
    </w:div>
    <w:div w:id="1921328842">
      <w:marLeft w:val="0"/>
      <w:marRight w:val="0"/>
      <w:marTop w:val="0"/>
      <w:marBottom w:val="0"/>
      <w:divBdr>
        <w:top w:val="none" w:sz="0" w:space="0" w:color="auto"/>
        <w:left w:val="none" w:sz="0" w:space="0" w:color="auto"/>
        <w:bottom w:val="none" w:sz="0" w:space="0" w:color="auto"/>
        <w:right w:val="none" w:sz="0" w:space="0" w:color="auto"/>
      </w:divBdr>
    </w:div>
    <w:div w:id="1966814959">
      <w:marLeft w:val="0"/>
      <w:marRight w:val="0"/>
      <w:marTop w:val="0"/>
      <w:marBottom w:val="0"/>
      <w:divBdr>
        <w:top w:val="none" w:sz="0" w:space="0" w:color="auto"/>
        <w:left w:val="none" w:sz="0" w:space="0" w:color="auto"/>
        <w:bottom w:val="none" w:sz="0" w:space="0" w:color="auto"/>
        <w:right w:val="none" w:sz="0" w:space="0" w:color="auto"/>
      </w:divBdr>
    </w:div>
    <w:div w:id="1976449029">
      <w:marLeft w:val="0"/>
      <w:marRight w:val="0"/>
      <w:marTop w:val="0"/>
      <w:marBottom w:val="0"/>
      <w:divBdr>
        <w:top w:val="none" w:sz="0" w:space="0" w:color="auto"/>
        <w:left w:val="none" w:sz="0" w:space="0" w:color="auto"/>
        <w:bottom w:val="none" w:sz="0" w:space="0" w:color="auto"/>
        <w:right w:val="none" w:sz="0" w:space="0" w:color="auto"/>
      </w:divBdr>
    </w:div>
    <w:div w:id="2039158017">
      <w:marLeft w:val="0"/>
      <w:marRight w:val="0"/>
      <w:marTop w:val="0"/>
      <w:marBottom w:val="0"/>
      <w:divBdr>
        <w:top w:val="none" w:sz="0" w:space="0" w:color="auto"/>
        <w:left w:val="none" w:sz="0" w:space="0" w:color="auto"/>
        <w:bottom w:val="none" w:sz="0" w:space="0" w:color="auto"/>
        <w:right w:val="none" w:sz="0" w:space="0" w:color="auto"/>
      </w:divBdr>
    </w:div>
    <w:div w:id="2049599819">
      <w:marLeft w:val="0"/>
      <w:marRight w:val="0"/>
      <w:marTop w:val="0"/>
      <w:marBottom w:val="0"/>
      <w:divBdr>
        <w:top w:val="none" w:sz="0" w:space="0" w:color="auto"/>
        <w:left w:val="none" w:sz="0" w:space="0" w:color="auto"/>
        <w:bottom w:val="none" w:sz="0" w:space="0" w:color="auto"/>
        <w:right w:val="none" w:sz="0" w:space="0" w:color="auto"/>
      </w:divBdr>
    </w:div>
    <w:div w:id="2116442870">
      <w:marLeft w:val="0"/>
      <w:marRight w:val="0"/>
      <w:marTop w:val="0"/>
      <w:marBottom w:val="0"/>
      <w:divBdr>
        <w:top w:val="none" w:sz="0" w:space="0" w:color="auto"/>
        <w:left w:val="none" w:sz="0" w:space="0" w:color="auto"/>
        <w:bottom w:val="none" w:sz="0" w:space="0" w:color="auto"/>
        <w:right w:val="none" w:sz="0" w:space="0" w:color="auto"/>
      </w:divBdr>
    </w:div>
    <w:div w:id="21455846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hsprogram.com/pubs/pdf/SPA17/SPA17.pdf%20Accessed%2015%20Feb%202026" TargetMode="External"/><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hyperlink" Target="https://doi.org/10.1007/s11205-019-02259-w"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knbs.or.ke/download/kenya-dhs-2022-main-report-volume-1/" TargetMode="External"/><Relationship Id="rId33" Type="http://schemas.openxmlformats.org/officeDocument/2006/relationships/hyperlink" Target="https://doi.org/10.1016/j.csda.2013.04.01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oi.org/10.3389/frhs.2022.7881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health.go.ke/sites/default/files/2024-01/Kenya%20Health%20Facility%20Census%20Report%20September%202023.pdf" TargetMode="External"/><Relationship Id="rId32" Type="http://schemas.openxmlformats.org/officeDocument/2006/relationships/hyperlink" Target="https://doi.org/10.1146/annurev-statistics-060116-054045" TargetMode="External"/><Relationship Id="rId37" Type="http://schemas.openxmlformats.org/officeDocument/2006/relationships/hyperlink" Target="https://doi.org/10.1007/s11749-020-00711-5"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guidelines.health.go.ke:8000/media/Kenya_Health_Sector_Strategic_Plan_July_2018-_June_2023.pdf" TargetMode="External"/><Relationship Id="rId28" Type="http://schemas.openxmlformats.org/officeDocument/2006/relationships/hyperlink" Target="https://doi.org/10.1371/journal.pone.0222488b" TargetMode="External"/><Relationship Id="rId36" Type="http://schemas.openxmlformats.org/officeDocument/2006/relationships/hyperlink" Target="https://doi.org/10.18637/jss.v063.i17"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doi.org/10.1038/s41597-023-0265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16/S2214-109X(17)30488-6" TargetMode="External"/><Relationship Id="rId27" Type="http://schemas.openxmlformats.org/officeDocument/2006/relationships/hyperlink" Target="https://statistics.knbs.or.ke/nada/index.php/catalog/95%20Accessed%2010%20Feb%202026" TargetMode="External"/><Relationship Id="rId30" Type="http://schemas.openxmlformats.org/officeDocument/2006/relationships/hyperlink" Target="https://doi.org/10.1016/j.afjem.2019.12.003" TargetMode="External"/><Relationship Id="rId35" Type="http://schemas.openxmlformats.org/officeDocument/2006/relationships/hyperlink" Target="https://doi.org/10.1080/13658816.2011.554838"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42DCE7-B56E-4936-93D2-2C235292D147}">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80370038687"/>
    <we:property name="MENDELEY_CITATIONS" value="[{&quot;citationID&quot;:&quot;MENDELEY_CITATION_f61ffd89-22a2-43e9-a52f-dd000bc9e2f5&quot;,&quot;properties&quot;:{&quot;noteIndex&quot;:0},&quot;isEdited&quot;:false,&quot;manualOverride&quot;:{&quot;isManuallyOverridden&quot;:false,&quot;citeprocText&quot;:&quot;[1]&quot;,&quot;manualOverrideText&quot;:&quot;&quot;},&quot;citationTag&quot;:&quot;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&quot;,&quot;citationItems&quot;:[{&quot;id&quot;:&quot;5315dc39-1c72-31fd-9bcc-4ba8c9e3e903&quot;,&quot;itemData&quot;:{&quot;type&quot;:&quot;article&quot;,&quot;id&quot;:&quot;5315dc39-1c72-31fd-9bcc-4ba8c9e3e903&quot;,&quot;title&quot;:&quot;Spatial access to Comprehensive Emergency Obstetric and Neonatal\nCare and its relationship to mortality at the regional level in\nsub-Saharan Africa and at a national level in Kenya&quot;,&quot;author&quot;:[{&quot;family&quot;:&quot;Ouma&quot;,&quot;given&quot;:&quot;Paul Elvis Onyango&quot;,&quot;parse-names&quot;:false,&quot;dropping-particle&quot;:&quot;&quot;,&quot;non-dropping-particle&quot;:&quot;&quot;}],&quot;issued&quot;:{&quot;date-parts&quot;:[[2020]]},&quot;abstract&quot;:&quot;Background: Geographic access to hospitals is a key determinant\nof health outcomes and is critical in achieving Universal Health\nCoverage. Hospitals are the entry points for provision of\ncomprehensive emergency obstetric and neonatal care. In\nsub-Saharan Africa where maternal and newborn deaths are\ndisproportionately higher than anywhere else, defining those who\nare marginalised from these services is critical in in efforts\nto reduce these deaths. This thesis aimed to define geographic\naccess to Comprehensive Emergency Obstetric and Neonatal Care\n(CEmONC) at a regional level in sub-Saharan Africa (SSA) and at\na national level in Kenya and relate these access quotients to\nmaternal and neonatal mortality. Methods: A spatial database of\npublic hospitals covering 48 countries and islands in SSA, was\nassembled using a range of sources from both national and\ninternational organizations. Based on a review of minimum\nessential services at first level referral hospitals, the\nassembled hospitals were assumed to provide CEmONC. These were\nthen used in a cost distance algorithm that adjusted for\nproximity to roads, to estimate the proportion of women of\nchildbearing age (WoCBA) living within two hours of the nearest\npublic hospital. The accessibility algorithm accounted for\ncomplexity in transportation derived from a review of transport\nspeeds to hospitals and different modes of transportation. The\nderived access quotients were then used to define the\nrelationship between access to hospitals and modelled estimates\nof both neonatal mortality rate per 1,000 livebirths (NMR) and\nmaternal mortality rate per 100,000 livebirths (MMR) while\ncontrolling for other confounding factors. Confounders chosen\nwere physician workforce density, poverty, adolescent-specific\nfertility, risk of catastrophic expenditure for surgery, the\nproportion of urban population and fragility. A country case\nstudy was then chosen to undertake a more exhaustive analysis of\ngeographic accessibility and its impact on the two outcomes.\nUsing Kenya as an example, service availability assessment was\ncarried out using different datasets to map hospitals that\nprovide services for caesarean section (CS) and very low\nbirthweight (VLBW) newborns. These were chosen as tracer\nservices for provision of CEmONC. A cost distance algorithm that\nadjusted for the proximity to roads, road condition, land use,\nelevation and rainfall patterns was developed to define\ngeographic accessibility to both services in Kenya. Lastly, an\nassessment of the relationship between access to CS and VLBW\nhospitals in Kenya with maternal and neonatal mortality\nrespectively was undertaken. Relationships were evaluated using\nmaternal mortality data from the 2009 census while the Equitable\nStrategies Save Lives Tool (EQUIST) tool was used to generate\nboth maternal and neonatal mortality. Results: 4908 public\nhospitals were mapped for the 48 countries. Accessibility\nresults showed that 704 million (71%) people and 164 million\n(72%) WoCBA were living within 2 hours of the nearest public\nhospital across, which varied from 22.8 in South Sudan to 97.4\nin Zanzibar. Only seventeen countries had more than 80% of\ntheir respective populations within 2 hours of a public\nhospital. In the continental level regression model, a 1%\nincrease in WoCBA within 2 hours was associated with a reduction\nof MMR by -2.75 (p=0.039) but was not significantly associated\nwith a reduction in NMR, with a coefficient of -0.01 (p=0.717).\nIn the Kenya accessibility analysis, 228 and 293 hospitals were\ndetermined to provide VLBW and CS services respectively, out of\na total 431 possible hospitals. Overall, 82% and 80% of the\nbirths needing CS and VLBW services respectively occurred within\n2 hours of the nearest hospital. Access to CS and VLBW services\nwas heterogenous and varied from 25.7 and 21.8% in Turkana to\n100% in Nairobi and Vihiga. Regression models that accounted\nfor confounders showed a 1% increase in access to CS hospitals\nwas associated with are reduction of MMR by -11.92 (p=0.018)\nusing census MMR and -3.81 (p=0.000) using the EQUIST MMR.\nFinally, using NMR output from the EQUIST model, increasing\naccess to VLBW hospitals was associated with a reduction of NMR\nby -0.24 (p=0.050). Thus, using the census outcome as an example\nsuggests that MMR in high burden counties of Mandera, Marsabit,\nTurkana and Wajir would reduce by 457, 452, 647 and 540 per\n100,000 livebirths respectively by ensuring all their livebirths\nuse hospitals within 2 hours. On the other hand, Samburu,\nTurkana and West Pokot counties can reduce their NMRs by\napproximately 12 deaths per 1,000 livebirths by ensuring all\nbirths are within two hours of a VLBW hospital. Conclusion:\nUnderstanding the distribution of hospitals and geographic\naccess to these services is critical in estimating the\nunderserved. At the continental level, geographic access is\nsignificantly associated with variation in MMR but not NMR.\nUsing Kenya as an example shows that accessibility models can be\nimproved by evaluating the services available in hospitals in\naddition to using improved data on covariates, thus allowing for\nbetter assessment of how access relates to mortality. As such,\nKenya can reduce MMR by 240.7 per 100,000 livebirths and NMR by\n5.2 per 1,000 livebirths by ensuring universal access to CS and\nVLBW hospitals. This highlights the importance of implementing\ninterventions that bridge geographic accessibility gaps,\nespecially in the marginalized populations across Africa.\nHowever, there are still challenges with availability and\nquality of hospital services data in addition to reliable data\non outcomes such as mortality and ultimately, improving the\nquantification of impact geographic access to hospitals on\nhealth outcomes will be dependent on improving data collection\ntools.&quot;,&quot;publisher&quot;:&quot;The Open University&quot;,&quot;container-title-short&quot;:&quot;&quot;},&quot;isTemporary&quot;:false}]},{&quot;citationID&quot;:&quot;MENDELEY_CITATION_7bfd452e-5346-4774-8d38-f1f463c363b3&quot;,&quot;properties&quot;:{&quot;noteIndex&quot;:0},&quot;isEdited&quot;:false,&quot;manualOverride&quot;:{&quot;isManuallyOverridden&quot;:false,&quot;citeprocText&quot;:&quot;[2]&quot;,&quot;manualOverrideText&quot;:&quot;&quot;},&quot;citationTag&quot;:&quot;MENDELEY_CITATION_v3_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&quot;,&quot;citationItems&quot;:[{&quot;id&quot;:&quot;bc6828d8-39a9-37df-8551-83fd995ee2bf&quot;,&quot;itemData&quot;:{&quot;type&quot;:&quot;report&quot;,&quot;id&quot;:&quot;bc6828d8-39a9-37df-8551-83fd995ee2bf&quot;,&quot;title&quot;:&quot;Kenya Health Sector Strategic Plan&quot;,&quot;author&quot;:[{&quot;family&quot;:&quot;MoH&quot;,&quot;given&quot;:&quot;&quot;,&quot;parse-names&quot;:false,&quot;dropping-particle&quot;:&quot;&quot;,&quot;non-dropping-particle&quot;:&quot;&quot;}],&quot;issued&quot;:{&quot;date-parts&quot;:[[2018]]},&quot;container-title-short&quot;:&quot;&quot;},&quot;isTemporary&quot;:false}]},{&quot;citationID&quot;:&quot;MENDELEY_CITATION_7d80a272-6044-4329-9d34-f3a711dc21f2&quot;,&quot;properties&quot;:{&quot;noteIndex&quot;:0},&quot;isEdited&quot;:false,&quot;manualOverride&quot;:{&quot;isManuallyOverridden&quot;:false,&quot;citeprocText&quot;:&quot;[3]&quot;,&quot;manualOverrideText&quot;:&quot;&quot;},&quot;citationTag&quot;:&quot;MENDELEY_CITATION_v3_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&quot;,&quot;citationItems&quot;:[{&quot;id&quot;:&quot;ffdeb5dc-8d26-3de8-b01c-16a4ff1d6ebe&quot;,&quot;itemData&quot;:{&quot;type&quot;:&quot;report&quot;,&quot;id&quot;:&quot;ffdeb5dc-8d26-3de8-b01c-16a4ff1d6ebe&quot;,&quot;title&quot;:&quot;Kenya health facility census report. &quot;,&quot;author&quot;:[{&quot;family&quot;:&quot;MoH&quot;,&quot;given&quot;:&quot;&quot;,&quot;parse-names&quot;:false,&quot;dropping-particle&quot;:&quot;&quot;,&quot;non-dropping-particle&quot;:&quot;&quot;}],&quot;issued&quot;:{&quot;date-parts&quot;:[[2023]]},&quot;container-title-short&quot;:&quot;&quot;},&quot;isTemporary&quot;:false}]},{&quot;citationID&quot;:&quot;MENDELEY_CITATION_53d456d5-9dcd-451c-981f-fef28826f964&quot;,&quot;properties&quot;:{&quot;noteIndex&quot;:0},&quot;isEdited&quot;:false,&quot;manualOverride&quot;:{&quot;isManuallyOverridden&quot;:false,&quot;citeprocText&quot;:&quot;[3]&quot;,&quot;manualOverrideText&quot;:&quot;&quot;},&quot;citationTag&quot;:&quot;MENDELEY_CITATION_v3_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&quot;,&quot;citationItems&quot;:[{&quot;id&quot;:&quot;ffdeb5dc-8d26-3de8-b01c-16a4ff1d6ebe&quot;,&quot;itemData&quot;:{&quot;type&quot;:&quot;report&quot;,&quot;id&quot;:&quot;ffdeb5dc-8d26-3de8-b01c-16a4ff1d6ebe&quot;,&quot;title&quot;:&quot;Kenya health facility census report. &quot;,&quot;author&quot;:[{&quot;family&quot;:&quot;MoH&quot;,&quot;given&quot;:&quot;&quot;,&quot;parse-names&quot;:false,&quot;dropping-particle&quot;:&quot;&quot;,&quot;non-dropping-particle&quot;:&quot;&quot;}],&quot;issued&quot;:{&quot;date-parts&quot;:[[2023]]},&quot;container-title-short&quot;:&quot;&quot;},&quot;isTemporary&quot;:false}]},{&quot;citationID&quot;:&quot;MENDELEY_CITATION_fb3b7859-e6e2-423e-85c1-f83df41fccde&quot;,&quot;properties&quot;:{&quot;noteIndex&quot;:0},&quot;isEdited&quot;:false,&quot;manualOverride&quot;:{&quot;isManuallyOverridden&quot;:false,&quot;citeprocText&quot;:&quot;[4]&quot;,&quot;manualOverrideText&quot;:&quot;&quot;},&quot;citationTag&quot;:&quot;MENDELEY_CITATION_v3_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&quot;,&quot;citationItems&quot;:[{&quot;id&quot;:&quot;4ff8a572-86e4-3ed8-b1c6-c58989ffc28a&quot;,&quot;itemData&quot;:{&quot;type&quot;:&quot;article&quot;,&quot;id&quot;:&quot;4ff8a572-86e4-3ed8-b1c6-c58989ffc28a&quot;,&quot;title&quot;:&quot;Kenya Demographic and Health Survey 2022: Volume 1&quot;,&quot;author&quot;:[{&quot;family&quot;:&quot;KNBS&quot;,&quot;given&quot;:&quot;&quot;,&quot;parse-names&quot;:false,&quot;dropping-particle&quot;:&quot;&quot;,&quot;non-dropping-particle&quot;:&quot;&quot;},{&quot;family&quot;:&quot;ICF&quot;,&quot;given&quot;:&quot;&quot;,&quot;parse-names&quot;:false,&quot;dropping-particle&quot;:&quot;&quot;,&quot;non-dropping-particle&quot;:&quot;&quot;}],&quot;URL&quot;:&quot;https://www.knbs.or.ke/download/kenya-dhs-2022-main-report-volume-1/&quot;,&quot;issued&quot;:{&quot;date-parts&quot;:[[2023]]},&quot;container-title-short&quot;:&quot;&quot;},&quot;isTemporary&quot;:false}]},{&quot;citationID&quot;:&quot;MENDELEY_CITATION_dc9f3e79-fec4-41f4-a856-0a4068ca9abd&quot;,&quot;properties&quot;:{&quot;noteIndex&quot;:0},&quot;isEdited&quot;:false,&quot;manualOverride&quot;:{&quot;isManuallyOverridden&quot;:false,&quot;citeprocText&quot;:&quot;[5]&quot;,&quot;manualOverrideText&quot;:&quot;&quot;},&quot;citationTag&quot;:&quot;MENDELEY_CITATION_v3_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&quot;,&quot;citationItems&quot;:[{&quot;id&quot;:&quot;579c91b2-00c4-3836-8838-8b440a222a35&quot;,&quot;itemData&quot;:{&quot;type&quot;:&quot;article-journal&quot;,&quot;id&quot;:&quot;579c91b2-00c4-3836-8838-8b440a222a35&quot;,&quot;title&quot;:&quot;Kenya Service Provision Assessment Survey 2010 [SPA17]&quot;,&quot;author&quot;:[{&quot;family&quot;:&quot;Services&quot;,&quot;given&quot;:&quot;Medical&quot;,&quot;parse-names&quot;:false,&quot;dropping-particle&quot;:&quot;&quot;,&quot;non-dropping-particle&quot;:&quot;&quot;},{&quot;family&quot;:&quot;Health&quot;,&quot;given&quot;:&quot;Public&quot;,&quot;parse-names&quot;:false,&quot;dropping-particle&quot;:&quot;&quot;,&quot;non-dropping-particle&quot;:&quot;&quot;},{&quot;family&quot;:&quot;Macro&quot;,&quot;given&quot;:&quot;I C F&quot;,&quot;parse-names&quot;:false,&quot;dropping-particle&quot;:&quot;&quot;,&quot;non-dropping-particle&quot;:&quot;&quot;}],&quot;container-title&quot;:&quot;Public Health&quot;,&quot;container-title-short&quot;:&quot;Public Health&quot;,&quot;issued&quot;:{&quot;date-parts&quot;:[[2010]]},&quot;abstract&quot;:&quot;Recommended citation: National Coordinating Agency for Population and Development (NCAPD) [Kenya], Ministry of Medical Services (MOMS) [Kenya], Ministry of Public Health and Sanitation (MOPHS) [Kenya], Kenya National Bureau of Statistics (KNBS) [Kenya], ICF Macro. 2011. Kenya Service Provision Assessment Survey 2010. Nairobi, Kenya: National Coordinating Agency for Population and Development, Ministry of Medical Services, Ministry of Public Health and Sanitation, Kenya National Bureau of Statistics, and ICF Macro. Cover&quot;},&quot;isTemporary&quot;:false}]},{&quot;citationID&quot;:&quot;MENDELEY_CITATION_7cdc2445-7655-4a34-a17c-4ae5e3291d56&quot;,&quot;properties&quot;:{&quot;noteIndex&quot;:0},&quot;isEdited&quot;:false,&quot;manualOverride&quot;:{&quot;isManuallyOverridden&quot;:false,&quot;citeprocText&quot;:&quot;[6]&quot;,&quot;manualOverrideText&quot;:&quot;&quot;},&quot;citationTag&quot;:&quot;MENDELEY_CITATION_v3_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&quot;,&quot;citationItems&quot;:[{&quot;id&quot;:&quot;f7c1c24d-ff27-38a6-909a-6e7a2b5064a7&quot;,&quot;itemData&quot;:{&quot;type&quot;:&quot;article-journal&quot;,&quot;id&quot;:&quot;f7c1c24d-ff27-38a6-909a-6e7a2b5064a7&quot;,&quot;title&quot;:&quot;KENYA HOUSEHOLD AND HEALTH EXPENDITURE AND UTILIZATION SURVEY (KHHEUS) 2018 REPORT&quot;,&quot;author&quot;:[{&quot;family&quot;:&quot;KNBS&quot;,&quot;given&quot;:&quot;&quot;,&quot;parse-names&quot;:false,&quot;dropping-particle&quot;:&quot;&quot;,&quot;non-dropping-particle&quot;:&quot;&quot;}],&quot;container-title&quot;:&quot;KENYA NATIONAL BUREAU OF STATISTICS (KNBS)&quot;,&quot;issued&quot;:{&quot;date-parts&quot;:[[2018]]},&quot;abstract&quot;:&quot;The 2018 Kenya Household Health Expenditure and Utilization Survey (KHHEUS) is the fourth in a series of similar national surveys undertaken in 2003, 2007 and 2013 that explores the health seeking behavior, utilization of health services, health spending and health insurance penetration amongst the population. The survey will provide necessary information for monitoring progress in achieving the UHC agenda the progress of Universal Health Care (UHC) which is one of the government's big four agenda.&quot;,&quot;issue&quot;:&quot;July&quot;,&quot;container-title-short&quot;:&quot;&quot;},&quot;isTemporary&quot;:false}]},{&quot;citationID&quot;:&quot;MENDELEY_CITATION_49fdf4f5-613c-4e81-ab2b-3fd21bc1e636&quot;,&quot;properties&quot;:{&quot;noteIndex&quot;:0},&quot;isEdited&quot;:false,&quot;manualOverride&quot;:{&quot;isManuallyOverridden&quot;:false,&quot;citeprocText&quot;:&quot;[7–10]&quot;,&quot;manualOverrideText&quot;:&quot;&quot;},&quot;citationTag&quot;:&quot;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&quot;,&quot;citationItems&quot;:[{&quot;id&quot;:&quot;b01119ab-ac97-3d5f-8a1d-c086665995b9&quot;,&quot;itemData&quot;:{&quot;type&quot;:&quot;article-journal&quot;,&quot;id&quot;:&quot;b01119ab-ac97-3d5f-8a1d-c086665995b9&quot;,&quot;title&quot;:&quot;Impact of traffic variability on geographic accessibility to 24/7 emergency healthcare for the urban poor: A GIS study in Dhaka,  Bangladesh&quot;,&quot;author&quot;:[{&quot;family&quot;:&quot;Ahmed&quot;,&quot;given&quot;:&quot;Shakil&quot;,&quot;parse-names&quot;:false,&quot;dropping-particle&quot;:&quot;&quot;,&quot;non-dropping-particle&quot;:&quot;&quot;},{&quot;family&quot;:&quot;Adams&quot;,&quot;given&quot;:&quot;Alayne M&quot;,&quot;parse-names&quot;:false,&quot;dropping-particle&quot;:&quot;&quot;,&quot;non-dropping-particle&quot;:&quot;&quot;},{&quot;family&quot;:&quot;Islam&quot;,&quot;given&quot;:&quot;Rubana&quot;,&quot;parse-names&quot;:false,&quot;dropping-particle&quot;:&quot;&quot;,&quot;non-dropping-particle&quot;:&quot;&quot;},{&quot;family&quot;:&quot;Hasan&quot;,&quot;given&quot;:&quot;Shaikh Mehdi&quot;,&quot;parse-names&quot;:false,&quot;dropping-particle&quot;:&quot;&quot;,&quot;non-dropping-particle&quot;:&quot;&quot;},{&quot;family&quot;:&quot;Panciera&quot;,&quot;given&quot;:&quot;Rocco&quot;,&quot;parse-names&quot;:false,&quot;dropping-particle&quot;:&quot;&quot;,&quot;non-dropping-particle&quot;:&quot;&quot;}],&quot;container-title&quot;:&quot;PLOS ONE&quot;,&quot;container-title-short&quot;:&quot;PLoS One&quot;,&quot;editor&quot;:[{&quot;family&quot;:&quot;Wilson&quot;,&quot;given&quot;:&quot;Fernando A&quot;,&quot;parse-names&quot;:false,&quot;dropping-particle&quot;:&quot;&quot;,&quot;non-dropping-particle&quot;:&quot;&quot;}],&quot;DOI&quot;:&quot;10.1371/journal.pone.0222488&quot;,&quot;ISSN&quot;:&quot;1932-6203&quot;,&quot;URL&quot;:&quot;http://dx.doi.org/10.1371/journal.pone.0222488&quot;,&quot;issued&quot;:{&quot;date-parts&quot;:[[2019,9]]},&quot;page&quot;:&quot;e0222488&quot;,&quot;publisher&quot;:&quot;Public Library of Science (PLoS)&quot;,&quot;issue&quot;:&quot;9&quot;,&quot;volume&quot;:&quot;14&quot;},&quot;isTemporary&quot;:false},{&quot;id&quot;:&quot;09f849b4-e63c-3645-aa4a-f9b3f3f3a0a8&quot;,&quot;itemData&quot;:{&quot;type&quot;:&quot;article-journal&quot;,&quot;id&quot;:&quot;09f849b4-e63c-3645-aa4a-f9b3f3f3a0a8&quot;,&quot;title&quot;:&quot;Impact of traffic congestion on spatial access to healthcare services in Nairobi&quot;,&quot;author&quot;:[{&quot;family&quot;:&quot;Mutono&quot;,&quot;given&quot;:&quot;Nyamai&quot;,&quot;parse-names&quot;:false,&quot;dropping-particle&quot;:&quot;&quot;,&quot;non-dropping-particle&quot;:&quot;&quot;},{&quot;family&quot;:&quot;Wright&quot;,&quot;given&quot;:&quot;Jim A.&quot;,&quot;parse-names&quot;:false,&quot;dropping-particle&quot;:&quot;&quot;,&quot;non-dropping-particle&quot;:&quot;&quot;},{&quot;family&quot;:&quot;Mutunga&quot;,&quot;given&quot;:&quot;Mumbua&quot;,&quot;parse-names&quot;:false,&quot;dropping-particle&quot;:&quot;&quot;,&quot;non-dropping-particle&quot;:&quot;&quot;},{&quot;family&quot;:&quot;Mutembei&quot;,&quot;given&quot;:&quot;Henry&quot;,&quot;parse-names&quot;:false,&quot;dropping-particle&quot;:&quot;&quot;,&quot;non-dropping-particle&quot;:&quot;&quot;},{&quot;family&quot;:&quot;Thumbi&quot;,&quot;given&quot;:&quot;S. M.&quot;,&quot;parse-names&quot;:false,&quot;dropping-particle&quot;:&quot;&quot;,&quot;non-dropping-particle&quot;:&quot;&quot;}],&quot;container-title&quot;:&quot;Frontiers in Health Services&quot;,&quot;DOI&quot;:&quot;10.3389/frhs.2022.788173&quot;,&quot;ISSN&quot;:&quot;28130146&quot;,&quot;issued&quot;:{&quot;date-parts&quot;:[[2022]]},&quot;abstract&quot;:&quot;Background: Geographic accessibility is an important determinant of healthcare utilization and is critical for achievement of universal health coverage. Despite the high disease burden and severe traffic congestion in many African cities, few studies have assessed how traffic congestion impacts geographical access to healthcare facilities and to health professionals in these settings. In this study, we assessed the impact of traffic congestion on access to healthcare facilities, and to the healthcare professionals across the healthcare facilities. Methods: Using data on health facilities obtained from the Ministry of Health in Kenya, we mapped 944 primary, 94 secondary and four tertiary healthcare facilities in Nairobi County. We then used traffic probe data to identify areas within a 15-, 30- and 45-min drive from each health facility during peak and off-peak hours and calculated the proportion of the population with access to healthcare in the County. We employed a 2-step floating catchment area model to calculate the ratio of healthcare and healthcare professionals to population during these times. Results: During peak hours, &lt;70% of Nairobi's 4.1 million population was within a 30-min drive from a health facility. This increased to &gt;75% during off-peak hours. In 45 min, the majority of the population had an accessibility index of one health facility accessible to more than 100 people (&lt;0.01) for primary health care facilities, one to 10,000 people for secondary facilities, and two health facilities per 100,000 people for tertiary health facilities. Of people with access to health facilities, a sub-optimal ratio of &lt;4.45 healthcare professionals per 1,000 people was observed in facilities offering primary and secondary healthcare during peak and off-peak hours. Conclusion: Our study shows access to healthcare being negatively impacted by traffic congestion, highlighting the need for multisectoral collaborations between urban planners, health sector and policymakers to optimize health access for the city residents. Additionally, growing availability of traffic probe data in African cities should enable similar analysis and understanding of healthcare access for city residents in other countries on the continent.&quot;,&quot;volume&quot;:&quot;2&quot;,&quot;container-title-short&quot;:&quot;&quot;},&quot;isTemporary&quot;:false},{&quot;id&quot;:&quot;0a03694e-573d-334d-840c-0171fbaef712&quot;,&quot;itemData&quot;:{&quot;type&quot;:&quot;article-journal&quot;,&quot;id&quot;:&quot;0a03694e-573d-334d-840c-0171fbaef712&quot;,&quot;title&quot;:&quot;Impact of traffic, poverty and facility ownership on travel time to emergency care in Nairobi, Kenya&quot;,&quot;author&quot;:[{&quot;family&quot;:&quot;Fraser&quot;,&quot;given&quot;:&quot;Maya S.&quot;,&quot;parse-names&quot;:false,&quot;dropping-particle&quot;:&quot;&quot;,&quot;non-dropping-particle&quot;:&quot;&quot;},{&quot;family&quot;:&quot;Wachira&quot;,&quot;given&quot;:&quot;Benjamin W.&quot;,&quot;parse-names&quot;:false,&quot;dropping-particle&quot;:&quot;&quot;,&quot;non-dropping-particle&quot;:&quot;&quot;},{&quot;family&quot;:&quot;Flaxman&quot;,&quot;given&quot;:&quot;Abraham D.&quot;,&quot;parse-names&quot;:false,&quot;dropping-particle&quot;:&quot;&quot;,&quot;non-dropping-particle&quot;:&quot;&quot;},{&quot;family&quot;:&quot;Lee&quot;,&quot;given&quot;:&quot;Aaron Y.&quot;,&quot;parse-names&quot;:false,&quot;dropping-particle&quot;:&quot;&quot;,&quot;non-dropping-particle&quot;:&quot;&quot;},{&quot;family&quot;:&quot;Duber&quot;,&quot;given&quot;:&quot;Herbert C.&quot;,&quot;parse-names&quot;:false,&quot;dropping-particle&quot;:&quot;&quot;,&quot;non-dropping-particle&quot;:&quot;&quot;}],&quot;container-title&quot;:&quot;African Journal of Emergency Medicine&quot;,&quot;DOI&quot;:&quot;10.1016/j.afjem.2019.12.003&quot;,&quot;ISSN&quot;:&quot;2211419X&quot;,&quot;issued&quot;:{&quot;date-parts&quot;:[[2020]]},&quot;abstract&quot;:&quot;Background: In many low and middle-income countries (LMICs), timely access to emergency healthcare services is limited. In urban settings, traffic can have a significant impact on travel time, leading to life-threatening delays for time-sensitive injuries and medical emergencies. In this study, we examined travel times to hospitals in Nairobi, Kenya, one of the largest and most congested cities in the developing world. Methods: We used a network approach to estimate average minimum travel times to different types of hospitals (e.g. ownership and level of care) in Nairobi under both congested and uncongested traffic conditions. We also examined the correlation between travel time and socioeconomic status. Results: We estimate the average minimum travel time during uncongested traffic conditions to any level 4 health facility (primary hospitals) or above in Nairobi to be 4.5 min (IQR 2.5–6.1). Traffic added an average of 9.0 min (a 200% increase). In uncongested conditions, we estimate an average travel time of 7.9 min (IQR 5.1–10.4) to level 5 facilities (secondary hospitals) and 11.6 min (IQR 8.5–14.2) to Kenyatta National Hospital, the only level 6 facility (tertiary hospital) in the country. Traffic congestion added an average of 13.1 and 16.0 min (166% and 138% increase) to travel times to level 5 and level 6 facilities, respectively. For individuals living below the poverty line, we estimate that preferential use of public or faith-based facilities could increase travel time by as much as 65%. Conclusion: Average travel times to health facilities capable of providing emergency care in Nairobi are quite low, but traffic congestion double or triple estimated travel times. Furthermore, we estimate significant disparities in timely access to care for those individuals living under the poverty line who preferentially seek care in public or faith-based facilities.&quot;,&quot;issue&quot;:&quot;1&quot;,&quot;volume&quot;:&quot;10&quot;,&quot;container-title-short&quot;:&quot;&quot;},&quot;isTemporary&quot;:false},{&quot;id&quot;:&quot;1342c19a-915d-3d39-a5b0-1ddd58e083c0&quot;,&quot;itemData&quot;:{&quot;type&quot;:&quot;article-journal&quot;,&quot;id&quot;:&quot;1342c19a-915d-3d39-a5b0-1ddd58e083c0&quot;,&quot;title&quot;:&quot;A geospatial database of close-to-reality travel times to obstetric emergency care in 15 Nigerian conurbations&quot;,&quot;author&quot;:[{&quot;family&quot;:&quot;Macharia&quot;,&quot;given&quot;:&quot;Peter M.&quot;,&quot;parse-names&quot;:false,&quot;dropping-particle&quot;:&quot;&quot;,&quot;non-dropping-particle&quot;:&quot;&quot;},{&quot;family&quot;:&quot;Wong&quot;,&quot;given&quot;:&quot;Kerry L.M.&quot;,&quot;parse-names&quot;:false,&quot;dropping-particle&quot;:&quot;&quot;,&quot;non-dropping-particle&quot;:&quot;&quot;},{&quot;family&quot;:&quot;Olubodun&quot;,&quot;given&quot;:&quot;Tope&quot;,&quot;parse-names&quot;:false,&quot;dropping-particle&quot;:&quot;&quot;,&quot;non-dropping-particle&quot;:&quot;&quot;},{&quot;family&quot;:&quot;Beňová&quot;,&quot;given&quot;:&quot;Lenka&quot;,&quot;parse-names&quot;:false,&quot;dropping-particle&quot;:&quot;&quot;,&quot;non-dropping-particle&quot;:&quot;&quot;},{&quot;family&quot;:&quot;Stanton&quot;,&quot;given&quot;:&quot;Charlotte&quot;,&quot;parse-names&quot;:false,&quot;dropping-particle&quot;:&quot;&quot;,&quot;non-dropping-particle&quot;:&quot;&quot;},{&quot;family&quot;:&quot;Sundararajan&quot;,&quot;given&quot;:&quot;Narayanan&quot;,&quot;parse-names&quot;:false,&quot;dropping-particle&quot;:&quot;&quot;,&quot;non-dropping-particle&quot;:&quot;&quot;},{&quot;family&quot;:&quot;Shah&quot;,&quot;given&quot;:&quot;Yash&quot;,&quot;parse-names&quot;:false,&quot;dropping-particle&quot;:&quot;&quot;,&quot;non-dropping-particle&quot;:&quot;&quot;},{&quot;family&quot;:&quot;Prasad&quot;,&quot;given&quot;:&quot;Gautam&quot;,&quot;parse-names&quot;:false,&quot;dropping-particle&quot;:&quot;&quot;,&quot;non-dropping-particle&quot;:&quot;&quot;},{&quot;family&quot;:&quot;Kansal&quot;,&quot;given&quot;:&quot;Mansi&quot;,&quot;parse-names&quot;:false,&quot;dropping-particle&quot;:&quot;&quot;,&quot;non-dropping-particle&quot;:&quot;&quot;},{&quot;family&quot;:&quot;Vispute&quot;,&quot;given&quot;:&quot;Swapnil&quot;,&quot;parse-names&quot;:false,&quot;dropping-particle&quot;:&quot;&quot;,&quot;non-dropping-particle&quot;:&quot;&quot;},{&quot;family&quot;:&quot;Shekel&quot;,&quot;given&quot;:&quot;Tomer&quot;,&quot;parse-names&quot;:false,&quot;dropping-particle&quot;:&quot;&quot;,&quot;non-dropping-particle&quot;:&quot;&quot;},{&quot;family&quot;:&quot;Gwacham-Anisiobi&quot;,&quot;given&quot;:&quot;Uchenna&quot;,&quot;parse-names&quot;:false,&quot;dropping-particle&quot;:&quot;&quot;,&quot;non-dropping-particle&quot;:&quot;&quot;},{&quot;family&quot;:&quot;Ogunyemi&quot;,&quot;given&quot;:&quot;Olakunmi&quot;,&quot;parse-names&quot;:false,&quot;dropping-particle&quot;:&quot;&quot;,&quot;non-dropping-particle&quot;:&quot;&quot;},{&quot;family&quot;:&quot;Wang&quot;,&quot;given&quot;:&quot;Jia&quot;,&quot;parse-names&quot;:false,&quot;dropping-particle&quot;:&quot;&quot;,&quot;non-dropping-particle&quot;:&quot;&quot;},{&quot;family&quot;:&quot;Abejirinde&quot;,&quot;given&quot;:&quot;Ibukun Oluwa Omolade&quot;,&quot;parse-names&quot;:false,&quot;dropping-particle&quot;:&quot;&quot;,&quot;non-dropping-particle&quot;:&quot;&quot;},{&quot;family&quot;:&quot;Makanga&quot;,&quot;given&quot;:&quot;Prestige Tatenda&quot;,&quot;parse-names&quot;:false,&quot;dropping-particle&quot;:&quot;&quot;,&quot;non-dropping-particle&quot;:&quot;&quot;},{&quot;family&quot;:&quot;Afolabi&quot;,&quot;given&quot;:&quot;Bosede B.&quot;,&quot;parse-names&quot;:false,&quot;dropping-particle&quot;:&quot;&quot;,&quot;non-dropping-particle&quot;:&quot;&quot;},{&quot;family&quot;:&quot;Banke-Thomas&quot;,&quot;given&quot;:&quot;Aduragbemi&quot;,&quot;parse-names&quot;:false,&quot;dropping-particle&quot;:&quot;&quot;,&quot;non-dropping-particle&quot;:&quot;&quot;}],&quot;container-title&quot;:&quot;Scientific Data&quot;,&quot;container-title-short&quot;:&quot;Sci. Data&quot;,&quot;DOI&quot;:&quot;10.1038/s41597-023-02651-9&quot;,&quot;ISSN&quot;:&quot;20524463&quot;,&quot;issued&quot;:{&quot;date-parts&quot;:[[2023]]},&quot;abstract&quot;:&quot;Travel time estimation accounting for on-the-ground realities between the location where a need for emergency obstetric care (EmOC) arises and the health facility capable of providing EmOC is essential for improving pregnancy outcomes. Current understanding of travel time to care is inadequate in many urban areas of Africa, where short distances obscure long travel times and travel times can vary by time of day and road conditions. Here, we describe a database of travel times to comprehensive EmOC facilities in the 15 most populated extended urban areas of Nigeria. The travel times from cells of approximately 0.6 × 0.6 km to facilities were derived from Google Maps Platform’s internal Directions Application Programming Interface, which incorporates traffic considerations to provide closer-to-reality travel time estimates. Computations were done to the first, second and third nearest public or private facilities. Travel time for eight traffic scenarios (including peak and non-peak periods) and number of facilities within specific time thresholds were estimated. The database offers a plethora of opportunities for research and planning towards improving EmOC accessibility.&quot;,&quot;issue&quot;:&quot;1&quot;,&quot;volume&quot;:&quot;10&quot;},&quot;isTemporary&quot;:false}]},{&quot;citationID&quot;:&quot;MENDELEY_CITATION_eb8513c5-19c6-41cf-a763-18bf206180b7&quot;,&quot;properties&quot;:{&quot;noteIndex&quot;:0},&quot;isEdited&quot;:false,&quot;manualOverride&quot;:{&quot;isManuallyOverridden&quot;:false,&quot;citeprocText&quot;:&quot;[11,12]&quot;,&quot;manualOverrideText&quot;:&quot;&quot;},&quot;citationItems&quot;:[{&quot;id&quot;:&quot;9a1bf599-3b1a-362a-ad65-23b080914bfa&quot;,&quot;itemData&quot;:{&quot;type&quot;:&quot;article-journal&quot;,&quot;id&quot;:&quot;9a1bf599-3b1a-362a-ad65-23b080914bfa&quot;,&quot;title&quot;:&quot;No Title&quot;,&quot;author&quot;:[{&quot;family&quot;:&quot;Ray&quot;,&quot;given&quot;:&quot;Nicolas&quot;,&quot;parse-names&quot;:false,&quot;dropping-particle&quot;:&quot;&quot;,&quot;non-dropping-particle&quot;:&quot;&quot;},{&quot;family&quot;:&quot;Ebener&quot;,&quot;given&quot;:&quot;Steeve&quot;,&quot;parse-names&quot;:false,&quot;dropping-particle&quot;:&quot;&quot;,&quot;non-dropping-particle&quot;:&quot;&quot;}],&quot;container-title&quot;:&quot;Int. J. Health Geogr.&quot;,&quot;issued&quot;:{&quot;date-parts&quot;:[[2008]]},&quot;page&quot;:&quot;63&quot;,&quot;language&quot;:&quot;en&quot;,&quot;abstract&quot;:&quot;BACKGROUND: Access to health care can be described along four\ndimensions: geographic accessibility, availability, financial\naccessibility and acceptability. Geographic accessibility\nmeasures how physically accessible resources are for the\npopulation, while availability reflects what resources are\navailable and in what amount. Combining these two types of\nmeasure into a single index provides a measure of geographic (or\nspatial) coverage, which is an important measure for assessing\nthe degree of accessibility of a health care network. RESULTS:\nThis paper describes the latest version of AccessMod, an\nextension to the Geographical Information System ArcView 3.x,\nand provides an example of application of this tool. AccessMod 3\nallows one to compute geographic coverage to health care using\nterrain information and population distribution. Four major\ntypes of analysis are available in AccessMod: (1) modeling the\ncoverage of catchment areas linked to an existing health\nfacility network based on travel time, to provide a measure of\nphysical accessibility to health care; (2) modeling geographic\ncoverage according to the availability of services; (3)\nprojecting the coverage of a scaling-up of an existing network;\n(4) providing information for cost effectiveness analysis when\nlittle information about the existing network is available. In\naddition to integrating travelling time, population distribution\nand the population coverage capacity specific to each health\nfacility in the network, AccessMod can incorporate the influence\nof landscape components (e.g. topography, river and road\nnetworks, vegetation) that impact travelling time to and from\nfacilities. Topographical constraints can be taken into account\nthrough an anisotropic analysis that considers the direction of\nmovement. We provide an example of the application of AccessMod\nin the southern part of Malawi that shows the influences of the\nlandscape constraints and of the modes of transportation on\ngeographic coverage. CONCLUSION: By incorporating the demand\n(population) and the supply (capacities of heath care centers),\nAccessMod provides a unifying tool to efficiently assess the\ngeographic coverage of a network of health care facilities. This\ntool should be of particular interest to developing countries\nthat have a relatively good geographic information on population\ndistribution, terrain, and health facility locations.&quot;,&quot;publisher&quot;:&quot;Springer Nature&quot;,&quot;issue&quot;:&quot;1&quot;,&quot;volume&quot;:&quot;7&quot;,&quot;container-title-short&quot;:&quot;&quot;},&quot;isTemporary&quot;:false},{&quot;id&quot;:&quot;c1888585-9703-30f7-877f-adf23d6a8d92&quot;,&quot;itemData&quot;:{&quot;type&quot;:&quot;article-journal&quot;,&quot;id&quot;:&quot;c1888585-9703-30f7-877f-adf23d6a8d92&quot;,&quot;title&quot;:&quot;Modelling geographical accessibility to urban centres in Kenya\nin 2019&quot;,&quot;author&quot;:[{&quot;family&quot;:&quot;Macharia&quot;,&quot;given&quot;:&quot;Peter M&quot;,&quot;parse-names&quot;:false,&quot;dropping-particle&quot;:&quot;&quot;,&quot;non-dropping-particle&quot;:&quot;&quot;},{&quot;family&quot;:&quot;Mumo&quot;,&quot;given&quot;:&quot;Eda&quot;,&quot;parse-names&quot;:false,&quot;dropping-particle&quot;:&quot;&quot;,&quot;non-dropping-particle&quot;:&quot;&quot;},{&quot;family&quot;:&quot;Okiro&quot;,&quot;given&quot;:&quot;Emelda A&quot;,&quot;parse-names&quot;:false,&quot;dropping-particle&quot;:&quot;&quot;,&quot;non-dropping-particle&quot;:&quot;&quot;}],&quot;container-title&quot;:&quot;PLoS One&quot;,&quot;container-title-short&quot;:&quot;PLoS One&quot;,&quot;issued&quot;:{&quot;date-parts&quot;:[[2021,5]]},&quot;page&quot;:&quot;e0251624&quot;,&quot;language&quot;:&quot;en&quot;,&quot;abstract&quot;:&quot;BACKGROUND: Access to major services, often located in urban\ncentres, is key to the realisation of numerous Sustainable\nDevelopment Goals (SDGs). In Kenya, there are no up-to-date and\nlocalised estimates of spatial access to urban centres. We\nestimate the travel time to urban centres and identify\nmarginalised populations for prioritisation and targeting.\nMETHODS: Urban centres were mapped from the 2019 Kenya\npopulation census and combined with spatial databases of road\nnetworks, elevation, land use and travel barriers within a\ncost-friction algorithm to compute travel time. Seven travel\nscenarios were considered: i) walking only (least optimistic),\nii) bicycle only, iii) motorcycle only, iv) vehicle only (most\noptimistic), v) walking followed by motorcycle transport, vi)\nwalking followed by vehicle transport, and vii) walking followed\nby motorcycle and then vehicle transport (most pragmatic). Mean\ntravel time, and proportion of the population within 1-hour and\n2-hours of the urban centres were summarized at sub-national\nunits (counties) used for devolved planning. Inequities were\nexplored and correlations between the proportion of the\npopulation within 1-hour of an urban centre and ten SDG\nindicators were computed. RESULTS: A total of 307 urban centres\nwere digitised. Nationally, the mean travel time was 4.5-hours\nfor the walking-only scenario, 1.0-hours for the vehicle only\n(most optimistic) scenario and 1.5-hours for the\nwalking-motorcycle-vehicle (most pragmatic) scenario. Forty-five\nper cent (21.3 million people) and 87% (41.6 million people) of\nKenya's population resided within 1-hour of the nearest urban\ncentre for the least optimistic and most pragmatic scenarios\nrespectively. Over 3.2 million people were considered\nmarginalised or living outside the 2-hour threshold in the\npragmatic scenario, 16.0 million Kenyans for walking only, and\n2.2 million for the most optimistic scenario. County-level\nspatial access was highly heterogeneous ranging between\n8%-100% and 32%-100% of people within the 1-hour threshold\nfor the least and most optimistic scenarios, respectively.\nCounties in northern and eastern parts of Kenya were generally\nmost marginalised. The correlation coefficients for nine SDG\nindicators ranged between 0.45 to 0.78 and were statistically\nsignificant. CONCLUSION: Travel time to urban centres in Kenya\nis heterogeneous. Therefore, marginalised populations should be\nprioritised during resource allocation and policies should be\nformulated to enhance equitable access to public services and\nopportunities in urban areas.&quot;,&quot;publisher&quot;:&quot;Public Library of Science (PLoS)&quot;,&quot;issue&quot;:&quot;5&quot;,&quot;volume&quot;:&quot;16&quot;},&quot;isTemporary&quot;:false}],&quot;citationTag&quot;:&quot;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&quot;},{&quot;citationID&quot;:&quot;MENDELEY_CITATION_108f55f6-c03f-48ee-bd8a-0d142e8c7427&quot;,&quot;properties&quot;:{&quot;noteIndex&quot;:0},&quot;isEdited&quot;:false,&quot;manualOverride&quot;:{&quot;isManuallyOverridden&quot;:false,&quot;citeprocText&quot;:&quot;[13–15]&quot;,&quot;manualOverrideText&quot;:&quot;&quot;},&quot;citationTag&quot;:&quot;MENDELEY_CITATION_v3_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&quot;,&quot;citationItems&quot;:[{&quot;id&quot;:&quot;5a2aaec9-525a-316e-aab0-16bc772b8c99&quot;,&quot;itemData&quot;:{&quot;type&quot;:&quot;report&quot;,&quot;id&quot;:&quot;5a2aaec9-525a-316e-aab0-16bc772b8c99&quot;,&quot;title&quot;:&quot;Approximate Bayesian inference for latent Gaussian models by using integrated nested Laplace approximations&quot;,&quot;author&quot;:[{&quot;family&quot;:&quot;Rue&quot;,&quot;given&quot;:&quot;Håvard&quot;,&quot;parse-names&quot;:false,&quot;dropping-particle&quot;:&quot;&quot;,&quot;non-dropping-particle&quot;:&quot;&quot;},{&quot;family&quot;:&quot;Martino&quot;,&quot;given&quot;:&quot;Sara&quot;,&quot;parse-names&quot;:false,&quot;dropping-particle&quot;:&quot;&quot;,&quot;non-dropping-particle&quot;:&quot;&quot;},{&quot;family&quot;:&quot;Chopin&quot;,&quot;given&quot;:&quot;Nicolas&quot;,&quot;parse-names&quot;:false,&quot;dropping-particle&quot;:&quot;&quot;,&quot;non-dropping-particle&quot;:&quot;&quot;}],&quot;container-title&quot;:&quot;J. R. Statist. Soc. B&quot;,&quot;issued&quot;:{&quot;date-parts&quot;:[[2009]]},&quot;number-of-pages&quot;:&quot;319-392&quot;,&quot;abstract&quot;:&quot;Structured additive regression models are perhaps the most commonly used class of models in statistical applications. It includes, among others, (generalized) linear models, (gener-alized) additive models, smoothing spline models, state space models, semiparametric regression , spatial and spatiotemporal models, log-Gaussian Cox processes and geostatistical and geoadditive models. We consider approximate Bayesian inference in a popular subset of struc-tured additive regression models, latent Gaussian models, where the latent field is Gaussian, controlled by a few hyperparameters and with non-Gaussian response variables. The posterior marginals are not available in closed form owing to the non-Gaussian response variables. For such models, Markov chain Monte Carlo methods can be implemented, but they are not without problems, in terms of both convergence and computational time. In some practical applications, the extent of these problems is such that Markov chain Monte Carlo sampling is simply not an appropriate tool for routine analysis. We show that, by using an integrated nested Laplace approximation and its simplified version, we can directly compute very accurate approximations to the posterior marginals. The main benefit of these approximations is computational: where Markov chain Monte Carlo algorithms need hours or days to run, our approximations provide more precise estimates in seconds or minutes. Another advantage with our approach is its generality , which makes it possible to perform Bayesian analysis in an automatic, streamlined way, and to compute model comparison criteria and various predictive measures so that models can be compared and the model under study can be challenged.&quot;,&quot;issue&quot;:&quot;2&quot;,&quot;volume&quot;:&quot;71&quot;,&quot;container-title-short&quot;:&quot;&quot;},&quot;isTemporary&quot;:false},{&quot;id&quot;:&quot;1b299ab1-07f0-3573-972f-9f923db6a0cd&quot;,&quot;itemData&quot;:{&quot;type&quot;:&quot;article-journal&quot;,&quot;id&quot;:&quot;1b299ab1-07f0-3573-972f-9f923db6a0cd&quot;,&quot;title&quot;:&quot;Bayesian Computing with INLA: A Review&quot;,&quot;author&quot;:[{&quot;family&quot;:&quot;Rue&quot;,&quot;given&quot;:&quot;Håvard&quot;,&quot;parse-names&quot;:false,&quot;dropping-particle&quot;:&quot;&quot;,&quot;non-dropping-particle&quot;:&quot;&quot;},{&quot;family&quot;:&quot;Riebler&quot;,&quot;given&quot;:&quot;Andrea&quot;,&quot;parse-names&quot;:false,&quot;dropping-particle&quot;:&quot;&quot;,&quot;non-dropping-particle&quot;:&quot;&quot;},{&quot;family&quot;:&quot;Sørbye&quot;,&quot;given&quot;:&quot;Sigrunn H&quot;,&quot;parse-names&quot;:false,&quot;dropping-particle&quot;:&quot;&quot;,&quot;non-dropping-particle&quot;:&quot;&quot;},{&quot;family&quot;:&quot;Illian&quot;,&quot;given&quot;:&quot;Janine B&quot;,&quot;parse-names&quot;:false,&quot;dropping-particle&quot;:&quot;&quot;,&quot;non-dropping-particle&quot;:&quot;&quot;},{&quot;family&quot;:&quot;Simpson&quot;,&quot;given&quot;:&quot;Daniel P&quot;,&quot;parse-names&quot;:false,&quot;dropping-particle&quot;:&quot;&quot;,&quot;non-dropping-particle&quot;:&quot;&quot;},{&quot;family&quot;:&quot;Lindgren&quot;,&quot;given&quot;:&quot;Finn K&quot;,&quot;parse-names&quot;:false,&quot;dropping-particle&quot;:&quot;&quot;,&quot;non-dropping-particle&quot;:&quot;&quot;}],&quot;container-title&quot;:&quot;Annual Review of Statistics and Its Application&quot;,&quot;container-title-short&quot;:&quot;Annu. Rev. Stat. Appl.&quot;,&quot;DOI&quot;:&quot;10.1146/annurev-statistics-060116-054045&quot;,&quot;ISSN&quot;:&quot;2326-831X&quot;,&quot;URL&quot;:&quot;http://dx.doi.org/10.1146/annurev-statistics-060116-054045&quot;,&quot;issued&quot;:{&quot;date-parts&quot;:[[2017,3]]},&quot;page&quot;:&quot;395-421&quot;,&quot;publisher&quot;:&quot;Annual Reviews&quot;,&quot;issue&quot;:&quot;1&quot;,&quot;volume&quot;:&quot;4&quot;},&quot;isTemporary&quot;:false},{&quot;id&quot;:&quot;f2a20d37-3522-37e8-ac77-aa4ecc7e537c&quot;,&quot;itemData&quot;:{&quot;type&quot;:&quot;article-journal&quot;,&quot;id&quot;:&quot;f2a20d37-3522-37e8-ac77-aa4ecc7e537c&quot;,&quot;title&quot;:&quot;Bayesian computing with INLA: New features&quot;,&quot;author&quot;:[{&quot;family&quot;:&quot;Martins&quot;,&quot;given&quot;:&quot;Thiago G&quot;,&quot;parse-names&quot;:false,&quot;dropping-particle&quot;:&quot;&quot;,&quot;non-dropping-particle&quot;:&quot;&quot;},{&quot;family&quot;:&quot;Simpson&quot;,&quot;given&quot;:&quot;Daniel&quot;,&quot;parse-names&quot;:false,&quot;dropping-particle&quot;:&quot;&quot;,&quot;non-dropping-particle&quot;:&quot;&quot;},{&quot;family&quot;:&quot;Lindgren&quot;,&quot;given&quot;:&quot;Finn&quot;,&quot;parse-names&quot;:false,&quot;dropping-particle&quot;:&quot;&quot;,&quot;non-dropping-particle&quot;:&quot;&quot;},{&quot;family&quot;:&quot;Rue&quot;,&quot;given&quot;:&quot;Håvard&quot;,&quot;parse-names&quot;:false,&quot;dropping-particle&quot;:&quot;&quot;,&quot;non-dropping-particle&quot;:&quot;&quot;}],&quot;container-title&quot;:&quot;Computational Statistics and Data Analysis&quot;,&quot;container-title-short&quot;:&quot;Comput. Stat. Data Anal.&quot;,&quot;DOI&quot;:&quot;10.1016/j.csda.2013.04.014&quot;,&quot;ISSN&quot;:&quot;0167-9473&quot;,&quot;URL&quot;:&quot;http://dx.doi.org/10.1016/j.csda.2013.04.014&quot;,&quot;issued&quot;:{&quot;date-parts&quot;:[[2013,11]]},&quot;page&quot;:&quot;68-83&quot;,&quot;publisher&quot;:&quot;Elsevier BV&quot;,&quot;volume&quot;:&quot;67&quot;},&quot;isTemporary&quot;:false}]},{&quot;citationID&quot;:&quot;MENDELEY_CITATION_f3a36937-b9bc-4de4-8a8d-1a00d473707b&quot;,&quot;properties&quot;:{&quot;noteIndex&quot;:0},&quot;isEdited&quot;:false,&quot;manualOverride&quot;:{&quot;isManuallyOverridden&quot;:false,&quot;citeprocText&quot;:&quot;[16]&quot;,&quot;manualOverrideText&quot;:&quot;&quot;},&quot;citationTag&quot;:&quot;MENDELEY_CITATION_v3_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&quot;,&quot;citationItems&quot;:[{&quot;id&quot;:&quot;d1a24e46-a69d-3fdb-8094-5e6aeecd8cc1&quot;,&quot;itemData&quot;:{&quot;type&quot;:&quot;book&quot;,&quot;id&quot;:&quot;d1a24e46-a69d-3fdb-8094-5e6aeecd8cc1&quot;,&quot;title&quot;:&quot;Introduction to geostatistics and variogram analysis&quot;,&quot;author&quot;:[{&quot;family&quot;:&quot;Bohling&quot;,&quot;given&quot;:&quot;Geoff&quot;,&quot;parse-names&quot;:false,&quot;dropping-particle&quot;:&quot;&quot;,&quot;non-dropping-particle&quot;:&quot;&quot;}],&quot;container-title&quot;:&quot;Earth&quot;,&quot;issued&quot;:{&quot;date-parts&quot;:[[2005]]},&quot;abstract&quot;:&quot;“Geostatistics: study of phenomena that vary in space and/or time” (Deutsch, 2002) “Geostatistics can be regarded as a collection of numerical techniques that deal with the characterization of spatial attributes, employing primarily random models in a manner similar to the way in which time series analysis characterizes temporal data.” (Olea, 1999) “Geostatistics offers a way of describing the spatial continuity of natural phenomena and provides adaptations of classical regression techniques to take advantage of this continuity.” (Isaaks and Srivastava, 1989) Geostatistics deals with spatially autocorrelated data. Autocorrelation: correlation between elements of a series and others from the same series separated from them by a given interval. (Oxford American Dictionary) Some spatially autocorrelated parameters of interest to reservoir engineers: facies, reservoir thickness, porosity, permeability&quot;,&quot;issue&quot;:&quot;October&quot;,&quot;container-title-short&quot;:&quot;&quot;},&quot;isTemporary&quot;:false}]},{&quot;citationID&quot;:&quot;MENDELEY_CITATION_f678844e-3af5-460e-827f-7253047786f2&quot;,&quot;properties&quot;:{&quot;noteIndex&quot;:0},&quot;isEdited&quot;:false,&quot;manualOverride&quot;:{&quot;isManuallyOverridden&quot;:false,&quot;citeprocText&quot;:&quot;[17]&quot;,&quot;manualOverrideText&quot;:&quot;&quot;},&quot;citationTag&quot;:&quot;MENDELEY_CITATION_v3_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&quot;,&quot;citationItems&quot;:[{&quot;id&quot;:&quot;c67e99cc-ab28-305e-816c-9a6624f1f530&quot;,&quot;itemData&quot;:{&quot;type&quot;:&quot;report&quot;,&quot;id&quot;:&quot;c67e99cc-ab28-305e-816c-9a6624f1f530&quot;,&quot;title&quot;:&quot;An explicit link between Gaussian fields and Gaussian Markov random fields: the stochastic partial differential equation approach&quot;,&quot;author&quot;:[{&quot;family&quot;:&quot;Lindgren&quot;,&quot;given&quot;:&quot;Finn&quot;,&quot;parse-names&quot;:false,&quot;dropping-particle&quot;:&quot;&quot;,&quot;non-dropping-particle&quot;:&quot;&quot;},{&quot;family&quot;:&quot;Rue&quot;,&quot;given&quot;:&quot;Håvard&quot;,&quot;parse-names&quot;:false,&quot;dropping-particle&quot;:&quot;&quot;,&quot;non-dropping-particle&quot;:&quot;&quot;},{&quot;family&quot;:&quot;Lindström&quot;,&quot;given&quot;:&quot;Johan&quot;,&quot;parse-names&quot;:false,&quot;dropping-particle&quot;:&quot;&quot;,&quot;non-dropping-particle&quot;:&quot;&quot;}],&quot;container-title&quot;:&quot;J. R. Statist. Soc. B&quot;,&quot;issued&quot;:{&quot;date-parts&quot;:[[2011]]},&quot;number-of-pages&quot;:&quot;423-498&quot;,&quot;abstract&quot;:&quot;Continuously indexed Gaussian fields (GFs) are the most important ingredient in spatial statistical modelling and geostatistics. The specification through the covariance function gives an intuitive interpretation of the field properties. On the computational side, GFs are hampered with the big n problem, since the cost of factorizing dense matrices is cubic in the dimension. Although computational power today is at an all time high, this fact seems still to be a computational bottleneck in many applications. Along with GFs, there is the class of Gauss-ian Markov random fields (GMRFs) which are discretely indexed. The Markov property makes the precision matrix involved sparse, which enables the use of numerical algorithms for sparse matrices, that for fields in R 2 only use the square root of the time required by general algorithms. The specification of a GMRF is through its full conditional distributions but its marginal properties are not transparent in such a parameterization. We show that, using an approximate stochastic weak solution to (linear) stochastic partial differential equations, we can, for some GFs in the Matérn class, provide an explicit link , for any triangulation of R d , between GFs and GMRFs, formulated as a basis function representation. The consequence is that we can take the best from the two worlds and do the modelling by using GFs but do the computations by using GMRFs. Perhaps more importantly, our approach generalizes to other covariance functions generated by SPDEs, including oscillating and non-stationary GFs, as well as GFs on manifolds. We illustrate our approach by analysing global temperature data with a non-stationary model defined on a sphere.&quot;,&quot;volume&quot;:&quot;73&quot;,&quot;container-title-short&quot;:&quot;&quot;},&quot;isTemporary&quot;:false}]},{&quot;citationID&quot;:&quot;MENDELEY_CITATION_e4110bc8-b315-4a56-8838-048ba2dc401d&quot;,&quot;properties&quot;:{&quot;noteIndex&quot;:0},&quot;isEdited&quot;:false,&quot;manualOverride&quot;:{&quot;isManuallyOverridden&quot;:false,&quot;citeprocText&quot;:&quot;[17]&quot;,&quot;manualOverrideText&quot;:&quot;&quot;},&quot;citationTag&quot;:&quot;MENDELEY_CITATION_v3_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&quot;,&quot;citationItems&quot;:[{&quot;id&quot;:&quot;c67e99cc-ab28-305e-816c-9a6624f1f530&quot;,&quot;itemData&quot;:{&quot;type&quot;:&quot;report&quot;,&quot;id&quot;:&quot;c67e99cc-ab28-305e-816c-9a6624f1f530&quot;,&quot;title&quot;:&quot;An explicit link between Gaussian fields and Gaussian Markov random fields: the stochastic partial differential equation approach&quot;,&quot;author&quot;:[{&quot;family&quot;:&quot;Lindgren&quot;,&quot;given&quot;:&quot;Finn&quot;,&quot;parse-names&quot;:false,&quot;dropping-particle&quot;:&quot;&quot;,&quot;non-dropping-particle&quot;:&quot;&quot;},{&quot;family&quot;:&quot;Rue&quot;,&quot;given&quot;:&quot;Håvard&quot;,&quot;parse-names&quot;:false,&quot;dropping-particle&quot;:&quot;&quot;,&quot;non-dropping-particle&quot;:&quot;&quot;},{&quot;family&quot;:&quot;Lindström&quot;,&quot;given&quot;:&quot;Johan&quot;,&quot;parse-names&quot;:false,&quot;dropping-particle&quot;:&quot;&quot;,&quot;non-dropping-particle&quot;:&quot;&quot;}],&quot;container-title&quot;:&quot;J. R. Statist. Soc. B&quot;,&quot;issued&quot;:{&quot;date-parts&quot;:[[2011]]},&quot;number-of-pages&quot;:&quot;423-498&quot;,&quot;abstract&quot;:&quot;Continuously indexed Gaussian fields (GFs) are the most important ingredient in spatial statistical modelling and geostatistics. The specification through the covariance function gives an intuitive interpretation of the field properties. On the computational side, GFs are hampered with the big n problem, since the cost of factorizing dense matrices is cubic in the dimension. Although computational power today is at an all time high, this fact seems still to be a computational bottleneck in many applications. Along with GFs, there is the class of Gauss-ian Markov random fields (GMRFs) which are discretely indexed. The Markov property makes the precision matrix involved sparse, which enables the use of numerical algorithms for sparse matrices, that for fields in R 2 only use the square root of the time required by general algorithms. The specification of a GMRF is through its full conditional distributions but its marginal properties are not transparent in such a parameterization. We show that, using an approximate stochastic weak solution to (linear) stochastic partial differential equations, we can, for some GFs in the Matérn class, provide an explicit link , for any triangulation of R d , between GFs and GMRFs, formulated as a basis function representation. The consequence is that we can take the best from the two worlds and do the modelling by using GFs but do the computations by using GMRFs. Perhaps more importantly, our approach generalizes to other covariance functions generated by SPDEs, including oscillating and non-stationary GFs, as well as GFs on manifolds. We illustrate our approach by analysing global temperature data with a non-stationary model defined on a sphere.&quot;,&quot;volume&quot;:&quot;73&quot;,&quot;container-title-short&quot;:&quot;&quot;},&quot;isTemporary&quot;:false}]},{&quot;citationID&quot;:&quot;MENDELEY_CITATION_86d46dba-ae5e-4e60-a682-62ed0444c82c&quot;,&quot;properties&quot;:{&quot;noteIndex&quot;:0},&quot;isEdited&quot;:false,&quot;manualOverride&quot;:{&quot;isManuallyOverridden&quot;:false,&quot;citeprocText&quot;:&quot;[18]&quot;,&quot;manualOverrideText&quot;:&quot;&quot;},&quot;citationTag&quot;:&quot;MENDELEY_CITATION_v3_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&quot;,&quot;citationItems&quot;:[{&quot;id&quot;:&quot;6d5201f5-bec2-3d7d-9591-7af74aa81ad1&quot;,&quot;itemData&quot;:{&quot;type&quot;:&quot;article-journal&quot;,&quot;id&quot;:&quot;6d5201f5-bec2-3d7d-9591-7af74aa81ad1&quot;,&quot;title&quot;:&quot;Constructing Priors that Penalize the Complexity of Gaussian Random Fields&quot;,&quot;author&quot;:[{&quot;family&quot;:&quot;Fuglstad&quot;,&quot;given&quot;:&quot;Geir Arne&quot;,&quot;parse-names&quot;:false,&quot;dropping-particle&quot;:&quot;&quot;,&quot;non-dropping-particle&quot;:&quot;&quot;},{&quot;family&quot;:&quot;Simpson&quot;,&quot;given&quot;:&quot;Daniel&quot;,&quot;parse-names&quot;:false,&quot;dropping-particle&quot;:&quot;&quot;,&quot;non-dropping-particle&quot;:&quot;&quot;},{&quot;family&quot;:&quot;Lindgren&quot;,&quot;given&quot;:&quot;Finn&quot;,&quot;parse-names&quot;:false,&quot;dropping-particle&quot;:&quot;&quot;,&quot;non-dropping-particle&quot;:&quot;&quot;},{&quot;family&quot;:&quot;Rue&quot;,&quot;given&quot;:&quot;Håvard&quot;,&quot;parse-names&quot;:false,&quot;dropping-particle&quot;:&quot;&quot;,&quot;non-dropping-particle&quot;:&quot;&quot;}],&quot;container-title&quot;:&quot;Journal of the American Statistical Association&quot;,&quot;container-title-short&quot;:&quot;J. Am. Stat. Assoc.&quot;,&quot;DOI&quot;:&quot;10.1080/01621459.2017.1415907&quot;,&quot;ISSN&quot;:&quot;1537274X&quot;,&quot;issued&quot;:{&quot;date-parts&quot;:[[2019]]},&quot;abstract&quot;:&quot;Priors are important for achieving proper posteriors with physically meaningful covariance structures for Gaussian random fields (GRFs) since the likelihood typically only provides limited information about the covariance structure under in-fill asymptotics. We extend the recent penalized complexity prior framework and develop a principled joint prior for the range and the marginal variance of one-dimensional, two-dimensional, and three-dimensional Matérn GRFs with fixed smoothness. The prior is weakly informative and penalizes complexity by shrinking the range toward infinity and the marginal variance toward zero. We propose guidelines for selecting the hyperparameters, and a simulation study shows that the new prior provides a principled alternative to reference priors that can leverage prior knowledge to achieve shorter credible intervals while maintaining good coverage. We extend the prior to a nonstationary GRF parameterized through local ranges and marginal standard deviations, and introduce a scheme for selecting the hyperparameters based on the coverage of the parameters when fitting simulated stationary data. The approach is applied to a dataset of annual precipitation in southern Norway and the scheme for selecting the hyperparameters leads to conservative estimates of nonstationarity and improved predictive performance over the stationary model. Supplementary materials for this article are available online.&quot;,&quot;issue&quot;:&quot;525&quot;,&quot;volume&quot;:&quot;114&quot;},&quot;isTemporary&quot;:false}]},{&quot;citationID&quot;:&quot;MENDELEY_CITATION_63d8ee55-af82-40cc-8f3a-dcb741dc8d06&quot;,&quot;properties&quot;:{&quot;noteIndex&quot;:0},&quot;isEdited&quot;:false,&quot;manualOverride&quot;:{&quot;isManuallyOverridden&quot;:false,&quot;citeprocText&quot;:&quot;[19]&quot;,&quot;manualOverrideText&quot;:&quot;&quot;},&quot;citationTag&quot;:&quot;MENDELEY_CITATION_v3_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&quot;,&quot;citationItems&quot;:[{&quot;id&quot;:&quot;3ff9a129-4893-39ef-b26b-e8f7dad5c9a7&quot;,&quot;itemData&quot;:{&quot;type&quot;:&quot;article-journal&quot;,&quot;id&quot;:&quot;3ff9a129-4893-39ef-b26b-e8f7dad5c9a7&quot;,&quot;title&quot;:&quot;Robust Distribution-Based Winsorization in Composite Indicators Construction&quot;,&quot;author&quot;:[{&quot;family&quot;:&quot;Boudt&quot;,&quot;given&quot;:&quot;Kris&quot;,&quot;parse-names&quot;:false,&quot;dropping-particle&quot;:&quot;&quot;,&quot;non-dropping-particle&quot;:&quot;&quot;},{&quot;family&quot;:&quot;Todorov&quot;,&quot;given&quot;:&quot;Valentin&quot;,&quot;parse-names&quot;:false,&quot;dropping-particle&quot;:&quot;&quot;,&quot;non-dropping-particle&quot;:&quot;&quot;},{&quot;family&quot;:&quot;Wang&quot;,&quot;given&quot;:&quot;Wenjing&quot;,&quot;parse-names&quot;:false,&quot;dropping-particle&quot;:&quot;&quot;,&quot;non-dropping-particle&quot;:&quot;&quot;}],&quot;container-title&quot;:&quot;Social Indicators Research&quot;,&quot;container-title-short&quot;:&quot;Soc. Indic. Res.&quot;,&quot;DOI&quot;:&quot;10.1007/s11205-019-02259-w&quot;,&quot;ISSN&quot;:&quot;15730921&quot;,&quot;issued&quot;:{&quot;date-parts&quot;:[[2020,6,1]]},&quot;page&quot;:&quot;375-397&quot;,&quot;abstract&quot;:&quot;Composite indicators are widely used to determine the ranking of countries, organizations or individuals in terms of overall performance on multiple criteria. Their calculation requires standardization of the individual statistical criteria and aggregation of the standardized indicators. These operations introduce a potential propagation effect of extreme values on the calculation of the composite indicator of all entities. In this paper, we propose robust composite indicators for which this propagation effect is limited. The approach uses winsorization based on a robust estimate of the distribution of the sub-indicators. It is designed such that the winsorization affects only the composite indicator rank but has no effect on the entities ranking in each sub-indicator. The simulation study documents the benefits of distribution-based winsorization in the presence of outliers. It leads to a ranking that is closer to the clean data ranking when compared to the ranking obtained using either no winsorization or the traditional winsorization based on empirical quantiles. In the empirical application, we illustrate the use of winsorization for ranking countries based on the United Nations Industrial Development Organization’s Competitive Industrial Performance index. We show that even though the sub-indicator ranking does not change, the robust winsorization approach has a material impact on the ranking of the composite indicator for countries with large discrepancies in the scores of the sub-indicators.&quot;,&quot;publisher&quot;:&quot;Springer&quot;,&quot;issue&quot;:&quot;2&quot;,&quot;volume&quot;:&quot;149&quot;},&quot;isTemporary&quot;:false}]},{&quot;citationID&quot;:&quot;MENDELEY_CITATION_1c5cad8b-7448-4f04-8bd6-ba3fe26bb5a3&quot;,&quot;properties&quot;:{&quot;noteIndex&quot;:0},&quot;isEdited&quot;:false,&quot;manualOverride&quot;:{&quot;isManuallyOverridden&quot;:false,&quot;citeprocText&quot;:&quot;[19]&quot;,&quot;manualOverrideText&quot;:&quot;&quot;},&quot;citationTag&quot;:&quot;MENDELEY_CITATION_v3_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&quot;,&quot;citationItems&quot;:[{&quot;id&quot;:&quot;3ff9a129-4893-39ef-b26b-e8f7dad5c9a7&quot;,&quot;itemData&quot;:{&quot;type&quot;:&quot;article-journal&quot;,&quot;id&quot;:&quot;3ff9a129-4893-39ef-b26b-e8f7dad5c9a7&quot;,&quot;title&quot;:&quot;Robust Distribution-Based Winsorization in Composite Indicators Construction&quot;,&quot;author&quot;:[{&quot;family&quot;:&quot;Boudt&quot;,&quot;given&quot;:&quot;Kris&quot;,&quot;parse-names&quot;:false,&quot;dropping-particle&quot;:&quot;&quot;,&quot;non-dropping-particle&quot;:&quot;&quot;},{&quot;family&quot;:&quot;Todorov&quot;,&quot;given&quot;:&quot;Valentin&quot;,&quot;parse-names&quot;:false,&quot;dropping-particle&quot;:&quot;&quot;,&quot;non-dropping-particle&quot;:&quot;&quot;},{&quot;family&quot;:&quot;Wang&quot;,&quot;given&quot;:&quot;Wenjing&quot;,&quot;parse-names&quot;:false,&quot;dropping-particle&quot;:&quot;&quot;,&quot;non-dropping-particle&quot;:&quot;&quot;}],&quot;container-title&quot;:&quot;Social Indicators Research&quot;,&quot;container-title-short&quot;:&quot;Soc. Indic. Res.&quot;,&quot;DOI&quot;:&quot;10.1007/s11205-019-02259-w&quot;,&quot;ISSN&quot;:&quot;15730921&quot;,&quot;issued&quot;:{&quot;date-parts&quot;:[[2020,6,1]]},&quot;page&quot;:&quot;375-397&quot;,&quot;abstract&quot;:&quot;Composite indicators are widely used to determine the ranking of countries, organizations or individuals in terms of overall performance on multiple criteria. Their calculation requires standardization of the individual statistical criteria and aggregation of the standardized indicators. These operations introduce a potential propagation effect of extreme values on the calculation of the composite indicator of all entities. In this paper, we propose robust composite indicators for which this propagation effect is limited. The approach uses winsorization based on a robust estimate of the distribution of the sub-indicators. It is designed such that the winsorization affects only the composite indicator rank but has no effect on the entities ranking in each sub-indicator. The simulation study documents the benefits of distribution-based winsorization in the presence of outliers. It leads to a ranking that is closer to the clean data ranking when compared to the ranking obtained using either no winsorization or the traditional winsorization based on empirical quantiles. In the empirical application, we illustrate the use of winsorization for ranking countries based on the United Nations Industrial Development Organization’s Competitive Industrial Performance index. We show that even though the sub-indicator ranking does not change, the robust winsorization approach has a material impact on the ranking of the composite indicator for countries with large discrepancies in the scores of the sub-indicators.&quot;,&quot;publisher&quot;:&quot;Springer&quot;,&quot;issue&quot;:&quot;2&quot;,&quot;volume&quot;:&quot;149&quot;},&quot;isTemporary&quot;:false}]},{&quot;citationID&quot;:&quot;MENDELEY_CITATION_f1d114fd-f178-445d-94e7-1974706288a4&quot;,&quot;properties&quot;:{&quot;noteIndex&quot;:0},&quot;isEdited&quot;:false,&quot;manualOverride&quot;:{&quot;isManuallyOverridden&quot;:false,&quot;citeprocText&quot;:&quot;[20]&quot;,&quot;manualOverrideText&quot;:&quot;&quot;},&quot;citationTag&quot;:&quot;MENDELEY_CITATION_v3_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&quot;,&quot;citationItems&quot;:[{&quot;id&quot;:&quot;93a67a86-f4bc-32df-93d1-896e08456ad8&quot;,&quot;itemData&quot;:{&quot;type&quot;:&quot;article-journal&quot;,&quot;id&quot;:&quot;93a67a86-f4bc-32df-93d1-896e08456ad8&quot;,&quot;title&quot;:&quot;Geographically weighted principal components analysis&quot;,&quot;author&quot;:[{&quot;family&quot;:&quot;Harris&quot;,&quot;given&quot;:&quot;Paul&quot;,&quot;parse-names&quot;:false,&quot;dropping-particle&quot;:&quot;&quot;,&quot;non-dropping-particle&quot;:&quot;&quot;},{&quot;family&quot;:&quot;Brunsdon&quot;,&quot;given&quot;:&quot;Chris&quot;,&quot;parse-names&quot;:false,&quot;dropping-particle&quot;:&quot;&quot;,&quot;non-dropping-particle&quot;:&quot;&quot;},{&quot;family&quot;:&quot;Charlton&quot;,&quot;given&quot;:&quot;Martin&quot;,&quot;parse-names&quot;:false,&quot;dropping-particle&quot;:&quot;&quot;,&quot;non-dropping-particle&quot;:&quot;&quot;}],&quot;container-title&quot;:&quot;International Journal of Geographical Information Science&quot;,&quot;DOI&quot;:&quot;10.1080/13658816.2011.554838&quot;,&quot;ISSN&quot;:&quot;13658816&quot;,&quot;issued&quot;:{&quot;date-parts&quot;:[[2011]]},&quot;abstract&quot;:&quot;Principal components analysis (PCA) is a widely used technique in the social and physical sciences. However in spatial applications, standard PCA is frequently applied without any adaptation that accounts for important spatial effects. Such a naive application can be problematic as such effects often provide a more complete understanding of a given process. In this respect, standard PCA can be (a) replaced with a geographically weighted PCA (GWPCA), when we want to account for a certain spatial heterogeneity; (b) adapted to account for spatial autocorrelation in the spatial process; or (c) adapted with a specification that represents a mixture of both (a) and (b). In this article, we focus on implementation issues concerning the calibration, testing, interpretation and visualisation of the location-specific principal components from GWPCA. Here we initially consider the basics of (global) principal components, then consider the development of a locally weighted PCA (for the exploration of local subsets in attribute-space) and finally GWPCA. As an illustration of the use of GWPCA (with respect to the implementation issues we investigate), we apply this technique to a study of social structure in Greater Dublin, Ireland. © 2011 Taylor &amp; Francis.&quot;,&quot;issue&quot;:&quot;10&quot;,&quot;volume&quot;:&quot;25&quot;,&quot;container-title-short&quot;:&quot;&quot;},&quot;isTemporary&quot;:false}]},{&quot;citationID&quot;:&quot;MENDELEY_CITATION_13e88229-62dd-4575-88e2-e7096f544254&quot;,&quot;properties&quot;:{&quot;noteIndex&quot;:0},&quot;isEdited&quot;:false,&quot;manualOverride&quot;:{&quot;isManuallyOverridden&quot;:false,&quot;citeprocText&quot;:&quot;[20,21]&quot;,&quot;manualOverrideText&quot;:&quot;&quot;},&quot;citationTag&quot;:&quot;MENDELEY_CITATION_v3_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&quot;,&quot;citationItems&quot;:[{&quot;id&quot;:&quot;93a67a86-f4bc-32df-93d1-896e08456ad8&quot;,&quot;itemData&quot;:{&quot;type&quot;:&quot;article-journal&quot;,&quot;id&quot;:&quot;93a67a86-f4bc-32df-93d1-896e08456ad8&quot;,&quot;title&quot;:&quot;Geographically weighted principal components analysis&quot;,&quot;author&quot;:[{&quot;family&quot;:&quot;Harris&quot;,&quot;given&quot;:&quot;Paul&quot;,&quot;parse-names&quot;:false,&quot;dropping-particle&quot;:&quot;&quot;,&quot;non-dropping-particle&quot;:&quot;&quot;},{&quot;family&quot;:&quot;Brunsdon&quot;,&quot;given&quot;:&quot;Chris&quot;,&quot;parse-names&quot;:false,&quot;dropping-particle&quot;:&quot;&quot;,&quot;non-dropping-particle&quot;:&quot;&quot;},{&quot;family&quot;:&quot;Charlton&quot;,&quot;given&quot;:&quot;Martin&quot;,&quot;parse-names&quot;:false,&quot;dropping-particle&quot;:&quot;&quot;,&quot;non-dropping-particle&quot;:&quot;&quot;}],&quot;container-title&quot;:&quot;International Journal of Geographical Information Science&quot;,&quot;DOI&quot;:&quot;10.1080/13658816.2011.554838&quot;,&quot;ISSN&quot;:&quot;13658816&quot;,&quot;issued&quot;:{&quot;date-parts&quot;:[[2011]]},&quot;abstract&quot;:&quot;Principal components analysis (PCA) is a widely used technique in the social and physical sciences. However in spatial applications, standard PCA is frequently applied without any adaptation that accounts for important spatial effects. Such a naive application can be problematic as such effects often provide a more complete understanding of a given process. In this respect, standard PCA can be (a) replaced with a geographically weighted PCA (GWPCA), when we want to account for a certain spatial heterogeneity; (b) adapted to account for spatial autocorrelation in the spatial process; or (c) adapted with a specification that represents a mixture of both (a) and (b). In this article, we focus on implementation issues concerning the calibration, testing, interpretation and visualisation of the location-specific principal components from GWPCA. Here we initially consider the basics of (global) principal components, then consider the development of a locally weighted PCA (for the exploration of local subsets in attribute-space) and finally GWPCA. As an illustration of the use of GWPCA (with respect to the implementation issues we investigate), we apply this technique to a study of social structure in Greater Dublin, Ireland. © 2011 Taylor &amp; Francis.&quot;,&quot;issue&quot;:&quot;10&quot;,&quot;volume&quot;:&quot;25&quot;,&quot;container-title-short&quot;:&quot;&quot;},&quot;isTemporary&quot;:false},{&quot;id&quot;:&quot;254e8303-db31-30be-a1b4-30bbd353a6ac&quot;,&quot;itemData&quot;:{&quot;type&quot;:&quot;article-journal&quot;,&quot;id&quot;:&quot;254e8303-db31-30be-a1b4-30bbd353a6ac&quot;,&quot;title&quot;:&quot;Enhancements to a geographically weighted principal component analysis in the context of an application to an environmental data set&quot;,&quot;author&quot;:[{&quot;family&quot;:&quot;Harris&quot;,&quot;given&quot;:&quot;Paul&quot;,&quot;parse-names&quot;:false,&quot;dropping-particle&quot;:&quot;&quot;,&quot;non-dropping-particle&quot;:&quot;&quot;},{&quot;family&quot;:&quot;Clarke&quot;,&quot;given&quot;:&quot;Annemarie&quot;,&quot;parse-names&quot;:false,&quot;dropping-particle&quot;:&quot;&quot;,&quot;non-dropping-particle&quot;:&quot;&quot;},{&quot;family&quot;:&quot;Juggins&quot;,&quot;given&quot;:&quot;Steve&quot;,&quot;parse-names&quot;:false,&quot;dropping-particle&quot;:&quot;&quot;,&quot;non-dropping-particle&quot;:&quot;&quot;},{&quot;family&quot;:&quot;Brunsdon&quot;,&quot;given&quot;:&quot;Chris&quot;,&quot;parse-names&quot;:false,&quot;dropping-particle&quot;:&quot;&quot;,&quot;non-dropping-particle&quot;:&quot;&quot;},{&quot;family&quot;:&quot;Charlton&quot;,&quot;given&quot;:&quot;Martin&quot;,&quot;parse-names&quot;:false,&quot;dropping-particle&quot;:&quot;&quot;,&quot;non-dropping-particle&quot;:&quot;&quot;}],&quot;container-title&quot;:&quot;Geographical Analysis&quot;,&quot;container-title-short&quot;:&quot;Geogr. Anal.&quot;,&quot;DOI&quot;:&quot;10.1111/gean.12048&quot;,&quot;ISSN&quot;:&quot;15384632&quot;,&quot;issued&quot;:{&quot;date-parts&quot;:[[2015]]},&quot;abstract&quot;:&quot;In many physical geography settings, principal component analysis (PCA) is applied without consideration for important spatial effects, and in doing so, tends to provide an incomplete understanding of a given process. In such circumstances, a spatial adaptation of PCA can be adopted, and to this end, this study focuses on the use of geographically weighted principal component analysis (GWPCA). GWPCA is a localized version of PCA that is an appropriate exploratory tool when a need exists to investigate for a certain spatial heterogeneity in the structure of a multivariate data set. This study provides enhancements to GWPCA with respect to: (i) finding the scale at which each localized PCA should operate; and (ii) visualizing the copious amounts of output that result from its application. An extension of GWPCA is also proposed, where it is used to detect multivariate spatial outliers. These advancements in GWPCA are demonstrated using an environmental freshwater chemistry data set, where a commentary on the use of preprocessed (transformed and standardized) data is also presented. The study is structured as follows: (1) the GWPCA methodology; (2) a description of the case study data; (3) the GWPCA application, demonstrating the value of the proposed advancements; and (4) conclusions. Most GWPCA functions have been incorporated within the GWmodel R package.&quot;,&quot;issue&quot;:&quot;2&quot;,&quot;volume&quot;:&quot;47&quot;},&quot;isTemporary&quot;:false}]},{&quot;citationID&quot;:&quot;MENDELEY_CITATION_185647ef-6f8d-425d-8805-2f66f361ab8a&quot;,&quot;properties&quot;:{&quot;noteIndex&quot;:0},&quot;isEdited&quot;:false,&quot;manualOverride&quot;:{&quot;isManuallyOverridden&quot;:false,&quot;citeprocText&quot;:&quot;[22]&quot;,&quot;manualOverrideText&quot;:&quot;&quot;},&quot;citationTag&quot;:&quot;MENDELEY_CITATION_v3_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&quot;,&quot;citationItems&quot;:[{&quot;id&quot;:&quot;37fb510c-0229-3fa9-a3a9-a030128c920c&quot;,&quot;itemData&quot;:{&quot;type&quot;:&quot;article-journal&quot;,&quot;id&quot;:&quot;37fb510c-0229-3fa9-a3a9-a030128c920c&quot;,&quot;title&quot;:&quot;Gwmodel: An R package for exploring spatial heterogeneity using geographically weighted models&quot;,&quot;author&quot;:[{&quot;family&quot;:&quot;Gollini&quot;,&quot;given&quot;:&quot;Isabella&quot;,&quot;parse-names&quot;:false,&quot;dropping-particle&quot;:&quot;&quot;,&quot;non-dropping-particle&quot;:&quot;&quot;},{&quot;family&quot;:&quot;Lu&quot;,&quot;given&quot;:&quot;Binbin&quot;,&quot;parse-names&quot;:false,&quot;dropping-particle&quot;:&quot;&quot;,&quot;non-dropping-particle&quot;:&quot;&quot;},{&quot;family&quot;:&quot;Charlton&quot;,&quot;given&quot;:&quot;Martin&quot;,&quot;parse-names&quot;:false,&quot;dropping-particle&quot;:&quot;&quot;,&quot;non-dropping-particle&quot;:&quot;&quot;},{&quot;family&quot;:&quot;Brunsdon&quot;,&quot;given&quot;:&quot;Christopher&quot;,&quot;parse-names&quot;:false,&quot;dropping-particle&quot;:&quot;&quot;,&quot;non-dropping-particle&quot;:&quot;&quot;},{&quot;family&quot;:&quot;Harris&quot;,&quot;given&quot;:&quot;Paul&quot;,&quot;parse-names&quot;:false,&quot;dropping-particle&quot;:&quot;&quot;,&quot;non-dropping-particle&quot;:&quot;&quot;}],&quot;container-title&quot;:&quot;Journal of Statistical Software&quot;,&quot;container-title-short&quot;:&quot;J. Stat. Softw.&quot;,&quot;DOI&quot;:&quot;10.18637/jss.v063.i17&quot;,&quot;ISSN&quot;:&quot;15487660&quot;,&quot;issued&quot;:{&quot;date-parts&quot;:[[2015]]},&quot;abstract&quot;:&quot;Spatial statistics is a growing discipline providing important analytical techniques in a wide range of disciplines in the natural and social sciences. In the R package GW model, we present techniques from a particular branch of spatial statistics, termed geographically weighted (GW) models. GW models suit situations when data are not described well by some global model, but where there are spatial regions where a suitably localized calibration provides a better description. The approach uses a moving window weighting technique, where localized models are found at target locations. Outputs are mapped to provide a useful exploratory tool into the nature of the data spatial heterogeneity. Currently, GW model includes functions for: GW summary statistics, GW principal components analysis, GW regression, and GW discriminant analysis; some of which are provided in basic and robust forms.&quot;,&quot;issue&quot;:&quot;17&quot;,&quot;volume&quot;:&quot;63&quot;},&quot;isTemporary&quot;:false}]},{&quot;citationID&quot;:&quot;MENDELEY_CITATION_b38bf19e-38cd-493c-80e4-e364268ec74a&quot;,&quot;properties&quot;:{&quot;noteIndex&quot;:0},&quot;isEdited&quot;:false,&quot;manualOverride&quot;:{&quot;isManuallyOverridden&quot;:false,&quot;citeprocText&quot;:&quot;[23]&quot;,&quot;manualOverrideText&quot;:&quot;&quot;},&quot;citationTag&quot;:&quot;MENDELEY_CITATION_v3_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&quot;,&quot;citationItems&quot;:[{&quot;id&quot;:&quot;f5fa7554-8ca7-3187-95a5-5a04463847ba&quot;,&quot;itemData&quot;:{&quot;type&quot;:&quot;article-journal&quot;,&quot;id&quot;:&quot;f5fa7554-8ca7-3187-95a5-5a04463847ba&quot;,&quot;title&quot;:&quot;Inference and computation with generalized additive models and their extensions&quot;,&quot;author&quot;:[{&quot;family&quot;:&quot;Wood&quot;,&quot;given&quot;:&quot;Simon N.&quot;,&quot;parse-names&quot;:false,&quot;dropping-particle&quot;:&quot;&quot;,&quot;non-dropping-particle&quot;:&quot;&quot;}],&quot;container-title&quot;:&quot;Test&quot;,&quot;DOI&quot;:&quot;10.1007/s11749-020-00711-5&quot;,&quot;ISSN&quot;:&quot;18638260&quot;,&quot;issued&quot;:{&quot;date-parts&quot;:[[2020]]},&quot;abstract&quot;:&quot;Regression models in which a response variable is related to smooth functions of some predictor variables are popular as a result of their appealing balance between flexibility and interpretability. Since the original generalized additive models of Hastie and Tibshirani (Generalized additive models. Chapman &amp; Hall, Boca Raton, 1990) numerous model extensions have been proposed, and a variety of practically useful computational strategies have emerged. This paper provides an overview of some widely applicable frameworks for this type of modelling, emphasizing the similarities between the different approaches, and the equivalence of smoothing, Gaussian latent process models and Gaussian random effects. The focus is particularly on Bayes empirical smoother theory, fully Bayesian inference via stochastic simulation or integrated nested Laplace approximation and boosting.&quot;,&quot;issue&quot;:&quot;2&quot;,&quot;volume&quot;:&quot;29&quot;,&quot;container-title-short&quot;:&quot;&quot;},&quot;isTemporary&quot;:false}]}]"/>
    <we:property name="MENDELEY_CITATIONS_STYLE" value="{&quot;id&quot;:&quot;https://www.zotero.org/styles/international-journal-of-health-geographics&quot;,&quot;title&quot;:&quot;International Journal of Health Geographic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90E29-1911-4538-9322-54964A154F3B}">
  <ds:schemaRefs>
    <ds:schemaRef ds:uri="http://schemas.openxmlformats.org/officeDocument/2006/bibliography"/>
  </ds:schemaRefs>
</ds:datastoreItem>
</file>

<file path=docMetadata/LabelInfo.xml><?xml version="1.0" encoding="utf-8"?>
<clbl:labelList xmlns:clbl="http://schemas.microsoft.com/office/2020/mipLabelMetadata">
  <clbl:label id="{a5c0a820-c887-4727-ac66-403237d8c389}" enabled="0" method="" siteId="{a5c0a820-c887-4727-ac66-403237d8c389}" removed="1"/>
</clbl:labelList>
</file>

<file path=docProps/app.xml><?xml version="1.0" encoding="utf-8"?>
<Properties xmlns="http://schemas.openxmlformats.org/officeDocument/2006/extended-properties" xmlns:vt="http://schemas.openxmlformats.org/officeDocument/2006/docPropsVTypes">
  <Template>Normal</Template>
  <TotalTime>44</TotalTime>
  <Pages>24</Pages>
  <Words>4482</Words>
  <Characters>25554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Musau</dc:creator>
  <cp:keywords/>
  <dc:description/>
  <cp:lastModifiedBy>Moses Musau</cp:lastModifiedBy>
  <cp:revision>15</cp:revision>
  <dcterms:created xsi:type="dcterms:W3CDTF">2026-07-07T08:13:00Z</dcterms:created>
  <dcterms:modified xsi:type="dcterms:W3CDTF">2026-07-07T14:12:00Z</dcterms:modified>
</cp:coreProperties>
</file>