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5FF5B">
      <w:pPr>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eastAsia" w:eastAsia="宋体"/>
          <w:lang w:val="en-US" w:eastAsia="zh-CN"/>
        </w:rPr>
      </w:pPr>
      <w:bookmarkStart w:id="2" w:name="_GoBack"/>
      <w:bookmarkEnd w:id="2"/>
      <w:bookmarkStart w:id="0" w:name="_Toc225442464"/>
      <w:r>
        <w:rPr>
          <w:b/>
          <w:bCs/>
          <w:sz w:val="36"/>
          <w:szCs w:val="36"/>
        </w:rPr>
        <w:t>Supplementary Material</w:t>
      </w:r>
      <w:r>
        <w:rPr>
          <w:rFonts w:hint="eastAsia"/>
          <w:b/>
          <w:bCs/>
          <w:sz w:val="36"/>
          <w:szCs w:val="36"/>
        </w:rPr>
        <w:t xml:space="preserve"> </w:t>
      </w:r>
      <w:r>
        <w:rPr>
          <w:rFonts w:hint="eastAsia"/>
          <w:b/>
          <w:bCs/>
          <w:sz w:val="36"/>
          <w:szCs w:val="36"/>
          <w:lang w:val="en-US" w:eastAsia="zh-CN"/>
        </w:rPr>
        <w:t>2</w:t>
      </w:r>
    </w:p>
    <w:p w14:paraId="15261898">
      <w:pPr>
        <w:pStyle w:val="3"/>
        <w:spacing w:before="156" w:after="156"/>
      </w:pPr>
      <w:r>
        <w:rPr>
          <w:rFonts w:hint="eastAsia"/>
        </w:rPr>
        <w:t>Pulmonary Rehabilitation Program for Patients with Pulmonary Hypertension in High-Altitude Areas (PRP-PH-HA)</w:t>
      </w:r>
      <w:bookmarkEnd w:id="0"/>
    </w:p>
    <w:tbl>
      <w:tblPr>
        <w:tblStyle w:val="19"/>
        <w:tblW w:w="14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788"/>
        <w:gridCol w:w="826"/>
        <w:gridCol w:w="2744"/>
        <w:gridCol w:w="2110"/>
        <w:gridCol w:w="2149"/>
        <w:gridCol w:w="2676"/>
      </w:tblGrid>
      <w:tr w14:paraId="6678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exact"/>
          <w:jc w:val="center"/>
        </w:trPr>
        <w:tc>
          <w:tcPr>
            <w:tcW w:w="1883" w:type="dxa"/>
            <w:vMerge w:val="restart"/>
            <w:shd w:val="clear" w:color="auto" w:fill="FFFFFF" w:themeFill="background1"/>
            <w:vAlign w:val="center"/>
          </w:tcPr>
          <w:p w14:paraId="58BC90AF">
            <w:pPr>
              <w:spacing w:line="240" w:lineRule="auto"/>
              <w:jc w:val="center"/>
              <w:rPr>
                <w:rFonts w:cs="Times New Roman"/>
                <w:b/>
                <w:bCs/>
                <w:szCs w:val="24"/>
                <w:lang w:bidi="ar"/>
              </w:rPr>
            </w:pPr>
            <w:r>
              <w:rPr>
                <w:rFonts w:cs="Times New Roman"/>
                <w:b/>
                <w:bCs/>
                <w:szCs w:val="24"/>
                <w:lang w:bidi="ar"/>
              </w:rPr>
              <w:t>First-Level Item</w:t>
            </w:r>
          </w:p>
        </w:tc>
        <w:tc>
          <w:tcPr>
            <w:tcW w:w="1788" w:type="dxa"/>
            <w:vMerge w:val="restart"/>
            <w:shd w:val="clear" w:color="auto" w:fill="FFFFFF" w:themeFill="background1"/>
            <w:vAlign w:val="center"/>
          </w:tcPr>
          <w:p w14:paraId="55076BF4">
            <w:pPr>
              <w:spacing w:line="240" w:lineRule="auto"/>
              <w:jc w:val="center"/>
              <w:rPr>
                <w:rFonts w:cs="Times New Roman"/>
                <w:b/>
                <w:bCs/>
                <w:szCs w:val="24"/>
                <w:lang w:bidi="ar"/>
              </w:rPr>
            </w:pPr>
            <w:r>
              <w:rPr>
                <w:rFonts w:cs="Times New Roman"/>
                <w:b/>
                <w:bCs/>
                <w:szCs w:val="24"/>
                <w:lang w:bidi="ar"/>
              </w:rPr>
              <w:t>Second-Level Item</w:t>
            </w:r>
          </w:p>
        </w:tc>
        <w:tc>
          <w:tcPr>
            <w:tcW w:w="10505" w:type="dxa"/>
            <w:gridSpan w:val="5"/>
            <w:vMerge w:val="restart"/>
            <w:shd w:val="clear" w:color="auto" w:fill="FFFFFF" w:themeFill="background1"/>
            <w:vAlign w:val="center"/>
          </w:tcPr>
          <w:p w14:paraId="18C55C70">
            <w:pPr>
              <w:spacing w:line="240" w:lineRule="auto"/>
              <w:jc w:val="center"/>
              <w:rPr>
                <w:rFonts w:cs="Times New Roman"/>
                <w:b/>
                <w:bCs/>
                <w:szCs w:val="24"/>
                <w:lang w:bidi="ar"/>
              </w:rPr>
            </w:pPr>
            <w:r>
              <w:rPr>
                <w:rFonts w:cs="Times New Roman"/>
                <w:b/>
                <w:bCs/>
                <w:szCs w:val="24"/>
                <w:lang w:bidi="ar"/>
              </w:rPr>
              <w:t>Third-Level Item</w:t>
            </w:r>
          </w:p>
        </w:tc>
      </w:tr>
      <w:tr w14:paraId="67A1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883" w:type="dxa"/>
            <w:vMerge w:val="continue"/>
            <w:shd w:val="clear" w:color="auto" w:fill="FFFFFF" w:themeFill="background1"/>
            <w:vAlign w:val="center"/>
          </w:tcPr>
          <w:p w14:paraId="2556B3CA">
            <w:pPr>
              <w:jc w:val="center"/>
              <w:rPr>
                <w:rFonts w:cs="Times New Roman"/>
                <w:szCs w:val="24"/>
                <w:lang w:bidi="ar"/>
              </w:rPr>
            </w:pPr>
          </w:p>
        </w:tc>
        <w:tc>
          <w:tcPr>
            <w:tcW w:w="1788" w:type="dxa"/>
            <w:vMerge w:val="continue"/>
            <w:shd w:val="clear" w:color="auto" w:fill="FFFFFF" w:themeFill="background1"/>
            <w:vAlign w:val="center"/>
          </w:tcPr>
          <w:p w14:paraId="0A3C064E">
            <w:pPr>
              <w:jc w:val="center"/>
              <w:rPr>
                <w:rFonts w:cs="Times New Roman"/>
                <w:szCs w:val="24"/>
                <w:lang w:bidi="ar"/>
              </w:rPr>
            </w:pPr>
          </w:p>
        </w:tc>
        <w:tc>
          <w:tcPr>
            <w:tcW w:w="10505" w:type="dxa"/>
            <w:gridSpan w:val="5"/>
            <w:vMerge w:val="continue"/>
            <w:shd w:val="clear" w:color="auto" w:fill="FFFFFF" w:themeFill="background1"/>
            <w:vAlign w:val="center"/>
          </w:tcPr>
          <w:p w14:paraId="3BCAA179">
            <w:pPr>
              <w:jc w:val="center"/>
              <w:rPr>
                <w:rFonts w:cs="Times New Roman"/>
                <w:szCs w:val="24"/>
                <w:lang w:bidi="ar"/>
              </w:rPr>
            </w:pPr>
          </w:p>
        </w:tc>
      </w:tr>
      <w:tr w14:paraId="01D6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883" w:type="dxa"/>
            <w:vMerge w:val="continue"/>
            <w:shd w:val="clear" w:color="auto" w:fill="FFFFFF" w:themeFill="background1"/>
            <w:vAlign w:val="center"/>
          </w:tcPr>
          <w:p w14:paraId="37340C56">
            <w:pPr>
              <w:jc w:val="center"/>
              <w:rPr>
                <w:rFonts w:cs="Times New Roman"/>
                <w:szCs w:val="24"/>
                <w:lang w:bidi="ar"/>
              </w:rPr>
            </w:pPr>
          </w:p>
        </w:tc>
        <w:tc>
          <w:tcPr>
            <w:tcW w:w="1788" w:type="dxa"/>
            <w:vMerge w:val="continue"/>
            <w:shd w:val="clear" w:color="auto" w:fill="FFFFFF" w:themeFill="background1"/>
            <w:vAlign w:val="center"/>
          </w:tcPr>
          <w:p w14:paraId="62CA0F0A">
            <w:pPr>
              <w:jc w:val="center"/>
              <w:rPr>
                <w:rFonts w:cs="Times New Roman"/>
                <w:szCs w:val="24"/>
                <w:lang w:bidi="ar"/>
              </w:rPr>
            </w:pPr>
          </w:p>
        </w:tc>
        <w:tc>
          <w:tcPr>
            <w:tcW w:w="10505" w:type="dxa"/>
            <w:gridSpan w:val="5"/>
            <w:vMerge w:val="continue"/>
            <w:shd w:val="clear" w:color="auto" w:fill="FFFFFF" w:themeFill="background1"/>
            <w:vAlign w:val="center"/>
          </w:tcPr>
          <w:p w14:paraId="7CAFDDA1">
            <w:pPr>
              <w:jc w:val="center"/>
              <w:rPr>
                <w:rFonts w:cs="Times New Roman"/>
                <w:szCs w:val="24"/>
                <w:lang w:bidi="ar"/>
              </w:rPr>
            </w:pPr>
          </w:p>
        </w:tc>
      </w:tr>
      <w:tr w14:paraId="63BB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shd w:val="clear" w:color="auto" w:fill="DAE9F7" w:themeFill="text2" w:themeFillTint="1A"/>
            <w:vAlign w:val="center"/>
          </w:tcPr>
          <w:p w14:paraId="161525EB">
            <w:pPr>
              <w:widowControl/>
              <w:adjustRightInd/>
              <w:snapToGrid/>
              <w:spacing w:line="240" w:lineRule="auto"/>
              <w:jc w:val="center"/>
              <w:rPr>
                <w:rFonts w:cs="Times New Roman"/>
                <w:szCs w:val="24"/>
              </w:rPr>
            </w:pPr>
            <w:r>
              <w:rPr>
                <w:rFonts w:cs="Times New Roman"/>
                <w:b/>
                <w:bCs/>
                <w:szCs w:val="24"/>
              </w:rPr>
              <w:t xml:space="preserve">1 </w:t>
            </w:r>
            <w:r>
              <w:rPr>
                <w:rFonts w:cs="Times New Roman"/>
                <w:szCs w:val="24"/>
              </w:rPr>
              <w:t>Multidisciplinary Team</w:t>
            </w:r>
          </w:p>
        </w:tc>
        <w:tc>
          <w:tcPr>
            <w:tcW w:w="1788" w:type="dxa"/>
            <w:vMerge w:val="restart"/>
            <w:shd w:val="clear" w:color="auto" w:fill="DAE9F7" w:themeFill="text2" w:themeFillTint="1A"/>
            <w:vAlign w:val="center"/>
          </w:tcPr>
          <w:p w14:paraId="445C6045">
            <w:pPr>
              <w:widowControl/>
              <w:adjustRightInd/>
              <w:snapToGrid/>
              <w:spacing w:line="240" w:lineRule="auto"/>
              <w:jc w:val="center"/>
              <w:rPr>
                <w:rFonts w:cs="Times New Roman"/>
                <w:szCs w:val="24"/>
              </w:rPr>
            </w:pPr>
            <w:r>
              <w:rPr>
                <w:rFonts w:cs="Times New Roman"/>
                <w:b/>
                <w:bCs/>
                <w:szCs w:val="24"/>
              </w:rPr>
              <w:t>1.1</w:t>
            </w:r>
            <w:r>
              <w:rPr>
                <w:rFonts w:cs="Times New Roman"/>
                <w:szCs w:val="24"/>
              </w:rPr>
              <w:t xml:space="preserve"> Team composition</w:t>
            </w:r>
          </w:p>
        </w:tc>
        <w:tc>
          <w:tcPr>
            <w:tcW w:w="10505" w:type="dxa"/>
            <w:gridSpan w:val="5"/>
            <w:shd w:val="clear" w:color="auto" w:fill="DAE9F7" w:themeFill="text2" w:themeFillTint="1A"/>
            <w:vAlign w:val="center"/>
          </w:tcPr>
          <w:p w14:paraId="26E614E1">
            <w:pPr>
              <w:widowControl/>
              <w:adjustRightInd/>
              <w:snapToGrid/>
              <w:spacing w:line="240" w:lineRule="auto"/>
              <w:jc w:val="left"/>
              <w:rPr>
                <w:rFonts w:cs="Times New Roman"/>
                <w:szCs w:val="24"/>
              </w:rPr>
            </w:pPr>
            <w:r>
              <w:rPr>
                <w:rFonts w:cs="Times New Roman"/>
                <w:b/>
                <w:bCs/>
                <w:szCs w:val="24"/>
              </w:rPr>
              <w:t>1.1.1</w:t>
            </w:r>
            <w:r>
              <w:rPr>
                <w:rFonts w:cs="Times New Roman"/>
                <w:szCs w:val="24"/>
              </w:rPr>
              <w:t xml:space="preserve"> </w:t>
            </w:r>
            <w:r>
              <w:rPr>
                <w:rFonts w:cs="Times New Roman"/>
                <w:szCs w:val="24"/>
                <w:lang w:bidi="ar"/>
              </w:rPr>
              <w:t>Core team: respiratory physicians, respiratory nurses, rehabilitation physicians, rehabilitation therapists, cardiologists, patients, and family members.</w:t>
            </w:r>
          </w:p>
        </w:tc>
      </w:tr>
      <w:tr w14:paraId="379F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349F073C">
            <w:pPr>
              <w:jc w:val="center"/>
              <w:rPr>
                <w:rFonts w:cs="Times New Roman"/>
                <w:szCs w:val="24"/>
                <w:lang w:bidi="ar"/>
              </w:rPr>
            </w:pPr>
          </w:p>
        </w:tc>
        <w:tc>
          <w:tcPr>
            <w:tcW w:w="1788" w:type="dxa"/>
            <w:vMerge w:val="continue"/>
            <w:shd w:val="clear" w:color="auto" w:fill="DAE9F7" w:themeFill="text2" w:themeFillTint="1A"/>
            <w:vAlign w:val="center"/>
          </w:tcPr>
          <w:p w14:paraId="53E56AE1">
            <w:pPr>
              <w:jc w:val="center"/>
              <w:rPr>
                <w:rFonts w:cs="Times New Roman"/>
                <w:szCs w:val="24"/>
                <w:lang w:bidi="ar"/>
              </w:rPr>
            </w:pPr>
          </w:p>
        </w:tc>
        <w:tc>
          <w:tcPr>
            <w:tcW w:w="10505" w:type="dxa"/>
            <w:gridSpan w:val="5"/>
            <w:shd w:val="clear" w:color="auto" w:fill="DAE9F7" w:themeFill="text2" w:themeFillTint="1A"/>
            <w:vAlign w:val="center"/>
          </w:tcPr>
          <w:p w14:paraId="23420AAA">
            <w:pPr>
              <w:widowControl/>
              <w:adjustRightInd/>
              <w:snapToGrid/>
              <w:spacing w:line="240" w:lineRule="auto"/>
              <w:jc w:val="left"/>
              <w:rPr>
                <w:rFonts w:cs="Times New Roman"/>
                <w:szCs w:val="24"/>
              </w:rPr>
            </w:pPr>
            <w:r>
              <w:rPr>
                <w:rFonts w:cs="Times New Roman"/>
                <w:b/>
                <w:bCs/>
                <w:szCs w:val="24"/>
              </w:rPr>
              <w:t>1.1.2</w:t>
            </w:r>
            <w:r>
              <w:rPr>
                <w:rFonts w:cs="Times New Roman"/>
                <w:szCs w:val="24"/>
              </w:rPr>
              <w:t xml:space="preserve"> </w:t>
            </w:r>
            <w:r>
              <w:rPr>
                <w:rFonts w:cs="Times New Roman"/>
                <w:szCs w:val="24"/>
                <w:lang w:bidi="ar"/>
              </w:rPr>
              <w:t>Extended team (as needed): nutritionists, psychologists, traditional Chinese medicine physicians.</w:t>
            </w:r>
          </w:p>
        </w:tc>
      </w:tr>
      <w:tr w14:paraId="42F7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09DAF717">
            <w:pPr>
              <w:jc w:val="center"/>
              <w:rPr>
                <w:rFonts w:cs="Times New Roman"/>
                <w:szCs w:val="24"/>
                <w:lang w:bidi="ar"/>
              </w:rPr>
            </w:pPr>
          </w:p>
        </w:tc>
        <w:tc>
          <w:tcPr>
            <w:tcW w:w="1788" w:type="dxa"/>
            <w:shd w:val="clear" w:color="auto" w:fill="DAE9F7" w:themeFill="text2" w:themeFillTint="1A"/>
            <w:vAlign w:val="center"/>
          </w:tcPr>
          <w:p w14:paraId="3045F55D">
            <w:pPr>
              <w:widowControl/>
              <w:adjustRightInd/>
              <w:snapToGrid/>
              <w:spacing w:line="240" w:lineRule="auto"/>
              <w:jc w:val="center"/>
              <w:rPr>
                <w:rFonts w:cs="Times New Roman"/>
                <w:szCs w:val="24"/>
              </w:rPr>
            </w:pPr>
            <w:r>
              <w:rPr>
                <w:rFonts w:cs="Times New Roman"/>
                <w:b/>
                <w:bCs/>
                <w:szCs w:val="24"/>
              </w:rPr>
              <w:t>1.2</w:t>
            </w:r>
            <w:r>
              <w:rPr>
                <w:rFonts w:cs="Times New Roman"/>
                <w:szCs w:val="24"/>
              </w:rPr>
              <w:t xml:space="preserve"> Personnel qualifications</w:t>
            </w:r>
          </w:p>
        </w:tc>
        <w:tc>
          <w:tcPr>
            <w:tcW w:w="10505" w:type="dxa"/>
            <w:gridSpan w:val="5"/>
            <w:shd w:val="clear" w:color="auto" w:fill="DAE9F7" w:themeFill="text2" w:themeFillTint="1A"/>
            <w:vAlign w:val="center"/>
          </w:tcPr>
          <w:p w14:paraId="06E2B99F">
            <w:pPr>
              <w:widowControl/>
              <w:adjustRightInd/>
              <w:snapToGrid/>
              <w:spacing w:line="240" w:lineRule="auto"/>
              <w:jc w:val="left"/>
              <w:rPr>
                <w:rFonts w:cs="Times New Roman"/>
                <w:szCs w:val="24"/>
              </w:rPr>
            </w:pPr>
            <w:r>
              <w:rPr>
                <w:rFonts w:cs="Times New Roman"/>
                <w:b/>
                <w:bCs/>
                <w:szCs w:val="24"/>
              </w:rPr>
              <w:t xml:space="preserve">1.2.1 </w:t>
            </w:r>
            <w:r>
              <w:rPr>
                <w:rFonts w:cs="Times New Roman"/>
                <w:szCs w:val="24"/>
              </w:rPr>
              <w:t>Professionals: Professional team members involved in pulmonary rehabilitation should possess relevant professional knowledge and clinical practical competencies, and be capable of conducting assessments, providing pulmonary rehabilitation guidance, and managing care for patients with pulmonary arterial hypertension.</w:t>
            </w:r>
          </w:p>
        </w:tc>
      </w:tr>
      <w:tr w14:paraId="5AA6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0832FC45">
            <w:pPr>
              <w:jc w:val="center"/>
              <w:rPr>
                <w:rFonts w:cs="Times New Roman"/>
                <w:szCs w:val="24"/>
                <w:lang w:bidi="ar"/>
              </w:rPr>
            </w:pPr>
          </w:p>
        </w:tc>
        <w:tc>
          <w:tcPr>
            <w:tcW w:w="1788" w:type="dxa"/>
            <w:vMerge w:val="restart"/>
            <w:shd w:val="clear" w:color="auto" w:fill="DAE9F7" w:themeFill="text2" w:themeFillTint="1A"/>
            <w:vAlign w:val="center"/>
          </w:tcPr>
          <w:p w14:paraId="27048DED">
            <w:pPr>
              <w:widowControl/>
              <w:adjustRightInd/>
              <w:snapToGrid/>
              <w:spacing w:line="240" w:lineRule="auto"/>
              <w:jc w:val="center"/>
              <w:rPr>
                <w:rFonts w:cs="Times New Roman"/>
                <w:szCs w:val="24"/>
              </w:rPr>
            </w:pPr>
            <w:r>
              <w:rPr>
                <w:rFonts w:cs="Times New Roman"/>
                <w:b/>
                <w:bCs/>
                <w:szCs w:val="24"/>
              </w:rPr>
              <w:t xml:space="preserve">1.3 </w:t>
            </w:r>
            <w:r>
              <w:rPr>
                <w:rFonts w:cs="Times New Roman"/>
                <w:szCs w:val="24"/>
              </w:rPr>
              <w:t>Personnel responsibilities</w:t>
            </w:r>
          </w:p>
        </w:tc>
        <w:tc>
          <w:tcPr>
            <w:tcW w:w="10505" w:type="dxa"/>
            <w:gridSpan w:val="5"/>
            <w:shd w:val="clear" w:color="auto" w:fill="DAE9F7" w:themeFill="text2" w:themeFillTint="1A"/>
            <w:vAlign w:val="center"/>
          </w:tcPr>
          <w:p w14:paraId="74C5930A">
            <w:pPr>
              <w:widowControl/>
              <w:adjustRightInd/>
              <w:snapToGrid/>
              <w:spacing w:line="240" w:lineRule="auto"/>
              <w:jc w:val="left"/>
              <w:rPr>
                <w:rFonts w:cs="Times New Roman"/>
                <w:szCs w:val="24"/>
              </w:rPr>
            </w:pPr>
            <w:r>
              <w:rPr>
                <w:rFonts w:cs="Times New Roman"/>
                <w:b/>
                <w:bCs/>
                <w:szCs w:val="24"/>
              </w:rPr>
              <w:t xml:space="preserve">1.3.1 </w:t>
            </w:r>
            <w:r>
              <w:rPr>
                <w:rFonts w:cs="Times New Roman"/>
                <w:szCs w:val="24"/>
                <w:lang w:bidi="ar"/>
              </w:rPr>
              <w:t>Respiratory physician: conduct condition assessments for hospitalized patients with pulmonary hypertension and accurately determine the timing of pulmonary rehabilitation intervention; collaborate with rehabilitation physician to develop individualized pulmonary rehabilitation plans; instruct patients and family members on key aspects of training methods, frequency, intensity, indications for safe termination, and management of comorbidities.</w:t>
            </w:r>
          </w:p>
        </w:tc>
      </w:tr>
      <w:tr w14:paraId="6C13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4C29BD25">
            <w:pPr>
              <w:jc w:val="center"/>
              <w:rPr>
                <w:rFonts w:cs="Times New Roman"/>
                <w:szCs w:val="24"/>
                <w:lang w:bidi="ar"/>
              </w:rPr>
            </w:pPr>
          </w:p>
        </w:tc>
        <w:tc>
          <w:tcPr>
            <w:tcW w:w="1788" w:type="dxa"/>
            <w:vMerge w:val="continue"/>
            <w:shd w:val="clear" w:color="auto" w:fill="DAE9F7" w:themeFill="text2" w:themeFillTint="1A"/>
            <w:vAlign w:val="center"/>
          </w:tcPr>
          <w:p w14:paraId="784A237B">
            <w:pPr>
              <w:jc w:val="center"/>
              <w:rPr>
                <w:rFonts w:cs="Times New Roman"/>
                <w:szCs w:val="24"/>
                <w:lang w:bidi="ar"/>
              </w:rPr>
            </w:pPr>
          </w:p>
        </w:tc>
        <w:tc>
          <w:tcPr>
            <w:tcW w:w="10505" w:type="dxa"/>
            <w:gridSpan w:val="5"/>
            <w:shd w:val="clear" w:color="auto" w:fill="DAE9F7" w:themeFill="text2" w:themeFillTint="1A"/>
            <w:vAlign w:val="center"/>
          </w:tcPr>
          <w:p w14:paraId="4F402D3A">
            <w:pPr>
              <w:widowControl/>
              <w:adjustRightInd/>
              <w:snapToGrid/>
              <w:spacing w:line="240" w:lineRule="auto"/>
              <w:jc w:val="left"/>
              <w:rPr>
                <w:rFonts w:cs="Times New Roman"/>
                <w:szCs w:val="24"/>
              </w:rPr>
            </w:pPr>
            <w:r>
              <w:rPr>
                <w:rFonts w:cs="Times New Roman"/>
                <w:b/>
                <w:bCs/>
                <w:szCs w:val="24"/>
              </w:rPr>
              <w:t>1.3.2</w:t>
            </w:r>
            <w:r>
              <w:rPr>
                <w:rFonts w:cs="Times New Roman"/>
                <w:szCs w:val="24"/>
              </w:rPr>
              <w:t xml:space="preserve"> </w:t>
            </w:r>
            <w:r>
              <w:rPr>
                <w:rFonts w:cs="Times New Roman"/>
                <w:szCs w:val="24"/>
                <w:lang w:bidi="ar"/>
              </w:rPr>
              <w:t>Rehabilitation therapist: guide patients in individualized exercise training; conduct regular assessments; assist in adjusting rehabilitation plans; manage concurrent functional issues; and provide continuous rehabilitation guidance for patients both inside and outside the hospital.</w:t>
            </w:r>
          </w:p>
        </w:tc>
      </w:tr>
      <w:tr w14:paraId="78A2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557F4C42">
            <w:pPr>
              <w:jc w:val="center"/>
              <w:rPr>
                <w:rFonts w:cs="Times New Roman"/>
                <w:szCs w:val="24"/>
                <w:lang w:bidi="ar"/>
              </w:rPr>
            </w:pPr>
          </w:p>
        </w:tc>
        <w:tc>
          <w:tcPr>
            <w:tcW w:w="1788" w:type="dxa"/>
            <w:vMerge w:val="continue"/>
            <w:shd w:val="clear" w:color="auto" w:fill="DAE9F7" w:themeFill="text2" w:themeFillTint="1A"/>
            <w:vAlign w:val="center"/>
          </w:tcPr>
          <w:p w14:paraId="0F9D6ECC">
            <w:pPr>
              <w:jc w:val="center"/>
              <w:rPr>
                <w:rFonts w:cs="Times New Roman"/>
                <w:szCs w:val="24"/>
                <w:lang w:bidi="ar"/>
              </w:rPr>
            </w:pPr>
          </w:p>
        </w:tc>
        <w:tc>
          <w:tcPr>
            <w:tcW w:w="10505" w:type="dxa"/>
            <w:gridSpan w:val="5"/>
            <w:shd w:val="clear" w:color="auto" w:fill="DAE9F7" w:themeFill="text2" w:themeFillTint="1A"/>
            <w:vAlign w:val="center"/>
          </w:tcPr>
          <w:p w14:paraId="25B05463">
            <w:pPr>
              <w:widowControl/>
              <w:adjustRightInd/>
              <w:snapToGrid/>
              <w:spacing w:line="240" w:lineRule="auto"/>
              <w:jc w:val="left"/>
              <w:rPr>
                <w:rFonts w:cs="Times New Roman"/>
                <w:szCs w:val="24"/>
              </w:rPr>
            </w:pPr>
            <w:r>
              <w:rPr>
                <w:rFonts w:cs="Times New Roman"/>
                <w:b/>
                <w:bCs/>
                <w:szCs w:val="24"/>
              </w:rPr>
              <w:t>1.3.3</w:t>
            </w:r>
            <w:r>
              <w:rPr>
                <w:rFonts w:cs="Times New Roman"/>
                <w:b/>
                <w:bCs/>
                <w:szCs w:val="24"/>
                <w:lang w:bidi="ar"/>
              </w:rPr>
              <w:t xml:space="preserve"> </w:t>
            </w:r>
            <w:r>
              <w:rPr>
                <w:rFonts w:cs="Times New Roman"/>
                <w:szCs w:val="24"/>
                <w:lang w:bidi="ar"/>
              </w:rPr>
              <w:t>Respiratory nurse: assist physicians in conducting inpatient pulmonary rehabilitation guidance and outcome monitoring for patients, with a primary focus on pre-discharge health education, instructing patients and their families in home oxygen therapy, medication management, symptom monitoring, and self-care skills, as well as participating in post-discharge continuous rehabilitation follow-up and health management for patients.</w:t>
            </w:r>
          </w:p>
        </w:tc>
      </w:tr>
      <w:tr w14:paraId="5F71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883" w:type="dxa"/>
            <w:vMerge w:val="continue"/>
            <w:shd w:val="clear" w:color="auto" w:fill="DAE9F7" w:themeFill="text2" w:themeFillTint="1A"/>
            <w:vAlign w:val="center"/>
          </w:tcPr>
          <w:p w14:paraId="0125FD76">
            <w:pPr>
              <w:jc w:val="center"/>
              <w:rPr>
                <w:rFonts w:cs="Times New Roman"/>
                <w:szCs w:val="24"/>
                <w:lang w:bidi="ar"/>
              </w:rPr>
            </w:pPr>
          </w:p>
        </w:tc>
        <w:tc>
          <w:tcPr>
            <w:tcW w:w="1788" w:type="dxa"/>
            <w:vMerge w:val="continue"/>
            <w:shd w:val="clear" w:color="auto" w:fill="DAE9F7" w:themeFill="text2" w:themeFillTint="1A"/>
            <w:vAlign w:val="center"/>
          </w:tcPr>
          <w:p w14:paraId="297948A6">
            <w:pPr>
              <w:jc w:val="center"/>
              <w:rPr>
                <w:rFonts w:cs="Times New Roman"/>
                <w:szCs w:val="24"/>
                <w:lang w:bidi="ar"/>
              </w:rPr>
            </w:pPr>
          </w:p>
        </w:tc>
        <w:tc>
          <w:tcPr>
            <w:tcW w:w="10505" w:type="dxa"/>
            <w:gridSpan w:val="5"/>
            <w:shd w:val="clear" w:color="auto" w:fill="DAE9F7" w:themeFill="text2" w:themeFillTint="1A"/>
            <w:vAlign w:val="center"/>
          </w:tcPr>
          <w:p w14:paraId="2CE4C54D">
            <w:pPr>
              <w:spacing w:line="240" w:lineRule="auto"/>
              <w:jc w:val="left"/>
              <w:rPr>
                <w:rFonts w:cs="Times New Roman"/>
                <w:szCs w:val="24"/>
                <w:lang w:bidi="ar"/>
              </w:rPr>
            </w:pPr>
            <w:r>
              <w:rPr>
                <w:rFonts w:cs="Times New Roman"/>
                <w:b/>
                <w:bCs/>
                <w:szCs w:val="24"/>
              </w:rPr>
              <w:t xml:space="preserve">1.3.4 </w:t>
            </w:r>
            <w:r>
              <w:rPr>
                <w:rFonts w:cs="Times New Roman"/>
                <w:szCs w:val="24"/>
                <w:lang w:bidi="ar"/>
              </w:rPr>
              <w:t>Nutritionist (if available): provide nutritional consultation and dietary guidance based on the patient’s physical condition and rehabilitation needs.</w:t>
            </w:r>
          </w:p>
        </w:tc>
      </w:tr>
      <w:tr w14:paraId="7DFD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2CEE692B">
            <w:pPr>
              <w:jc w:val="center"/>
              <w:rPr>
                <w:rFonts w:cs="Times New Roman"/>
                <w:szCs w:val="24"/>
                <w:lang w:bidi="ar"/>
              </w:rPr>
            </w:pPr>
          </w:p>
        </w:tc>
        <w:tc>
          <w:tcPr>
            <w:tcW w:w="1788" w:type="dxa"/>
            <w:vMerge w:val="continue"/>
            <w:shd w:val="clear" w:color="auto" w:fill="DAE9F7" w:themeFill="text2" w:themeFillTint="1A"/>
            <w:vAlign w:val="center"/>
          </w:tcPr>
          <w:p w14:paraId="51456E70">
            <w:pPr>
              <w:jc w:val="center"/>
              <w:rPr>
                <w:rFonts w:cs="Times New Roman"/>
                <w:szCs w:val="24"/>
                <w:lang w:bidi="ar"/>
              </w:rPr>
            </w:pPr>
          </w:p>
        </w:tc>
        <w:tc>
          <w:tcPr>
            <w:tcW w:w="10505" w:type="dxa"/>
            <w:gridSpan w:val="5"/>
            <w:shd w:val="clear" w:color="auto" w:fill="DAE9F7" w:themeFill="text2" w:themeFillTint="1A"/>
            <w:vAlign w:val="center"/>
          </w:tcPr>
          <w:p w14:paraId="6FAA9407">
            <w:pPr>
              <w:widowControl/>
              <w:adjustRightInd/>
              <w:snapToGrid/>
              <w:spacing w:line="240" w:lineRule="auto"/>
              <w:jc w:val="left"/>
              <w:rPr>
                <w:rFonts w:hint="eastAsia" w:cs="Times New Roman"/>
                <w:szCs w:val="24"/>
              </w:rPr>
            </w:pPr>
            <w:r>
              <w:rPr>
                <w:rFonts w:cs="Times New Roman"/>
                <w:b/>
                <w:bCs/>
                <w:szCs w:val="24"/>
              </w:rPr>
              <w:t xml:space="preserve">1.3.5 </w:t>
            </w:r>
            <w:r>
              <w:rPr>
                <w:rFonts w:cs="Times New Roman"/>
                <w:szCs w:val="24"/>
              </w:rPr>
              <w:t>Psychologist (if available): provide psychological intervention for patients in need; help alleviate anxiety, depression, and other emotional issues.</w:t>
            </w:r>
          </w:p>
        </w:tc>
      </w:tr>
      <w:tr w14:paraId="75F7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0C9A2895">
            <w:pPr>
              <w:jc w:val="center"/>
              <w:rPr>
                <w:rFonts w:cs="Times New Roman"/>
                <w:szCs w:val="24"/>
                <w:lang w:bidi="ar"/>
              </w:rPr>
            </w:pPr>
          </w:p>
        </w:tc>
        <w:tc>
          <w:tcPr>
            <w:tcW w:w="1788" w:type="dxa"/>
            <w:vMerge w:val="continue"/>
            <w:shd w:val="clear" w:color="auto" w:fill="DAE9F7" w:themeFill="text2" w:themeFillTint="1A"/>
            <w:vAlign w:val="center"/>
          </w:tcPr>
          <w:p w14:paraId="1113A1E4">
            <w:pPr>
              <w:jc w:val="center"/>
              <w:rPr>
                <w:rFonts w:cs="Times New Roman"/>
                <w:szCs w:val="24"/>
                <w:lang w:bidi="ar"/>
              </w:rPr>
            </w:pPr>
          </w:p>
        </w:tc>
        <w:tc>
          <w:tcPr>
            <w:tcW w:w="10505" w:type="dxa"/>
            <w:gridSpan w:val="5"/>
            <w:shd w:val="clear" w:color="auto" w:fill="DAE9F7" w:themeFill="text2" w:themeFillTint="1A"/>
            <w:vAlign w:val="center"/>
          </w:tcPr>
          <w:p w14:paraId="39365F6D">
            <w:pPr>
              <w:widowControl/>
              <w:adjustRightInd/>
              <w:snapToGrid/>
              <w:spacing w:line="240" w:lineRule="auto"/>
              <w:jc w:val="left"/>
              <w:rPr>
                <w:rFonts w:hint="eastAsia" w:cs="Times New Roman"/>
                <w:szCs w:val="24"/>
              </w:rPr>
            </w:pPr>
            <w:r>
              <w:rPr>
                <w:rFonts w:cs="Times New Roman"/>
                <w:b/>
                <w:bCs/>
                <w:szCs w:val="24"/>
              </w:rPr>
              <w:t>1.3.6</w:t>
            </w:r>
            <w:r>
              <w:rPr>
                <w:rFonts w:cs="Times New Roman"/>
                <w:szCs w:val="24"/>
              </w:rPr>
              <w:t xml:space="preserve"> Traditional Chinese Medicine Physician (if available): Provide Chinese medicine-specific rehabilitation guidance based on the patient's condition, such as Tai Chi, Baduanjin, etc.</w:t>
            </w:r>
          </w:p>
        </w:tc>
      </w:tr>
      <w:tr w14:paraId="2AB8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DAE9F7" w:themeFill="text2" w:themeFillTint="1A"/>
            <w:vAlign w:val="center"/>
          </w:tcPr>
          <w:p w14:paraId="393D931A">
            <w:pPr>
              <w:jc w:val="center"/>
              <w:rPr>
                <w:rFonts w:cs="Times New Roman"/>
                <w:szCs w:val="24"/>
                <w:lang w:bidi="ar"/>
              </w:rPr>
            </w:pPr>
          </w:p>
        </w:tc>
        <w:tc>
          <w:tcPr>
            <w:tcW w:w="1788" w:type="dxa"/>
            <w:vMerge w:val="continue"/>
            <w:shd w:val="clear" w:color="auto" w:fill="DAE9F7" w:themeFill="text2" w:themeFillTint="1A"/>
            <w:vAlign w:val="center"/>
          </w:tcPr>
          <w:p w14:paraId="0A412F48">
            <w:pPr>
              <w:jc w:val="center"/>
              <w:rPr>
                <w:rFonts w:cs="Times New Roman"/>
                <w:szCs w:val="24"/>
                <w:lang w:bidi="ar"/>
              </w:rPr>
            </w:pPr>
          </w:p>
        </w:tc>
        <w:tc>
          <w:tcPr>
            <w:tcW w:w="10505" w:type="dxa"/>
            <w:gridSpan w:val="5"/>
            <w:shd w:val="clear" w:color="auto" w:fill="DAE9F7" w:themeFill="text2" w:themeFillTint="1A"/>
            <w:vAlign w:val="center"/>
          </w:tcPr>
          <w:p w14:paraId="01BF80AD">
            <w:pPr>
              <w:widowControl/>
              <w:adjustRightInd/>
              <w:snapToGrid/>
              <w:spacing w:line="240" w:lineRule="auto"/>
              <w:jc w:val="left"/>
              <w:rPr>
                <w:rFonts w:hint="eastAsia" w:cs="Times New Roman"/>
                <w:szCs w:val="24"/>
              </w:rPr>
            </w:pPr>
            <w:r>
              <w:rPr>
                <w:rFonts w:cs="Times New Roman"/>
                <w:b/>
                <w:bCs/>
                <w:szCs w:val="24"/>
              </w:rPr>
              <w:t>1.3.7</w:t>
            </w:r>
            <w:r>
              <w:rPr>
                <w:rFonts w:cs="Times New Roman"/>
                <w:szCs w:val="24"/>
              </w:rPr>
              <w:t xml:space="preserve"> Patient and family: patient actively participates in rehabilitation, performs daily exercises according to the plan, and learns disease management knowledge; family provides necessary daily care, emotional support, and assists in supervising the implementation of the rehabilitation plan.</w:t>
            </w:r>
          </w:p>
        </w:tc>
      </w:tr>
      <w:tr w14:paraId="1B68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shd w:val="clear" w:color="auto" w:fill="C1F0C8" w:themeFill="accent3" w:themeFillTint="33"/>
            <w:vAlign w:val="center"/>
          </w:tcPr>
          <w:p w14:paraId="754C9B5B">
            <w:pPr>
              <w:widowControl/>
              <w:adjustRightInd/>
              <w:snapToGrid/>
              <w:spacing w:line="240" w:lineRule="auto"/>
              <w:jc w:val="center"/>
              <w:rPr>
                <w:rFonts w:cs="Times New Roman"/>
                <w:b/>
                <w:bCs/>
                <w:szCs w:val="24"/>
              </w:rPr>
            </w:pPr>
            <w:r>
              <w:rPr>
                <w:rFonts w:cs="Times New Roman"/>
                <w:b/>
                <w:bCs/>
                <w:szCs w:val="24"/>
              </w:rPr>
              <w:t xml:space="preserve">2 </w:t>
            </w:r>
            <w:r>
              <w:rPr>
                <w:rFonts w:cs="Times New Roman"/>
                <w:szCs w:val="24"/>
                <w:lang w:bidi="ar"/>
              </w:rPr>
              <w:t>Rehabilitation Assessment</w:t>
            </w:r>
          </w:p>
        </w:tc>
        <w:tc>
          <w:tcPr>
            <w:tcW w:w="1788" w:type="dxa"/>
            <w:shd w:val="clear" w:color="auto" w:fill="C1F0C8" w:themeFill="accent3" w:themeFillTint="33"/>
            <w:vAlign w:val="center"/>
          </w:tcPr>
          <w:p w14:paraId="16F0FA95">
            <w:pPr>
              <w:widowControl/>
              <w:adjustRightInd/>
              <w:snapToGrid/>
              <w:spacing w:line="240" w:lineRule="auto"/>
              <w:jc w:val="center"/>
              <w:rPr>
                <w:rFonts w:cs="Times New Roman"/>
                <w:szCs w:val="24"/>
              </w:rPr>
            </w:pPr>
            <w:r>
              <w:rPr>
                <w:rFonts w:cs="Times New Roman"/>
                <w:b/>
                <w:bCs/>
                <w:szCs w:val="24"/>
              </w:rPr>
              <w:t xml:space="preserve">2.1 </w:t>
            </w:r>
            <w:r>
              <w:rPr>
                <w:rFonts w:cs="Times New Roman"/>
                <w:szCs w:val="24"/>
              </w:rPr>
              <w:t>Assessment content</w:t>
            </w:r>
            <w:r>
              <w:rPr>
                <w:rFonts w:cs="Times New Roman"/>
                <w:szCs w:val="24"/>
                <w:lang w:bidi="ar"/>
              </w:rPr>
              <w:t xml:space="preserve"> </w:t>
            </w:r>
          </w:p>
        </w:tc>
        <w:tc>
          <w:tcPr>
            <w:tcW w:w="10505" w:type="dxa"/>
            <w:gridSpan w:val="5"/>
            <w:shd w:val="clear" w:color="auto" w:fill="C1F0C8" w:themeFill="accent3" w:themeFillTint="33"/>
            <w:vAlign w:val="center"/>
          </w:tcPr>
          <w:p w14:paraId="35C9D7CF">
            <w:pPr>
              <w:widowControl/>
              <w:adjustRightInd/>
              <w:snapToGrid/>
              <w:spacing w:line="240" w:lineRule="auto"/>
              <w:jc w:val="left"/>
              <w:rPr>
                <w:rFonts w:cs="Times New Roman"/>
                <w:szCs w:val="24"/>
              </w:rPr>
            </w:pPr>
            <w:r>
              <w:rPr>
                <w:rFonts w:cs="Times New Roman"/>
                <w:b/>
                <w:bCs/>
                <w:szCs w:val="24"/>
              </w:rPr>
              <w:t>2.1.1</w:t>
            </w:r>
            <w:r>
              <w:rPr>
                <w:rFonts w:cs="Times New Roman"/>
                <w:szCs w:val="24"/>
              </w:rPr>
              <w:t xml:space="preserve"> </w:t>
            </w:r>
            <w:r>
              <w:rPr>
                <w:rFonts w:cs="Times New Roman"/>
                <w:szCs w:val="24"/>
                <w:lang w:bidi="ar"/>
              </w:rPr>
              <w:t>Clinical characteristics, vital signs, imaging findings, laboratory tests, exercise tolerance, nutritional status, cardiopulmonary function, hemodynamic parameters, psychological and social factors, etc.</w:t>
            </w:r>
          </w:p>
        </w:tc>
      </w:tr>
      <w:tr w14:paraId="74EC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C1F0C8" w:themeFill="accent3" w:themeFillTint="33"/>
            <w:vAlign w:val="center"/>
          </w:tcPr>
          <w:p w14:paraId="2202E933">
            <w:pPr>
              <w:jc w:val="center"/>
              <w:rPr>
                <w:rFonts w:cs="Times New Roman"/>
                <w:szCs w:val="24"/>
                <w:lang w:bidi="ar"/>
              </w:rPr>
            </w:pPr>
          </w:p>
        </w:tc>
        <w:tc>
          <w:tcPr>
            <w:tcW w:w="1788" w:type="dxa"/>
            <w:vMerge w:val="restart"/>
            <w:shd w:val="clear" w:color="auto" w:fill="C1F0C8" w:themeFill="accent3" w:themeFillTint="33"/>
            <w:vAlign w:val="center"/>
          </w:tcPr>
          <w:p w14:paraId="64B90EC2">
            <w:pPr>
              <w:widowControl/>
              <w:adjustRightInd/>
              <w:snapToGrid/>
              <w:spacing w:line="240" w:lineRule="auto"/>
              <w:jc w:val="center"/>
              <w:rPr>
                <w:rFonts w:cs="Times New Roman"/>
                <w:szCs w:val="24"/>
                <w:lang w:bidi="ar"/>
              </w:rPr>
            </w:pPr>
            <w:r>
              <w:rPr>
                <w:rFonts w:cs="Times New Roman"/>
                <w:b/>
                <w:bCs/>
                <w:szCs w:val="24"/>
              </w:rPr>
              <w:t>2.2</w:t>
            </w:r>
            <w:r>
              <w:rPr>
                <w:rFonts w:cs="Times New Roman"/>
                <w:szCs w:val="24"/>
              </w:rPr>
              <w:t xml:space="preserve"> </w:t>
            </w:r>
            <w:r>
              <w:rPr>
                <w:rFonts w:cs="Times New Roman"/>
                <w:szCs w:val="24"/>
                <w:lang w:bidi="ar"/>
              </w:rPr>
              <w:t>Assessment of exercise safety</w:t>
            </w:r>
          </w:p>
          <w:p w14:paraId="2A782263">
            <w:pPr>
              <w:widowControl/>
              <w:adjustRightInd/>
              <w:snapToGrid/>
              <w:spacing w:line="240" w:lineRule="auto"/>
              <w:jc w:val="center"/>
              <w:rPr>
                <w:rFonts w:cs="Times New Roman"/>
                <w:szCs w:val="24"/>
              </w:rPr>
            </w:pPr>
          </w:p>
        </w:tc>
        <w:tc>
          <w:tcPr>
            <w:tcW w:w="10505" w:type="dxa"/>
            <w:gridSpan w:val="5"/>
            <w:shd w:val="clear" w:color="auto" w:fill="C1F0C8" w:themeFill="accent3" w:themeFillTint="33"/>
            <w:vAlign w:val="center"/>
          </w:tcPr>
          <w:p w14:paraId="5DCBF7BF">
            <w:pPr>
              <w:widowControl/>
              <w:adjustRightInd/>
              <w:snapToGrid/>
              <w:spacing w:line="240" w:lineRule="auto"/>
              <w:jc w:val="left"/>
              <w:rPr>
                <w:rFonts w:cs="Times New Roman"/>
                <w:szCs w:val="24"/>
              </w:rPr>
            </w:pPr>
            <w:r>
              <w:rPr>
                <w:rFonts w:cs="Times New Roman"/>
                <w:b/>
                <w:bCs/>
                <w:szCs w:val="24"/>
              </w:rPr>
              <w:t>2.2.1</w:t>
            </w:r>
            <w:r>
              <w:rPr>
                <w:rFonts w:cs="Times New Roman"/>
                <w:szCs w:val="24"/>
              </w:rPr>
              <w:t xml:space="preserve"> Safety indicators: At rest or before exercise, the following criteria must be met: </w:t>
            </w:r>
            <w:r>
              <w:rPr>
                <w:rFonts w:ascii="Cambria Math" w:hAnsi="Cambria Math" w:cs="Cambria Math"/>
                <w:szCs w:val="24"/>
              </w:rPr>
              <w:t>①</w:t>
            </w:r>
            <w:r>
              <w:rPr>
                <w:rFonts w:cs="Times New Roman"/>
                <w:szCs w:val="24"/>
              </w:rPr>
              <w:t xml:space="preserve"> mean arterial pressure (MAP) 60–100 mmHg; </w:t>
            </w:r>
            <w:r>
              <w:rPr>
                <w:rFonts w:ascii="Cambria Math" w:hAnsi="Cambria Math" w:cs="Cambria Math"/>
                <w:szCs w:val="24"/>
              </w:rPr>
              <w:t>②</w:t>
            </w:r>
            <w:r>
              <w:rPr>
                <w:rFonts w:cs="Times New Roman"/>
                <w:szCs w:val="24"/>
              </w:rPr>
              <w:t xml:space="preserve"> systolic blood pressure (SBP) 90–160 mmHg; </w:t>
            </w:r>
            <w:r>
              <w:rPr>
                <w:rFonts w:ascii="Cambria Math" w:hAnsi="Cambria Math" w:cs="Cambria Math"/>
                <w:szCs w:val="24"/>
              </w:rPr>
              <w:t>③</w:t>
            </w:r>
            <w:r>
              <w:rPr>
                <w:rFonts w:cs="Times New Roman"/>
                <w:szCs w:val="24"/>
              </w:rPr>
              <w:t xml:space="preserve"> resting heart rate 60–100 beats/min; </w:t>
            </w:r>
            <w:r>
              <w:rPr>
                <w:rFonts w:ascii="Cambria Math" w:hAnsi="Cambria Math" w:cs="Cambria Math"/>
                <w:szCs w:val="24"/>
              </w:rPr>
              <w:t>④</w:t>
            </w:r>
            <w:r>
              <w:rPr>
                <w:rFonts w:cs="Times New Roman"/>
                <w:szCs w:val="24"/>
              </w:rPr>
              <w:t xml:space="preserve"> respiratory rate 12–28 breaths/min; </w:t>
            </w:r>
            <w:r>
              <w:rPr>
                <w:rFonts w:ascii="Cambria Math" w:hAnsi="Cambria Math" w:cs="Cambria Math"/>
                <w:szCs w:val="24"/>
              </w:rPr>
              <w:t>⑤</w:t>
            </w:r>
            <w:r>
              <w:rPr>
                <w:rFonts w:cs="Times New Roman"/>
                <w:szCs w:val="24"/>
              </w:rPr>
              <w:t xml:space="preserve"> SpO₂ ≥ 80% (may be adjusted by healthcare professionals based on individual tolerance and altitude, but generally should not fall below 70%); </w:t>
            </w:r>
            <w:r>
              <w:rPr>
                <w:rFonts w:ascii="Cambria Math" w:hAnsi="Cambria Math" w:cs="Cambria Math"/>
                <w:szCs w:val="24"/>
              </w:rPr>
              <w:t>⑥</w:t>
            </w:r>
            <w:r>
              <w:rPr>
                <w:rFonts w:cs="Times New Roman"/>
                <w:szCs w:val="24"/>
              </w:rPr>
              <w:t xml:space="preserve"> alert and able to follow instructions.</w:t>
            </w:r>
          </w:p>
        </w:tc>
      </w:tr>
      <w:tr w14:paraId="5A33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C1F0C8" w:themeFill="accent3" w:themeFillTint="33"/>
            <w:vAlign w:val="center"/>
          </w:tcPr>
          <w:p w14:paraId="24ADA5F8">
            <w:pPr>
              <w:jc w:val="center"/>
              <w:rPr>
                <w:rFonts w:cs="Times New Roman"/>
                <w:szCs w:val="24"/>
                <w:lang w:bidi="ar"/>
              </w:rPr>
            </w:pPr>
          </w:p>
        </w:tc>
        <w:tc>
          <w:tcPr>
            <w:tcW w:w="1788" w:type="dxa"/>
            <w:vMerge w:val="continue"/>
            <w:shd w:val="clear" w:color="auto" w:fill="C1F0C8" w:themeFill="accent3" w:themeFillTint="33"/>
            <w:vAlign w:val="center"/>
          </w:tcPr>
          <w:p w14:paraId="34C4DBC2">
            <w:pPr>
              <w:jc w:val="center"/>
              <w:rPr>
                <w:rFonts w:cs="Times New Roman"/>
                <w:szCs w:val="24"/>
                <w:lang w:bidi="ar"/>
              </w:rPr>
            </w:pPr>
          </w:p>
        </w:tc>
        <w:tc>
          <w:tcPr>
            <w:tcW w:w="10505" w:type="dxa"/>
            <w:gridSpan w:val="5"/>
            <w:shd w:val="clear" w:color="auto" w:fill="C1F0C8" w:themeFill="accent3" w:themeFillTint="33"/>
            <w:vAlign w:val="center"/>
          </w:tcPr>
          <w:p w14:paraId="7F2F71F2">
            <w:pPr>
              <w:widowControl/>
              <w:adjustRightInd/>
              <w:snapToGrid/>
              <w:spacing w:line="240" w:lineRule="auto"/>
              <w:jc w:val="left"/>
              <w:rPr>
                <w:rFonts w:cs="Times New Roman"/>
                <w:szCs w:val="24"/>
              </w:rPr>
            </w:pPr>
            <w:r>
              <w:rPr>
                <w:rFonts w:cs="Times New Roman"/>
                <w:b/>
                <w:bCs/>
                <w:szCs w:val="24"/>
              </w:rPr>
              <w:t>2.2.2</w:t>
            </w:r>
            <w:r>
              <w:rPr>
                <w:rFonts w:cs="Times New Roman"/>
                <w:szCs w:val="24"/>
              </w:rPr>
              <w:t xml:space="preserve"> </w:t>
            </w:r>
            <w:r>
              <w:rPr>
                <w:rFonts w:cs="Times New Roman"/>
                <w:szCs w:val="24"/>
                <w:lang w:bidi="ar"/>
              </w:rPr>
              <w:t>Relative contraindications: Conditions requiring careful evaluation and possible postponement or adjustment of the rehabilitation program: severe cognitive impairment, progressive neuromuscular disease, uncorrectable severe anemia, lack of motivation, severe fatigue related to debilitation, uncorrectable severe visual impairment, short life expectancy (&lt;6 months), etc.</w:t>
            </w:r>
          </w:p>
        </w:tc>
      </w:tr>
      <w:tr w14:paraId="064C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C1F0C8" w:themeFill="accent3" w:themeFillTint="33"/>
            <w:vAlign w:val="center"/>
          </w:tcPr>
          <w:p w14:paraId="7E347836">
            <w:pPr>
              <w:jc w:val="center"/>
              <w:rPr>
                <w:rFonts w:cs="Times New Roman"/>
                <w:szCs w:val="24"/>
                <w:lang w:bidi="ar"/>
              </w:rPr>
            </w:pPr>
          </w:p>
        </w:tc>
        <w:tc>
          <w:tcPr>
            <w:tcW w:w="1788" w:type="dxa"/>
            <w:vMerge w:val="continue"/>
            <w:shd w:val="clear" w:color="auto" w:fill="C1F0C8" w:themeFill="accent3" w:themeFillTint="33"/>
            <w:vAlign w:val="center"/>
          </w:tcPr>
          <w:p w14:paraId="3DF4A2B5">
            <w:pPr>
              <w:jc w:val="center"/>
              <w:rPr>
                <w:rFonts w:cs="Times New Roman"/>
                <w:szCs w:val="24"/>
                <w:lang w:bidi="ar"/>
              </w:rPr>
            </w:pPr>
          </w:p>
        </w:tc>
        <w:tc>
          <w:tcPr>
            <w:tcW w:w="10505" w:type="dxa"/>
            <w:gridSpan w:val="5"/>
            <w:shd w:val="clear" w:color="auto" w:fill="C1F0C8" w:themeFill="accent3" w:themeFillTint="33"/>
            <w:vAlign w:val="center"/>
          </w:tcPr>
          <w:p w14:paraId="6D12D397">
            <w:pPr>
              <w:widowControl/>
              <w:adjustRightInd/>
              <w:snapToGrid/>
              <w:spacing w:line="240" w:lineRule="auto"/>
              <w:jc w:val="left"/>
              <w:rPr>
                <w:rFonts w:cs="Times New Roman"/>
                <w:szCs w:val="24"/>
              </w:rPr>
            </w:pPr>
            <w:r>
              <w:rPr>
                <w:rFonts w:cs="Times New Roman"/>
                <w:b/>
                <w:bCs/>
                <w:szCs w:val="24"/>
              </w:rPr>
              <w:t xml:space="preserve">2.2.3 </w:t>
            </w:r>
            <w:r>
              <w:rPr>
                <w:rFonts w:cs="Times New Roman"/>
                <w:szCs w:val="24"/>
                <w:lang w:bidi="ar"/>
              </w:rPr>
              <w:t>Absolute contraindications: Conditions prohibiting exercise training: unstable angina or arrhythmia, decompensated heart failure, hemodynamic instability, unstable fractures, bleeding or hematoma at puncture sites, use of vasoactive drugs for life support, active deep vein thrombosis, infectious diseases that pose a risk to others at rest without isolation facilities, unstable psychiatric conditions with risk of self-harm or harm to others.</w:t>
            </w:r>
          </w:p>
        </w:tc>
      </w:tr>
      <w:tr w14:paraId="1B16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C1F0C8" w:themeFill="accent3" w:themeFillTint="33"/>
            <w:vAlign w:val="center"/>
          </w:tcPr>
          <w:p w14:paraId="363BE75E">
            <w:pPr>
              <w:jc w:val="center"/>
              <w:rPr>
                <w:rFonts w:cs="Times New Roman"/>
                <w:szCs w:val="24"/>
                <w:lang w:bidi="ar"/>
              </w:rPr>
            </w:pPr>
          </w:p>
        </w:tc>
        <w:tc>
          <w:tcPr>
            <w:tcW w:w="1788" w:type="dxa"/>
            <w:shd w:val="clear" w:color="auto" w:fill="C1F0C8" w:themeFill="accent3" w:themeFillTint="33"/>
            <w:vAlign w:val="center"/>
          </w:tcPr>
          <w:p w14:paraId="3327DD50">
            <w:pPr>
              <w:widowControl/>
              <w:adjustRightInd/>
              <w:snapToGrid/>
              <w:spacing w:line="240" w:lineRule="auto"/>
              <w:jc w:val="center"/>
              <w:rPr>
                <w:rFonts w:cs="Times New Roman"/>
                <w:szCs w:val="24"/>
              </w:rPr>
            </w:pPr>
            <w:r>
              <w:rPr>
                <w:rFonts w:cs="Times New Roman"/>
                <w:b/>
                <w:bCs/>
                <w:szCs w:val="24"/>
              </w:rPr>
              <w:t>2.3</w:t>
            </w:r>
            <w:r>
              <w:rPr>
                <w:rFonts w:cs="Times New Roman"/>
                <w:szCs w:val="24"/>
              </w:rPr>
              <w:t xml:space="preserve"> </w:t>
            </w:r>
            <w:r>
              <w:rPr>
                <w:rFonts w:cs="Times New Roman"/>
                <w:szCs w:val="24"/>
                <w:lang w:bidi="ar"/>
              </w:rPr>
              <w:t>Assessment of risk stratification</w:t>
            </w:r>
          </w:p>
        </w:tc>
        <w:tc>
          <w:tcPr>
            <w:tcW w:w="10505" w:type="dxa"/>
            <w:gridSpan w:val="5"/>
            <w:tcBorders>
              <w:bottom w:val="single" w:color="auto" w:sz="12" w:space="0"/>
            </w:tcBorders>
            <w:shd w:val="clear" w:color="auto" w:fill="C1F0C8" w:themeFill="accent3" w:themeFillTint="33"/>
            <w:vAlign w:val="center"/>
          </w:tcPr>
          <w:p w14:paraId="1B620993">
            <w:pPr>
              <w:widowControl/>
              <w:adjustRightInd/>
              <w:snapToGrid/>
              <w:spacing w:line="240" w:lineRule="auto"/>
              <w:jc w:val="left"/>
              <w:rPr>
                <w:rFonts w:cs="Times New Roman"/>
                <w:szCs w:val="24"/>
              </w:rPr>
            </w:pPr>
            <w:r>
              <w:rPr>
                <w:rFonts w:cs="Times New Roman"/>
                <w:b/>
                <w:bCs/>
                <w:szCs w:val="24"/>
              </w:rPr>
              <w:t>2.3.1</w:t>
            </w:r>
            <w:r>
              <w:rPr>
                <w:rFonts w:cs="Times New Roman"/>
                <w:szCs w:val="24"/>
              </w:rPr>
              <w:t xml:space="preserve"> Use the 2022 European Society of Cardiology/European Respiratory Society (ESC/ERS) Guidelines for the Diagnosis and Treatment of Pulmonary Hypertension to stratify patients with pulmonary hypertension (low-risk, intermediate-risk, high-risk) to guide overall treatment and rehabilitation strategies.</w:t>
            </w:r>
          </w:p>
        </w:tc>
      </w:tr>
      <w:tr w14:paraId="4D4F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shd w:val="clear" w:color="auto" w:fill="F1CEEE" w:themeFill="accent5" w:themeFillTint="33"/>
            <w:vAlign w:val="center"/>
          </w:tcPr>
          <w:p w14:paraId="39CEE0D4">
            <w:pPr>
              <w:widowControl/>
              <w:adjustRightInd/>
              <w:snapToGrid/>
              <w:spacing w:line="240" w:lineRule="auto"/>
              <w:jc w:val="center"/>
              <w:rPr>
                <w:rFonts w:cs="Times New Roman"/>
                <w:szCs w:val="24"/>
              </w:rPr>
            </w:pPr>
            <w:r>
              <w:rPr>
                <w:rFonts w:cs="Times New Roman"/>
                <w:b/>
                <w:bCs/>
                <w:szCs w:val="24"/>
              </w:rPr>
              <w:t>3</w:t>
            </w:r>
            <w:r>
              <w:rPr>
                <w:rFonts w:cs="Times New Roman"/>
                <w:szCs w:val="24"/>
              </w:rPr>
              <w:t xml:space="preserve"> </w:t>
            </w:r>
            <w:r>
              <w:rPr>
                <w:rFonts w:cs="Times New Roman"/>
                <w:szCs w:val="24"/>
                <w:lang w:bidi="ar"/>
              </w:rPr>
              <w:t>Exercise Prescription</w:t>
            </w:r>
          </w:p>
        </w:tc>
        <w:tc>
          <w:tcPr>
            <w:tcW w:w="1788" w:type="dxa"/>
            <w:tcBorders>
              <w:right w:val="single" w:color="auto" w:sz="12" w:space="0"/>
            </w:tcBorders>
            <w:shd w:val="clear" w:color="auto" w:fill="F1CEEE" w:themeFill="accent5" w:themeFillTint="33"/>
          </w:tcPr>
          <w:p w14:paraId="5093F6B0">
            <w:pPr>
              <w:widowControl/>
              <w:adjustRightInd/>
              <w:snapToGrid/>
              <w:spacing w:line="240" w:lineRule="auto"/>
              <w:jc w:val="center"/>
              <w:rPr>
                <w:rFonts w:cs="Times New Roman"/>
                <w:szCs w:val="24"/>
              </w:rPr>
            </w:pPr>
            <w:r>
              <w:rPr>
                <w:rFonts w:cs="Times New Roman"/>
                <w:b/>
                <w:bCs/>
                <w:szCs w:val="24"/>
              </w:rPr>
              <w:t>3.1</w:t>
            </w:r>
            <w:r>
              <w:rPr>
                <w:rFonts w:cs="Times New Roman"/>
                <w:szCs w:val="24"/>
                <w:lang w:bidi="ar"/>
              </w:rPr>
              <w:t>Type</w:t>
            </w:r>
          </w:p>
        </w:tc>
        <w:tc>
          <w:tcPr>
            <w:tcW w:w="826" w:type="dxa"/>
            <w:tcBorders>
              <w:top w:val="single" w:color="auto" w:sz="12" w:space="0"/>
              <w:left w:val="single" w:color="auto" w:sz="12" w:space="0"/>
              <w:bottom w:val="single" w:color="auto" w:sz="12" w:space="0"/>
            </w:tcBorders>
            <w:shd w:val="clear" w:color="auto" w:fill="F1CEEE" w:themeFill="accent5" w:themeFillTint="33"/>
          </w:tcPr>
          <w:p w14:paraId="576B9753">
            <w:pPr>
              <w:jc w:val="left"/>
              <w:rPr>
                <w:rFonts w:cs="Times New Roman"/>
                <w:b/>
                <w:bCs/>
                <w:szCs w:val="24"/>
              </w:rPr>
            </w:pPr>
            <w:r>
              <w:rPr>
                <w:rFonts w:cs="Times New Roman"/>
                <w:b/>
                <w:bCs/>
                <w:szCs w:val="24"/>
              </w:rPr>
              <w:t>3.1.1</w:t>
            </w:r>
          </w:p>
        </w:tc>
        <w:tc>
          <w:tcPr>
            <w:tcW w:w="2744" w:type="dxa"/>
            <w:tcBorders>
              <w:top w:val="single" w:color="auto" w:sz="12" w:space="0"/>
              <w:bottom w:val="single" w:color="auto" w:sz="12" w:space="0"/>
            </w:tcBorders>
            <w:shd w:val="clear" w:color="auto" w:fill="F1CEEE" w:themeFill="accent5" w:themeFillTint="33"/>
          </w:tcPr>
          <w:p w14:paraId="55993FBD">
            <w:pPr>
              <w:jc w:val="left"/>
              <w:rPr>
                <w:rFonts w:cs="Times New Roman"/>
                <w:szCs w:val="24"/>
              </w:rPr>
            </w:pPr>
            <w:r>
              <w:rPr>
                <w:rFonts w:cs="Times New Roman"/>
                <w:szCs w:val="24"/>
              </w:rPr>
              <w:t>Aerobic exercise</w:t>
            </w:r>
          </w:p>
        </w:tc>
        <w:tc>
          <w:tcPr>
            <w:tcW w:w="2110" w:type="dxa"/>
            <w:tcBorders>
              <w:top w:val="single" w:color="auto" w:sz="12" w:space="0"/>
              <w:bottom w:val="single" w:color="auto" w:sz="12" w:space="0"/>
            </w:tcBorders>
            <w:shd w:val="clear" w:color="auto" w:fill="F1CEEE" w:themeFill="accent5" w:themeFillTint="33"/>
          </w:tcPr>
          <w:p w14:paraId="732F27C6">
            <w:pPr>
              <w:jc w:val="left"/>
              <w:rPr>
                <w:rFonts w:cs="Times New Roman"/>
                <w:szCs w:val="24"/>
              </w:rPr>
            </w:pPr>
            <w:r>
              <w:rPr>
                <w:rFonts w:cs="Times New Roman"/>
                <w:szCs w:val="24"/>
              </w:rPr>
              <w:t>Resistance exercise</w:t>
            </w:r>
          </w:p>
        </w:tc>
        <w:tc>
          <w:tcPr>
            <w:tcW w:w="2149" w:type="dxa"/>
            <w:tcBorders>
              <w:top w:val="single" w:color="auto" w:sz="12" w:space="0"/>
              <w:bottom w:val="single" w:color="auto" w:sz="12" w:space="0"/>
            </w:tcBorders>
            <w:shd w:val="clear" w:color="auto" w:fill="F1CEEE" w:themeFill="accent5" w:themeFillTint="33"/>
          </w:tcPr>
          <w:p w14:paraId="7315C944">
            <w:pPr>
              <w:jc w:val="left"/>
              <w:rPr>
                <w:rFonts w:cs="Times New Roman"/>
                <w:szCs w:val="24"/>
              </w:rPr>
            </w:pPr>
            <w:r>
              <w:rPr>
                <w:rFonts w:cs="Times New Roman"/>
                <w:szCs w:val="24"/>
                <w:lang w:bidi="ar"/>
              </w:rPr>
              <w:t>Breathing exercises</w:t>
            </w:r>
          </w:p>
        </w:tc>
        <w:tc>
          <w:tcPr>
            <w:tcW w:w="2676" w:type="dxa"/>
            <w:tcBorders>
              <w:top w:val="single" w:color="auto" w:sz="12" w:space="0"/>
              <w:bottom w:val="single" w:color="auto" w:sz="12" w:space="0"/>
              <w:right w:val="single" w:color="auto" w:sz="12" w:space="0"/>
            </w:tcBorders>
            <w:shd w:val="clear" w:color="auto" w:fill="F1CEEE" w:themeFill="accent5" w:themeFillTint="33"/>
          </w:tcPr>
          <w:p w14:paraId="25D73D1A">
            <w:pPr>
              <w:jc w:val="left"/>
              <w:rPr>
                <w:rFonts w:cs="Times New Roman"/>
                <w:szCs w:val="24"/>
                <w:lang w:bidi="ar"/>
              </w:rPr>
            </w:pPr>
            <w:r>
              <w:rPr>
                <w:rFonts w:cs="Times New Roman"/>
                <w:szCs w:val="24"/>
                <w:lang w:bidi="ar"/>
              </w:rPr>
              <w:t>Bed-based/Progressive Activities (for bedridden or severely functionally impaired patients)</w:t>
            </w:r>
          </w:p>
        </w:tc>
      </w:tr>
      <w:tr w14:paraId="61F6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091CBD68">
            <w:pPr>
              <w:jc w:val="center"/>
              <w:rPr>
                <w:rFonts w:cs="Times New Roman"/>
                <w:szCs w:val="24"/>
                <w:lang w:bidi="ar"/>
              </w:rPr>
            </w:pPr>
          </w:p>
        </w:tc>
        <w:tc>
          <w:tcPr>
            <w:tcW w:w="1788" w:type="dxa"/>
            <w:tcBorders>
              <w:right w:val="single" w:color="auto" w:sz="12" w:space="0"/>
            </w:tcBorders>
            <w:shd w:val="clear" w:color="auto" w:fill="F1CEEE" w:themeFill="accent5" w:themeFillTint="33"/>
          </w:tcPr>
          <w:p w14:paraId="2E9B067D">
            <w:pPr>
              <w:widowControl/>
              <w:adjustRightInd/>
              <w:snapToGrid/>
              <w:spacing w:line="240" w:lineRule="auto"/>
              <w:jc w:val="center"/>
              <w:rPr>
                <w:rFonts w:cs="Times New Roman"/>
                <w:szCs w:val="24"/>
              </w:rPr>
            </w:pPr>
            <w:r>
              <w:rPr>
                <w:rFonts w:cs="Times New Roman"/>
                <w:b/>
                <w:bCs/>
                <w:szCs w:val="24"/>
              </w:rPr>
              <w:t xml:space="preserve">3.2 </w:t>
            </w:r>
            <w:r>
              <w:rPr>
                <w:rFonts w:cs="Times New Roman"/>
                <w:szCs w:val="24"/>
              </w:rPr>
              <w:t>Form</w:t>
            </w:r>
          </w:p>
        </w:tc>
        <w:tc>
          <w:tcPr>
            <w:tcW w:w="826" w:type="dxa"/>
            <w:tcBorders>
              <w:top w:val="single" w:color="auto" w:sz="12" w:space="0"/>
              <w:left w:val="single" w:color="auto" w:sz="12" w:space="0"/>
              <w:bottom w:val="single" w:color="auto" w:sz="12" w:space="0"/>
            </w:tcBorders>
            <w:shd w:val="clear" w:color="auto" w:fill="F1CEEE" w:themeFill="accent5" w:themeFillTint="33"/>
          </w:tcPr>
          <w:p w14:paraId="0C54BCBC">
            <w:pPr>
              <w:jc w:val="left"/>
              <w:rPr>
                <w:rFonts w:cs="Times New Roman"/>
                <w:b/>
                <w:bCs/>
                <w:szCs w:val="24"/>
              </w:rPr>
            </w:pPr>
            <w:r>
              <w:rPr>
                <w:rFonts w:cs="Times New Roman"/>
                <w:b/>
                <w:bCs/>
                <w:szCs w:val="24"/>
              </w:rPr>
              <w:t xml:space="preserve">3.2.1 </w:t>
            </w:r>
          </w:p>
        </w:tc>
        <w:tc>
          <w:tcPr>
            <w:tcW w:w="2744" w:type="dxa"/>
            <w:tcBorders>
              <w:top w:val="single" w:color="auto" w:sz="12" w:space="0"/>
              <w:bottom w:val="single" w:color="auto" w:sz="12" w:space="0"/>
            </w:tcBorders>
            <w:shd w:val="clear" w:color="auto" w:fill="F1CEEE" w:themeFill="accent5" w:themeFillTint="33"/>
          </w:tcPr>
          <w:p w14:paraId="29D92B2D">
            <w:pPr>
              <w:jc w:val="left"/>
              <w:rPr>
                <w:rFonts w:cs="Times New Roman"/>
                <w:szCs w:val="24"/>
              </w:rPr>
            </w:pPr>
            <w:r>
              <w:rPr>
                <w:rFonts w:cs="Times New Roman"/>
                <w:szCs w:val="24"/>
              </w:rPr>
              <w:t>Brisk walking, jogging, stationary cycling, Baduanjin, Tai Chi, etc.</w:t>
            </w:r>
          </w:p>
        </w:tc>
        <w:tc>
          <w:tcPr>
            <w:tcW w:w="2110" w:type="dxa"/>
            <w:tcBorders>
              <w:top w:val="single" w:color="auto" w:sz="12" w:space="0"/>
              <w:bottom w:val="single" w:color="auto" w:sz="12" w:space="0"/>
            </w:tcBorders>
            <w:shd w:val="clear" w:color="auto" w:fill="F1CEEE" w:themeFill="accent5" w:themeFillTint="33"/>
          </w:tcPr>
          <w:p w14:paraId="0B5A1DA4">
            <w:pPr>
              <w:jc w:val="left"/>
              <w:rPr>
                <w:rFonts w:cs="Times New Roman"/>
                <w:szCs w:val="24"/>
              </w:rPr>
            </w:pPr>
            <w:r>
              <w:rPr>
                <w:rFonts w:cs="Times New Roman"/>
                <w:szCs w:val="24"/>
              </w:rPr>
              <w:t>Dumbbells, resistance bands, etc.</w:t>
            </w:r>
          </w:p>
        </w:tc>
        <w:tc>
          <w:tcPr>
            <w:tcW w:w="2149" w:type="dxa"/>
            <w:tcBorders>
              <w:top w:val="single" w:color="auto" w:sz="12" w:space="0"/>
              <w:bottom w:val="single" w:color="auto" w:sz="12" w:space="0"/>
            </w:tcBorders>
            <w:shd w:val="clear" w:color="auto" w:fill="F1CEEE" w:themeFill="accent5" w:themeFillTint="33"/>
          </w:tcPr>
          <w:p w14:paraId="1B2FCA36">
            <w:pPr>
              <w:jc w:val="left"/>
              <w:rPr>
                <w:rFonts w:cs="Times New Roman"/>
                <w:szCs w:val="24"/>
              </w:rPr>
            </w:pPr>
            <w:r>
              <w:rPr>
                <w:rFonts w:cs="Times New Roman"/>
                <w:szCs w:val="24"/>
              </w:rPr>
              <w:t>Diaphragmatic breathing, pursed-lip breathing, breathing exercises using devices (balloons, respiratory trainers, etc.)</w:t>
            </w:r>
          </w:p>
        </w:tc>
        <w:tc>
          <w:tcPr>
            <w:tcW w:w="2676" w:type="dxa"/>
            <w:tcBorders>
              <w:top w:val="single" w:color="auto" w:sz="12" w:space="0"/>
              <w:bottom w:val="single" w:color="auto" w:sz="12" w:space="0"/>
              <w:right w:val="single" w:color="auto" w:sz="12" w:space="0"/>
            </w:tcBorders>
            <w:shd w:val="clear" w:color="auto" w:fill="F1CEEE" w:themeFill="accent5" w:themeFillTint="33"/>
          </w:tcPr>
          <w:p w14:paraId="136D44D9">
            <w:pPr>
              <w:jc w:val="left"/>
              <w:rPr>
                <w:rFonts w:cs="Times New Roman"/>
                <w:szCs w:val="24"/>
              </w:rPr>
            </w:pPr>
            <w:r>
              <w:rPr>
                <w:rFonts w:cs="Times New Roman"/>
                <w:szCs w:val="24"/>
              </w:rPr>
              <w:t>Passive/active-assisted range of motion exercises, ankle pump exercises, assisted transfer training, etc.</w:t>
            </w:r>
          </w:p>
        </w:tc>
      </w:tr>
      <w:tr w14:paraId="5AF4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5AF0CC0E">
            <w:pPr>
              <w:jc w:val="center"/>
              <w:rPr>
                <w:rFonts w:cs="Times New Roman"/>
                <w:szCs w:val="24"/>
                <w:lang w:bidi="ar"/>
              </w:rPr>
            </w:pPr>
          </w:p>
        </w:tc>
        <w:tc>
          <w:tcPr>
            <w:tcW w:w="1788" w:type="dxa"/>
            <w:tcBorders>
              <w:right w:val="single" w:color="auto" w:sz="12" w:space="0"/>
            </w:tcBorders>
            <w:shd w:val="clear" w:color="auto" w:fill="F1CEEE" w:themeFill="accent5" w:themeFillTint="33"/>
          </w:tcPr>
          <w:p w14:paraId="62D12D58">
            <w:pPr>
              <w:widowControl/>
              <w:adjustRightInd/>
              <w:snapToGrid/>
              <w:spacing w:line="240" w:lineRule="auto"/>
              <w:jc w:val="center"/>
              <w:rPr>
                <w:rFonts w:cs="Times New Roman"/>
                <w:szCs w:val="24"/>
              </w:rPr>
            </w:pPr>
            <w:r>
              <w:rPr>
                <w:rFonts w:cs="Times New Roman"/>
                <w:b/>
                <w:bCs/>
                <w:szCs w:val="24"/>
              </w:rPr>
              <w:t>3.3</w:t>
            </w:r>
            <w:r>
              <w:rPr>
                <w:rFonts w:cs="Times New Roman"/>
                <w:szCs w:val="24"/>
              </w:rPr>
              <w:t xml:space="preserve"> Duration</w:t>
            </w:r>
          </w:p>
        </w:tc>
        <w:tc>
          <w:tcPr>
            <w:tcW w:w="826" w:type="dxa"/>
            <w:tcBorders>
              <w:top w:val="single" w:color="auto" w:sz="12" w:space="0"/>
              <w:left w:val="single" w:color="auto" w:sz="12" w:space="0"/>
              <w:bottom w:val="single" w:color="auto" w:sz="12" w:space="0"/>
            </w:tcBorders>
            <w:shd w:val="clear" w:color="auto" w:fill="F1CEEE" w:themeFill="accent5" w:themeFillTint="33"/>
          </w:tcPr>
          <w:p w14:paraId="0DC57744">
            <w:pPr>
              <w:jc w:val="left"/>
              <w:rPr>
                <w:rFonts w:cs="Times New Roman"/>
                <w:b/>
                <w:bCs/>
                <w:szCs w:val="24"/>
              </w:rPr>
            </w:pPr>
            <w:r>
              <w:rPr>
                <w:rFonts w:cs="Times New Roman"/>
                <w:b/>
                <w:bCs/>
                <w:szCs w:val="24"/>
              </w:rPr>
              <w:t xml:space="preserve">3.3.1 </w:t>
            </w:r>
          </w:p>
        </w:tc>
        <w:tc>
          <w:tcPr>
            <w:tcW w:w="2744" w:type="dxa"/>
            <w:tcBorders>
              <w:top w:val="single" w:color="auto" w:sz="12" w:space="0"/>
              <w:bottom w:val="single" w:color="auto" w:sz="12" w:space="0"/>
            </w:tcBorders>
            <w:shd w:val="clear" w:color="auto" w:fill="F1CEEE" w:themeFill="accent5" w:themeFillTint="33"/>
          </w:tcPr>
          <w:p w14:paraId="6B7D2D90">
            <w:pPr>
              <w:jc w:val="left"/>
              <w:rPr>
                <w:rFonts w:cs="Times New Roman"/>
                <w:szCs w:val="24"/>
              </w:rPr>
            </w:pPr>
            <w:r>
              <w:rPr>
                <w:rFonts w:cs="Times New Roman"/>
                <w:szCs w:val="24"/>
              </w:rPr>
              <w:t>10–30 min/session</w:t>
            </w:r>
          </w:p>
        </w:tc>
        <w:tc>
          <w:tcPr>
            <w:tcW w:w="2110" w:type="dxa"/>
            <w:tcBorders>
              <w:top w:val="single" w:color="auto" w:sz="12" w:space="0"/>
              <w:bottom w:val="single" w:color="auto" w:sz="12" w:space="0"/>
            </w:tcBorders>
            <w:shd w:val="clear" w:color="auto" w:fill="F1CEEE" w:themeFill="accent5" w:themeFillTint="33"/>
          </w:tcPr>
          <w:p w14:paraId="3C49E08E">
            <w:pPr>
              <w:jc w:val="left"/>
              <w:rPr>
                <w:rFonts w:cs="Times New Roman"/>
                <w:szCs w:val="24"/>
              </w:rPr>
            </w:pPr>
            <w:r>
              <w:rPr>
                <w:rFonts w:cs="Times New Roman"/>
                <w:szCs w:val="24"/>
              </w:rPr>
              <w:t>8–12 repetitions /set, 1–3 sets, completed within 10–20 minutes.</w:t>
            </w:r>
          </w:p>
        </w:tc>
        <w:tc>
          <w:tcPr>
            <w:tcW w:w="2149" w:type="dxa"/>
            <w:tcBorders>
              <w:top w:val="single" w:color="auto" w:sz="12" w:space="0"/>
              <w:bottom w:val="single" w:color="auto" w:sz="12" w:space="0"/>
            </w:tcBorders>
            <w:shd w:val="clear" w:color="auto" w:fill="F1CEEE" w:themeFill="accent5" w:themeFillTint="33"/>
          </w:tcPr>
          <w:p w14:paraId="79386925">
            <w:pPr>
              <w:jc w:val="left"/>
              <w:rPr>
                <w:rFonts w:cs="Times New Roman"/>
                <w:szCs w:val="24"/>
              </w:rPr>
            </w:pPr>
            <w:r>
              <w:rPr>
                <w:rFonts w:cs="Times New Roman"/>
                <w:szCs w:val="24"/>
              </w:rPr>
              <w:t>1–2 times/day, 10–15 min/session</w:t>
            </w:r>
          </w:p>
        </w:tc>
        <w:tc>
          <w:tcPr>
            <w:tcW w:w="2676" w:type="dxa"/>
            <w:tcBorders>
              <w:top w:val="single" w:color="auto" w:sz="12" w:space="0"/>
              <w:bottom w:val="single" w:color="auto" w:sz="12" w:space="0"/>
              <w:right w:val="single" w:color="auto" w:sz="12" w:space="0"/>
            </w:tcBorders>
            <w:shd w:val="clear" w:color="auto" w:fill="F1CEEE" w:themeFill="accent5" w:themeFillTint="33"/>
          </w:tcPr>
          <w:p w14:paraId="0426AE2D">
            <w:pPr>
              <w:jc w:val="left"/>
              <w:rPr>
                <w:rFonts w:cs="Times New Roman"/>
                <w:szCs w:val="24"/>
              </w:rPr>
            </w:pPr>
            <w:r>
              <w:rPr>
                <w:rFonts w:cs="Times New Roman"/>
                <w:szCs w:val="24"/>
              </w:rPr>
              <w:t>Start with very short durations (e.g., 1–3 minutes per movement) and gradually increase based on patient tolerance. Target: 1–2 times/day, 10–20 min/session.</w:t>
            </w:r>
          </w:p>
        </w:tc>
      </w:tr>
      <w:tr w14:paraId="5786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75AC28C5">
            <w:pPr>
              <w:jc w:val="center"/>
              <w:rPr>
                <w:rFonts w:cs="Times New Roman"/>
                <w:szCs w:val="24"/>
                <w:lang w:bidi="ar"/>
              </w:rPr>
            </w:pPr>
          </w:p>
        </w:tc>
        <w:tc>
          <w:tcPr>
            <w:tcW w:w="1788" w:type="dxa"/>
            <w:tcBorders>
              <w:right w:val="single" w:color="auto" w:sz="12" w:space="0"/>
            </w:tcBorders>
            <w:shd w:val="clear" w:color="auto" w:fill="F1CEEE" w:themeFill="accent5" w:themeFillTint="33"/>
          </w:tcPr>
          <w:p w14:paraId="68A513E9">
            <w:pPr>
              <w:widowControl/>
              <w:adjustRightInd/>
              <w:snapToGrid/>
              <w:spacing w:line="240" w:lineRule="auto"/>
              <w:jc w:val="center"/>
              <w:rPr>
                <w:rFonts w:cs="Times New Roman"/>
                <w:szCs w:val="24"/>
              </w:rPr>
            </w:pPr>
            <w:r>
              <w:rPr>
                <w:rFonts w:cs="Times New Roman"/>
                <w:b/>
                <w:bCs/>
                <w:szCs w:val="24"/>
              </w:rPr>
              <w:t xml:space="preserve">3.4 </w:t>
            </w:r>
            <w:r>
              <w:rPr>
                <w:rFonts w:cs="Times New Roman"/>
                <w:szCs w:val="24"/>
              </w:rPr>
              <w:t>Frequency</w:t>
            </w:r>
          </w:p>
        </w:tc>
        <w:tc>
          <w:tcPr>
            <w:tcW w:w="826" w:type="dxa"/>
            <w:tcBorders>
              <w:top w:val="single" w:color="auto" w:sz="12" w:space="0"/>
              <w:left w:val="single" w:color="auto" w:sz="12" w:space="0"/>
              <w:bottom w:val="single" w:color="auto" w:sz="12" w:space="0"/>
            </w:tcBorders>
            <w:shd w:val="clear" w:color="auto" w:fill="F1CEEE" w:themeFill="accent5" w:themeFillTint="33"/>
          </w:tcPr>
          <w:p w14:paraId="1FF9C5B6">
            <w:pPr>
              <w:jc w:val="left"/>
              <w:rPr>
                <w:rFonts w:cs="Times New Roman"/>
                <w:b/>
                <w:bCs/>
                <w:szCs w:val="24"/>
              </w:rPr>
            </w:pPr>
            <w:r>
              <w:rPr>
                <w:rFonts w:cs="Times New Roman"/>
                <w:b/>
                <w:bCs/>
                <w:szCs w:val="24"/>
              </w:rPr>
              <w:t xml:space="preserve">3.4.1 </w:t>
            </w:r>
          </w:p>
        </w:tc>
        <w:tc>
          <w:tcPr>
            <w:tcW w:w="2744" w:type="dxa"/>
            <w:tcBorders>
              <w:top w:val="single" w:color="auto" w:sz="12" w:space="0"/>
              <w:bottom w:val="single" w:color="auto" w:sz="12" w:space="0"/>
            </w:tcBorders>
            <w:shd w:val="clear" w:color="auto" w:fill="F1CEEE" w:themeFill="accent5" w:themeFillTint="33"/>
          </w:tcPr>
          <w:p w14:paraId="4C229874">
            <w:pPr>
              <w:jc w:val="left"/>
              <w:rPr>
                <w:rFonts w:cs="Times New Roman"/>
                <w:szCs w:val="24"/>
              </w:rPr>
            </w:pPr>
            <w:r>
              <w:rPr>
                <w:rFonts w:cs="Times New Roman"/>
                <w:szCs w:val="24"/>
              </w:rPr>
              <w:t>3–5 days/week, with a rest interval of ≥24 hours</w:t>
            </w:r>
          </w:p>
        </w:tc>
        <w:tc>
          <w:tcPr>
            <w:tcW w:w="2110" w:type="dxa"/>
            <w:tcBorders>
              <w:top w:val="single" w:color="auto" w:sz="12" w:space="0"/>
              <w:bottom w:val="single" w:color="auto" w:sz="12" w:space="0"/>
            </w:tcBorders>
            <w:shd w:val="clear" w:color="auto" w:fill="F1CEEE" w:themeFill="accent5" w:themeFillTint="33"/>
          </w:tcPr>
          <w:p w14:paraId="663F82F7">
            <w:pPr>
              <w:jc w:val="left"/>
              <w:rPr>
                <w:rFonts w:cs="Times New Roman"/>
                <w:szCs w:val="24"/>
              </w:rPr>
            </w:pPr>
            <w:r>
              <w:rPr>
                <w:rFonts w:cs="Times New Roman"/>
                <w:szCs w:val="24"/>
              </w:rPr>
              <w:t>2–3 days/week or every other day for the same muscle group</w:t>
            </w:r>
          </w:p>
        </w:tc>
        <w:tc>
          <w:tcPr>
            <w:tcW w:w="2149" w:type="dxa"/>
            <w:tcBorders>
              <w:top w:val="single" w:color="auto" w:sz="12" w:space="0"/>
              <w:bottom w:val="single" w:color="auto" w:sz="12" w:space="0"/>
            </w:tcBorders>
            <w:shd w:val="clear" w:color="auto" w:fill="F1CEEE" w:themeFill="accent5" w:themeFillTint="33"/>
          </w:tcPr>
          <w:p w14:paraId="2D901BFE">
            <w:pPr>
              <w:jc w:val="left"/>
              <w:rPr>
                <w:rFonts w:cs="Times New Roman"/>
                <w:szCs w:val="24"/>
              </w:rPr>
            </w:pPr>
            <w:r>
              <w:rPr>
                <w:rFonts w:cs="Times New Roman"/>
                <w:szCs w:val="24"/>
              </w:rPr>
              <w:t>At least 4–5 days/week, preferably 5–7 days/week</w:t>
            </w:r>
          </w:p>
        </w:tc>
        <w:tc>
          <w:tcPr>
            <w:tcW w:w="2676" w:type="dxa"/>
            <w:tcBorders>
              <w:top w:val="single" w:color="auto" w:sz="12" w:space="0"/>
              <w:bottom w:val="single" w:color="auto" w:sz="12" w:space="0"/>
              <w:right w:val="single" w:color="auto" w:sz="12" w:space="0"/>
            </w:tcBorders>
            <w:shd w:val="clear" w:color="auto" w:fill="F1CEEE" w:themeFill="accent5" w:themeFillTint="33"/>
          </w:tcPr>
          <w:p w14:paraId="0C8EA616">
            <w:pPr>
              <w:jc w:val="left"/>
              <w:rPr>
                <w:rFonts w:cs="Times New Roman"/>
                <w:szCs w:val="24"/>
              </w:rPr>
            </w:pPr>
            <w:r>
              <w:rPr>
                <w:rFonts w:cs="Times New Roman"/>
                <w:szCs w:val="24"/>
              </w:rPr>
              <w:t>At least 5 days/week.</w:t>
            </w:r>
          </w:p>
        </w:tc>
      </w:tr>
      <w:tr w14:paraId="1294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54543D6A">
            <w:pPr>
              <w:jc w:val="center"/>
              <w:rPr>
                <w:rFonts w:cs="Times New Roman"/>
                <w:szCs w:val="24"/>
                <w:lang w:bidi="ar"/>
              </w:rPr>
            </w:pPr>
          </w:p>
        </w:tc>
        <w:tc>
          <w:tcPr>
            <w:tcW w:w="1788" w:type="dxa"/>
            <w:tcBorders>
              <w:right w:val="single" w:color="auto" w:sz="12" w:space="0"/>
            </w:tcBorders>
            <w:shd w:val="clear" w:color="auto" w:fill="F1CEEE" w:themeFill="accent5" w:themeFillTint="33"/>
          </w:tcPr>
          <w:p w14:paraId="3EC4EDAA">
            <w:pPr>
              <w:widowControl/>
              <w:adjustRightInd/>
              <w:snapToGrid/>
              <w:spacing w:line="240" w:lineRule="auto"/>
              <w:jc w:val="center"/>
              <w:rPr>
                <w:rFonts w:cs="Times New Roman"/>
                <w:szCs w:val="24"/>
              </w:rPr>
            </w:pPr>
            <w:r>
              <w:rPr>
                <w:rFonts w:cs="Times New Roman"/>
                <w:b/>
                <w:bCs/>
                <w:szCs w:val="24"/>
              </w:rPr>
              <w:t xml:space="preserve">3.5 </w:t>
            </w:r>
            <w:r>
              <w:rPr>
                <w:rFonts w:cs="Times New Roman"/>
                <w:szCs w:val="24"/>
              </w:rPr>
              <w:t>Intensity</w:t>
            </w:r>
          </w:p>
        </w:tc>
        <w:tc>
          <w:tcPr>
            <w:tcW w:w="826" w:type="dxa"/>
            <w:tcBorders>
              <w:top w:val="single" w:color="auto" w:sz="12" w:space="0"/>
              <w:left w:val="single" w:color="auto" w:sz="12" w:space="0"/>
              <w:bottom w:val="single" w:color="auto" w:sz="12" w:space="0"/>
            </w:tcBorders>
            <w:shd w:val="clear" w:color="auto" w:fill="F1CEEE" w:themeFill="accent5" w:themeFillTint="33"/>
          </w:tcPr>
          <w:p w14:paraId="23DE6AA7">
            <w:pPr>
              <w:jc w:val="left"/>
              <w:rPr>
                <w:rFonts w:cs="Times New Roman"/>
                <w:b/>
                <w:bCs/>
                <w:szCs w:val="24"/>
              </w:rPr>
            </w:pPr>
            <w:r>
              <w:rPr>
                <w:rFonts w:cs="Times New Roman"/>
                <w:b/>
                <w:bCs/>
                <w:szCs w:val="24"/>
              </w:rPr>
              <w:t>3.5.1</w:t>
            </w:r>
          </w:p>
        </w:tc>
        <w:tc>
          <w:tcPr>
            <w:tcW w:w="2744" w:type="dxa"/>
            <w:tcBorders>
              <w:top w:val="single" w:color="auto" w:sz="12" w:space="0"/>
              <w:bottom w:val="single" w:color="auto" w:sz="12" w:space="0"/>
            </w:tcBorders>
            <w:shd w:val="clear" w:color="auto" w:fill="F1CEEE" w:themeFill="accent5" w:themeFillTint="33"/>
          </w:tcPr>
          <w:p w14:paraId="26AE3E9E">
            <w:pPr>
              <w:jc w:val="left"/>
              <w:rPr>
                <w:rFonts w:cs="Times New Roman"/>
                <w:szCs w:val="24"/>
              </w:rPr>
            </w:pPr>
            <w:r>
              <w:rPr>
                <w:rFonts w:cs="Times New Roman"/>
                <w:szCs w:val="24"/>
              </w:rPr>
              <w:t>Low-risk: 60–70% HRR (or 30–60% VO₂max, if known), with a Borg score maintained at 3–6.</w:t>
            </w:r>
          </w:p>
          <w:p w14:paraId="05A504D9">
            <w:pPr>
              <w:jc w:val="left"/>
              <w:rPr>
                <w:rFonts w:cs="Times New Roman"/>
                <w:szCs w:val="24"/>
              </w:rPr>
            </w:pPr>
            <w:r>
              <w:rPr>
                <w:rFonts w:cs="Times New Roman"/>
                <w:szCs w:val="24"/>
              </w:rPr>
              <w:t>Intermediate-risk: 50–60% HRR (or 30–40% VO₂max, if known), with a Borg score maintained at 3–5.</w:t>
            </w:r>
          </w:p>
          <w:p w14:paraId="26B7BD52">
            <w:pPr>
              <w:jc w:val="left"/>
              <w:rPr>
                <w:rFonts w:cs="Times New Roman"/>
                <w:szCs w:val="24"/>
              </w:rPr>
            </w:pPr>
            <w:r>
              <w:rPr>
                <w:rFonts w:cs="Times New Roman"/>
                <w:szCs w:val="24"/>
              </w:rPr>
              <w:t>High-risk: 30–50% HRR (or 30% VO₂max, if known), with a Borg score maintained at 2–4. [Note: HRR (heart rate reserve) = 220 – patient age – resting heart rate; target heart rate = (HRR × intensity%) + resting heart rate; VO₂max refers to maximal oxygen consumption]</w:t>
            </w:r>
          </w:p>
        </w:tc>
        <w:tc>
          <w:tcPr>
            <w:tcW w:w="2110" w:type="dxa"/>
            <w:tcBorders>
              <w:top w:val="single" w:color="auto" w:sz="12" w:space="0"/>
              <w:bottom w:val="single" w:color="auto" w:sz="12" w:space="0"/>
            </w:tcBorders>
            <w:shd w:val="clear" w:color="auto" w:fill="F1CEEE" w:themeFill="accent5" w:themeFillTint="33"/>
          </w:tcPr>
          <w:p w14:paraId="71E6A703">
            <w:pPr>
              <w:jc w:val="left"/>
              <w:rPr>
                <w:rFonts w:cs="Times New Roman"/>
                <w:szCs w:val="24"/>
              </w:rPr>
            </w:pPr>
            <w:r>
              <w:rPr>
                <w:rFonts w:cs="Times New Roman"/>
                <w:szCs w:val="24"/>
              </w:rPr>
              <w:t>Low-risk: 50%–75% 1RM,</w:t>
            </w:r>
            <w:r>
              <w:rPr>
                <w:rFonts w:hint="eastAsia" w:cs="Times New Roman"/>
                <w:szCs w:val="24"/>
              </w:rPr>
              <w:t xml:space="preserve"> </w:t>
            </w:r>
            <w:r>
              <w:rPr>
                <w:rFonts w:cs="Times New Roman"/>
                <w:szCs w:val="24"/>
              </w:rPr>
              <w:t>with a Borg score maintained at 3–6.</w:t>
            </w:r>
          </w:p>
          <w:p w14:paraId="2B8AC1EA">
            <w:pPr>
              <w:shd w:val="clear" w:color="auto" w:fill="F1CEEE" w:themeFill="accent5" w:themeFillTint="33"/>
              <w:jc w:val="left"/>
              <w:rPr>
                <w:rFonts w:cs="Times New Roman"/>
                <w:szCs w:val="24"/>
              </w:rPr>
            </w:pPr>
            <w:r>
              <w:rPr>
                <w:rFonts w:cs="Times New Roman"/>
                <w:szCs w:val="24"/>
              </w:rPr>
              <w:t>Intermediate-risk: 30%–50% 1RM,</w:t>
            </w:r>
            <w:r>
              <w:t xml:space="preserve"> </w:t>
            </w:r>
            <w:r>
              <w:rPr>
                <w:rFonts w:cs="Times New Roman"/>
                <w:szCs w:val="24"/>
              </w:rPr>
              <w:t>with a Borg score maintained at 3–5.</w:t>
            </w:r>
          </w:p>
          <w:p w14:paraId="5279202F">
            <w:pPr>
              <w:shd w:val="clear" w:color="auto" w:fill="F1CEEE" w:themeFill="accent5" w:themeFillTint="33"/>
              <w:jc w:val="left"/>
              <w:rPr>
                <w:rFonts w:cs="Times New Roman"/>
                <w:szCs w:val="24"/>
              </w:rPr>
            </w:pPr>
            <w:r>
              <w:rPr>
                <w:rFonts w:cs="Times New Roman"/>
                <w:szCs w:val="24"/>
              </w:rPr>
              <w:t>High-risk: &lt;30% 1RM,</w:t>
            </w:r>
            <w:r>
              <w:t xml:space="preserve"> </w:t>
            </w:r>
            <w:r>
              <w:rPr>
                <w:rFonts w:cs="Times New Roman"/>
                <w:szCs w:val="24"/>
              </w:rPr>
              <w:t>with a Borg score maintained at 2–4.</w:t>
            </w:r>
          </w:p>
          <w:p w14:paraId="1C9ABCF5">
            <w:pPr>
              <w:jc w:val="left"/>
              <w:rPr>
                <w:rFonts w:cs="Times New Roman"/>
                <w:szCs w:val="24"/>
              </w:rPr>
            </w:pPr>
            <w:r>
              <w:rPr>
                <w:rFonts w:cs="Times New Roman"/>
                <w:szCs w:val="24"/>
              </w:rPr>
              <w:t>(1RM refers to the maximum weight that can be lifted in a single repetition) Maintain a Borg score of 2–4</w:t>
            </w:r>
          </w:p>
        </w:tc>
        <w:tc>
          <w:tcPr>
            <w:tcW w:w="2149" w:type="dxa"/>
            <w:tcBorders>
              <w:top w:val="single" w:color="auto" w:sz="12" w:space="0"/>
              <w:bottom w:val="single" w:color="auto" w:sz="12" w:space="0"/>
            </w:tcBorders>
            <w:shd w:val="clear" w:color="auto" w:fill="F1CEEE" w:themeFill="accent5" w:themeFillTint="33"/>
          </w:tcPr>
          <w:p w14:paraId="774FD1E6">
            <w:pPr>
              <w:jc w:val="left"/>
              <w:rPr>
                <w:rFonts w:cs="Times New Roman"/>
                <w:szCs w:val="24"/>
              </w:rPr>
            </w:pPr>
            <w:r>
              <w:rPr>
                <w:rFonts w:cs="Times New Roman"/>
                <w:szCs w:val="24"/>
              </w:rPr>
              <w:t>Starting intensity at 30% of maximal inspiratory pressure, adjusted based on patient tolerance</w:t>
            </w:r>
          </w:p>
        </w:tc>
        <w:tc>
          <w:tcPr>
            <w:tcW w:w="2676" w:type="dxa"/>
            <w:tcBorders>
              <w:top w:val="single" w:color="auto" w:sz="12" w:space="0"/>
              <w:bottom w:val="single" w:color="auto" w:sz="12" w:space="0"/>
              <w:right w:val="single" w:color="auto" w:sz="12" w:space="0"/>
            </w:tcBorders>
            <w:shd w:val="clear" w:color="auto" w:fill="F1CEEE" w:themeFill="accent5" w:themeFillTint="33"/>
          </w:tcPr>
          <w:p w14:paraId="4C346F06">
            <w:pPr>
              <w:jc w:val="left"/>
              <w:rPr>
                <w:rFonts w:cs="Times New Roman"/>
                <w:szCs w:val="24"/>
              </w:rPr>
            </w:pPr>
            <w:r>
              <w:rPr>
                <w:rFonts w:cs="Times New Roman"/>
                <w:szCs w:val="24"/>
              </w:rPr>
              <w:t>Borg score: 0–2.</w:t>
            </w:r>
          </w:p>
        </w:tc>
      </w:tr>
      <w:tr w14:paraId="6071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53C78E37">
            <w:pPr>
              <w:jc w:val="center"/>
              <w:rPr>
                <w:rFonts w:cs="Times New Roman"/>
                <w:szCs w:val="24"/>
                <w:lang w:bidi="ar"/>
              </w:rPr>
            </w:pPr>
          </w:p>
        </w:tc>
        <w:tc>
          <w:tcPr>
            <w:tcW w:w="1788" w:type="dxa"/>
            <w:vMerge w:val="restart"/>
            <w:shd w:val="clear" w:color="auto" w:fill="F1CEEE" w:themeFill="accent5" w:themeFillTint="33"/>
          </w:tcPr>
          <w:p w14:paraId="29A7AF2B">
            <w:pPr>
              <w:widowControl/>
              <w:adjustRightInd/>
              <w:snapToGrid/>
              <w:spacing w:line="240" w:lineRule="auto"/>
              <w:jc w:val="center"/>
              <w:rPr>
                <w:rFonts w:cs="Times New Roman"/>
                <w:szCs w:val="24"/>
              </w:rPr>
            </w:pPr>
            <w:r>
              <w:rPr>
                <w:rFonts w:cs="Times New Roman"/>
                <w:b/>
                <w:bCs/>
                <w:szCs w:val="24"/>
              </w:rPr>
              <w:t xml:space="preserve">3.6 </w:t>
            </w:r>
            <w:r>
              <w:rPr>
                <w:rFonts w:cs="Times New Roman"/>
                <w:szCs w:val="24"/>
              </w:rPr>
              <w:t>Precautions</w:t>
            </w:r>
          </w:p>
        </w:tc>
        <w:tc>
          <w:tcPr>
            <w:tcW w:w="10505" w:type="dxa"/>
            <w:gridSpan w:val="5"/>
            <w:tcBorders>
              <w:top w:val="single" w:color="auto" w:sz="12" w:space="0"/>
            </w:tcBorders>
            <w:shd w:val="clear" w:color="auto" w:fill="F1CEEE" w:themeFill="accent5" w:themeFillTint="33"/>
            <w:vAlign w:val="center"/>
          </w:tcPr>
          <w:p w14:paraId="20F7E0A3">
            <w:pPr>
              <w:jc w:val="left"/>
              <w:rPr>
                <w:rFonts w:cs="Times New Roman"/>
                <w:szCs w:val="24"/>
              </w:rPr>
            </w:pPr>
            <w:r>
              <w:rPr>
                <w:rFonts w:cs="Times New Roman"/>
                <w:b/>
                <w:bCs/>
                <w:szCs w:val="24"/>
              </w:rPr>
              <w:t xml:space="preserve">3.6.1 </w:t>
            </w:r>
            <w:r>
              <w:rPr>
                <w:rFonts w:cs="Times New Roman"/>
                <w:szCs w:val="24"/>
                <w:lang w:bidi="ar"/>
              </w:rPr>
              <w:t>Adopt a combined approach of aerobic/resistance/bed-based progressive activities with breathing exercises, using an “exercise–rest–exercise” intermittent pattern, following the principle of gradual progression.</w:t>
            </w:r>
          </w:p>
        </w:tc>
      </w:tr>
      <w:tr w14:paraId="4800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7DB35459">
            <w:pPr>
              <w:jc w:val="center"/>
              <w:rPr>
                <w:rFonts w:cs="Times New Roman"/>
                <w:szCs w:val="24"/>
                <w:lang w:bidi="ar"/>
              </w:rPr>
            </w:pPr>
          </w:p>
        </w:tc>
        <w:tc>
          <w:tcPr>
            <w:tcW w:w="1788" w:type="dxa"/>
            <w:vMerge w:val="continue"/>
            <w:shd w:val="clear" w:color="auto" w:fill="F1CEEE" w:themeFill="accent5" w:themeFillTint="33"/>
          </w:tcPr>
          <w:p w14:paraId="63B7D9C9">
            <w:pPr>
              <w:jc w:val="center"/>
              <w:rPr>
                <w:rFonts w:cs="Times New Roman"/>
                <w:szCs w:val="24"/>
                <w:lang w:bidi="ar"/>
              </w:rPr>
            </w:pPr>
          </w:p>
        </w:tc>
        <w:tc>
          <w:tcPr>
            <w:tcW w:w="10505" w:type="dxa"/>
            <w:gridSpan w:val="5"/>
            <w:shd w:val="clear" w:color="auto" w:fill="F1CEEE" w:themeFill="accent5" w:themeFillTint="33"/>
            <w:vAlign w:val="center"/>
          </w:tcPr>
          <w:p w14:paraId="1F2ACCD0">
            <w:pPr>
              <w:jc w:val="left"/>
              <w:rPr>
                <w:rFonts w:cs="Times New Roman"/>
                <w:szCs w:val="24"/>
              </w:rPr>
            </w:pPr>
            <w:r>
              <w:rPr>
                <w:rFonts w:cs="Times New Roman"/>
                <w:b/>
                <w:bCs/>
                <w:szCs w:val="24"/>
              </w:rPr>
              <w:t xml:space="preserve">3.6.2 </w:t>
            </w:r>
            <w:r>
              <w:rPr>
                <w:rFonts w:cs="Times New Roman"/>
                <w:szCs w:val="24"/>
              </w:rPr>
              <w:t>Avoid breath-holding (Valsalva maneuver), competitive sports, and positions that may cause discomfort.</w:t>
            </w:r>
          </w:p>
        </w:tc>
      </w:tr>
      <w:tr w14:paraId="791A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43B5D024">
            <w:pPr>
              <w:jc w:val="center"/>
              <w:rPr>
                <w:rFonts w:cs="Times New Roman"/>
                <w:szCs w:val="24"/>
                <w:lang w:bidi="ar"/>
              </w:rPr>
            </w:pPr>
          </w:p>
        </w:tc>
        <w:tc>
          <w:tcPr>
            <w:tcW w:w="1788" w:type="dxa"/>
            <w:vMerge w:val="continue"/>
            <w:shd w:val="clear" w:color="auto" w:fill="F1CEEE" w:themeFill="accent5" w:themeFillTint="33"/>
          </w:tcPr>
          <w:p w14:paraId="30FEBE0F">
            <w:pPr>
              <w:jc w:val="center"/>
              <w:rPr>
                <w:rFonts w:cs="Times New Roman"/>
                <w:szCs w:val="24"/>
                <w:lang w:bidi="ar"/>
              </w:rPr>
            </w:pPr>
          </w:p>
        </w:tc>
        <w:tc>
          <w:tcPr>
            <w:tcW w:w="10505" w:type="dxa"/>
            <w:gridSpan w:val="5"/>
            <w:shd w:val="clear" w:color="auto" w:fill="F1CEEE" w:themeFill="accent5" w:themeFillTint="33"/>
            <w:vAlign w:val="center"/>
          </w:tcPr>
          <w:p w14:paraId="37CE1C24">
            <w:pPr>
              <w:jc w:val="left"/>
              <w:rPr>
                <w:rFonts w:cs="Times New Roman"/>
                <w:szCs w:val="24"/>
              </w:rPr>
            </w:pPr>
            <w:r>
              <w:rPr>
                <w:rFonts w:cs="Times New Roman"/>
                <w:b/>
                <w:bCs/>
                <w:szCs w:val="24"/>
              </w:rPr>
              <w:t>3.6.3</w:t>
            </w:r>
            <w:r>
              <w:rPr>
                <w:rFonts w:cs="Times New Roman"/>
                <w:szCs w:val="24"/>
              </w:rPr>
              <w:t xml:space="preserve"> High-risk patients require careful physician evaluation and may have individualized adjustments</w:t>
            </w:r>
          </w:p>
        </w:tc>
      </w:tr>
      <w:tr w14:paraId="01F4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066D6092">
            <w:pPr>
              <w:jc w:val="center"/>
              <w:rPr>
                <w:rFonts w:cs="Times New Roman"/>
                <w:szCs w:val="24"/>
                <w:lang w:bidi="ar"/>
              </w:rPr>
            </w:pPr>
          </w:p>
        </w:tc>
        <w:tc>
          <w:tcPr>
            <w:tcW w:w="1788" w:type="dxa"/>
            <w:vMerge w:val="continue"/>
            <w:shd w:val="clear" w:color="auto" w:fill="F1CEEE" w:themeFill="accent5" w:themeFillTint="33"/>
          </w:tcPr>
          <w:p w14:paraId="2D1E7F9B">
            <w:pPr>
              <w:jc w:val="center"/>
              <w:rPr>
                <w:rFonts w:cs="Times New Roman"/>
                <w:szCs w:val="24"/>
                <w:lang w:bidi="ar"/>
              </w:rPr>
            </w:pPr>
          </w:p>
        </w:tc>
        <w:tc>
          <w:tcPr>
            <w:tcW w:w="10505" w:type="dxa"/>
            <w:gridSpan w:val="5"/>
            <w:shd w:val="clear" w:color="auto" w:fill="F1CEEE" w:themeFill="accent5" w:themeFillTint="33"/>
            <w:vAlign w:val="center"/>
          </w:tcPr>
          <w:p w14:paraId="06122A7D">
            <w:pPr>
              <w:jc w:val="left"/>
              <w:rPr>
                <w:rFonts w:cs="Times New Roman"/>
                <w:szCs w:val="24"/>
              </w:rPr>
            </w:pPr>
            <w:r>
              <w:rPr>
                <w:rFonts w:cs="Times New Roman"/>
                <w:b/>
                <w:bCs/>
                <w:szCs w:val="24"/>
              </w:rPr>
              <w:t>3.6.4</w:t>
            </w:r>
            <w:r>
              <w:rPr>
                <w:rFonts w:cs="Times New Roman"/>
                <w:szCs w:val="24"/>
              </w:rPr>
              <w:t xml:space="preserve"> A 5–10 minute warm-up should be performed before training (e.g., slow walking, joint mobility exercises, dynamic stretching, slow deep breathing, chest expansion exercises), with a Borg score not exceeding 2. A 5–10 minute cool-down should be performed after training (e.g., gradually decreasing walking intensity, static stretching, slow breathing, chest relaxation), with a focus on monitoring the steady return of heart rate and blood pressure to baseline.</w:t>
            </w:r>
          </w:p>
        </w:tc>
      </w:tr>
      <w:tr w14:paraId="367D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23B70031">
            <w:pPr>
              <w:jc w:val="center"/>
              <w:rPr>
                <w:rFonts w:cs="Times New Roman"/>
                <w:szCs w:val="24"/>
                <w:lang w:bidi="ar"/>
              </w:rPr>
            </w:pPr>
          </w:p>
        </w:tc>
        <w:tc>
          <w:tcPr>
            <w:tcW w:w="1788" w:type="dxa"/>
            <w:vMerge w:val="restart"/>
            <w:shd w:val="clear" w:color="auto" w:fill="F1CEEE" w:themeFill="accent5" w:themeFillTint="33"/>
          </w:tcPr>
          <w:p w14:paraId="3E8F0D14">
            <w:pPr>
              <w:jc w:val="center"/>
              <w:rPr>
                <w:rFonts w:cs="Times New Roman"/>
                <w:szCs w:val="24"/>
                <w:lang w:bidi="ar"/>
              </w:rPr>
            </w:pPr>
            <w:r>
              <w:rPr>
                <w:rFonts w:cs="Times New Roman"/>
                <w:b/>
                <w:bCs/>
                <w:szCs w:val="24"/>
              </w:rPr>
              <w:t>3.7</w:t>
            </w:r>
            <w:r>
              <w:rPr>
                <w:rFonts w:cs="Times New Roman"/>
                <w:szCs w:val="24"/>
              </w:rPr>
              <w:t xml:space="preserve"> Indications for Suspension</w:t>
            </w:r>
          </w:p>
        </w:tc>
        <w:tc>
          <w:tcPr>
            <w:tcW w:w="10505" w:type="dxa"/>
            <w:gridSpan w:val="5"/>
            <w:shd w:val="clear" w:color="auto" w:fill="F1CEEE" w:themeFill="accent5" w:themeFillTint="33"/>
          </w:tcPr>
          <w:p w14:paraId="10F5885E">
            <w:pPr>
              <w:jc w:val="left"/>
              <w:rPr>
                <w:rFonts w:cs="Times New Roman"/>
                <w:szCs w:val="24"/>
              </w:rPr>
            </w:pPr>
            <w:r>
              <w:rPr>
                <w:rFonts w:cs="Times New Roman"/>
                <w:b/>
                <w:bCs/>
                <w:szCs w:val="24"/>
              </w:rPr>
              <w:t xml:space="preserve">3.7.1 </w:t>
            </w:r>
            <w:r>
              <w:rPr>
                <w:rFonts w:cs="Times New Roman"/>
                <w:szCs w:val="24"/>
              </w:rPr>
              <w:t>Discontinue exercise immediately if significant discomfort occurs during exercise (e.g., chest pain, dyspnea, dizziness, blurred vision, syncope)</w:t>
            </w:r>
          </w:p>
        </w:tc>
      </w:tr>
      <w:tr w14:paraId="4D71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7CE56D49">
            <w:pPr>
              <w:jc w:val="center"/>
              <w:rPr>
                <w:rFonts w:cs="Times New Roman"/>
                <w:szCs w:val="24"/>
                <w:lang w:bidi="ar"/>
              </w:rPr>
            </w:pPr>
          </w:p>
        </w:tc>
        <w:tc>
          <w:tcPr>
            <w:tcW w:w="1788" w:type="dxa"/>
            <w:vMerge w:val="continue"/>
            <w:shd w:val="clear" w:color="auto" w:fill="F1CEEE" w:themeFill="accent5" w:themeFillTint="33"/>
          </w:tcPr>
          <w:p w14:paraId="089E73C6">
            <w:pPr>
              <w:jc w:val="center"/>
              <w:rPr>
                <w:rFonts w:cs="Times New Roman"/>
                <w:szCs w:val="24"/>
              </w:rPr>
            </w:pPr>
          </w:p>
        </w:tc>
        <w:tc>
          <w:tcPr>
            <w:tcW w:w="10505" w:type="dxa"/>
            <w:gridSpan w:val="5"/>
            <w:shd w:val="clear" w:color="auto" w:fill="F1CEEE" w:themeFill="accent5" w:themeFillTint="33"/>
            <w:vAlign w:val="center"/>
          </w:tcPr>
          <w:p w14:paraId="41CC15EC">
            <w:pPr>
              <w:jc w:val="left"/>
              <w:rPr>
                <w:rFonts w:cs="Times New Roman"/>
                <w:szCs w:val="24"/>
              </w:rPr>
            </w:pPr>
            <w:r>
              <w:rPr>
                <w:rFonts w:cs="Times New Roman"/>
                <w:b/>
                <w:bCs/>
                <w:szCs w:val="24"/>
              </w:rPr>
              <w:t>3.7.2</w:t>
            </w:r>
            <w:r>
              <w:rPr>
                <w:rFonts w:cs="Times New Roman"/>
                <w:szCs w:val="24"/>
              </w:rPr>
              <w:t xml:space="preserve"> During exercise, monitoring devices (such as pulse oximeters, wearable electronic devices, etc.) should be used to track oxygen saturation (SpO₂) and heart rate. When conditions permit, additional parameters such as blood pressure and respiratory rate may also be monitored. If vital signs become unstable during exercise, the activity should be stopped immediately. If SpO₂ drops by more than 5%, exercise should be stopped immediately and supplemental oxygen administered.</w:t>
            </w:r>
          </w:p>
        </w:tc>
      </w:tr>
      <w:tr w14:paraId="7E5E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228E7C96">
            <w:pPr>
              <w:jc w:val="center"/>
              <w:rPr>
                <w:rFonts w:cs="Times New Roman"/>
                <w:szCs w:val="24"/>
                <w:lang w:bidi="ar"/>
              </w:rPr>
            </w:pPr>
          </w:p>
        </w:tc>
        <w:tc>
          <w:tcPr>
            <w:tcW w:w="1788" w:type="dxa"/>
            <w:vMerge w:val="restart"/>
            <w:shd w:val="clear" w:color="auto" w:fill="F1CEEE" w:themeFill="accent5" w:themeFillTint="33"/>
          </w:tcPr>
          <w:p w14:paraId="4F4E4F06">
            <w:pPr>
              <w:jc w:val="center"/>
              <w:rPr>
                <w:rFonts w:cs="Times New Roman"/>
                <w:szCs w:val="24"/>
                <w:lang w:bidi="ar"/>
              </w:rPr>
            </w:pPr>
            <w:r>
              <w:rPr>
                <w:rFonts w:cs="Times New Roman"/>
                <w:b/>
                <w:bCs/>
                <w:szCs w:val="24"/>
              </w:rPr>
              <w:t xml:space="preserve">3.8 </w:t>
            </w:r>
            <w:r>
              <w:rPr>
                <w:rFonts w:cs="Times New Roman"/>
                <w:szCs w:val="24"/>
              </w:rPr>
              <w:t>Altitude gradient adjustment</w:t>
            </w:r>
          </w:p>
        </w:tc>
        <w:tc>
          <w:tcPr>
            <w:tcW w:w="10505" w:type="dxa"/>
            <w:gridSpan w:val="5"/>
            <w:shd w:val="clear" w:color="auto" w:fill="F1CEEE" w:themeFill="accent5" w:themeFillTint="33"/>
          </w:tcPr>
          <w:p w14:paraId="0A3A6C6E">
            <w:pPr>
              <w:jc w:val="left"/>
              <w:rPr>
                <w:rFonts w:cs="Times New Roman"/>
                <w:szCs w:val="24"/>
              </w:rPr>
            </w:pPr>
            <w:r>
              <w:rPr>
                <w:rFonts w:cs="Times New Roman"/>
                <w:b/>
                <w:bCs/>
                <w:szCs w:val="24"/>
              </w:rPr>
              <w:t>3.8.1</w:t>
            </w:r>
            <w:r>
              <w:rPr>
                <w:rFonts w:cs="Times New Roman"/>
                <w:szCs w:val="24"/>
              </w:rPr>
              <w:t xml:space="preserve"> </w:t>
            </w:r>
            <w:r>
              <w:rPr>
                <w:rFonts w:cs="Times New Roman"/>
                <w:szCs w:val="24"/>
                <w:lang w:bidi="ar"/>
              </w:rPr>
              <w:t>Baseline: This program is established with Xining’s altitude as the baseline (2261 meters). All exercise prescriptions should be developed and adjusted based on the patient’s current residence or training altitude</w:t>
            </w:r>
          </w:p>
        </w:tc>
      </w:tr>
      <w:tr w14:paraId="3F75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062A266D">
            <w:pPr>
              <w:jc w:val="center"/>
              <w:rPr>
                <w:rFonts w:cs="Times New Roman"/>
                <w:szCs w:val="24"/>
                <w:lang w:bidi="ar"/>
              </w:rPr>
            </w:pPr>
          </w:p>
        </w:tc>
        <w:tc>
          <w:tcPr>
            <w:tcW w:w="1788" w:type="dxa"/>
            <w:vMerge w:val="continue"/>
            <w:shd w:val="clear" w:color="auto" w:fill="F1CEEE" w:themeFill="accent5" w:themeFillTint="33"/>
          </w:tcPr>
          <w:p w14:paraId="1A10D0EF">
            <w:pPr>
              <w:jc w:val="center"/>
              <w:rPr>
                <w:rFonts w:cs="Times New Roman"/>
                <w:szCs w:val="24"/>
                <w:lang w:bidi="ar"/>
              </w:rPr>
            </w:pPr>
          </w:p>
        </w:tc>
        <w:tc>
          <w:tcPr>
            <w:tcW w:w="10505" w:type="dxa"/>
            <w:gridSpan w:val="5"/>
            <w:shd w:val="clear" w:color="auto" w:fill="F1CEEE" w:themeFill="accent5" w:themeFillTint="33"/>
          </w:tcPr>
          <w:p w14:paraId="122C102F">
            <w:pPr>
              <w:jc w:val="left"/>
              <w:rPr>
                <w:rFonts w:cs="Times New Roman"/>
                <w:szCs w:val="24"/>
              </w:rPr>
            </w:pPr>
            <w:r>
              <w:rPr>
                <w:rFonts w:cs="Times New Roman"/>
                <w:b/>
                <w:bCs/>
                <w:szCs w:val="24"/>
              </w:rPr>
              <w:t xml:space="preserve">3.8.2 </w:t>
            </w:r>
            <w:r>
              <w:rPr>
                <w:rFonts w:cs="Times New Roman"/>
                <w:szCs w:val="24"/>
                <w:lang w:bidi="ar"/>
              </w:rPr>
              <w:t>Principle: Adjustments should be made with the aim of not causing significant discomfort. Recommended adjustments: at altitudes of 2000–2500 meters, implement according to the baseline; at altitudes of 2500–3000 meters, it is recommended to reduce exercise intensity and duration to 80%–90% of the baseline; at altitudes of 3000–4000 meters, it is recommended to reduce exercise intensity and duration to 60%–80% of the baseline.</w:t>
            </w:r>
          </w:p>
        </w:tc>
      </w:tr>
      <w:tr w14:paraId="5A70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1CEEE" w:themeFill="accent5" w:themeFillTint="33"/>
            <w:vAlign w:val="center"/>
          </w:tcPr>
          <w:p w14:paraId="1ABF9659">
            <w:pPr>
              <w:jc w:val="center"/>
              <w:rPr>
                <w:rFonts w:cs="Times New Roman"/>
                <w:szCs w:val="24"/>
                <w:lang w:bidi="ar"/>
              </w:rPr>
            </w:pPr>
          </w:p>
        </w:tc>
        <w:tc>
          <w:tcPr>
            <w:tcW w:w="1788" w:type="dxa"/>
            <w:vMerge w:val="continue"/>
            <w:shd w:val="clear" w:color="auto" w:fill="F1CEEE" w:themeFill="accent5" w:themeFillTint="33"/>
          </w:tcPr>
          <w:p w14:paraId="42F78DF4">
            <w:pPr>
              <w:jc w:val="center"/>
              <w:rPr>
                <w:rFonts w:cs="Times New Roman"/>
                <w:szCs w:val="24"/>
                <w:lang w:bidi="ar"/>
              </w:rPr>
            </w:pPr>
          </w:p>
        </w:tc>
        <w:tc>
          <w:tcPr>
            <w:tcW w:w="10505" w:type="dxa"/>
            <w:gridSpan w:val="5"/>
            <w:shd w:val="clear" w:color="auto" w:fill="F1CEEE" w:themeFill="accent5" w:themeFillTint="33"/>
          </w:tcPr>
          <w:p w14:paraId="2E0D9745">
            <w:pPr>
              <w:jc w:val="left"/>
              <w:rPr>
                <w:rFonts w:cs="Times New Roman"/>
                <w:szCs w:val="24"/>
              </w:rPr>
            </w:pPr>
            <w:r>
              <w:rPr>
                <w:rFonts w:cs="Times New Roman"/>
                <w:b/>
                <w:bCs/>
                <w:szCs w:val="24"/>
              </w:rPr>
              <w:t xml:space="preserve">3.8.3 </w:t>
            </w:r>
            <w:r>
              <w:rPr>
                <w:rFonts w:cs="Times New Roman"/>
                <w:szCs w:val="24"/>
                <w:lang w:bidi="ar"/>
              </w:rPr>
              <w:t>At very high altitudes (&gt;4000 meters), focus on activities of daily living and breathing exercises; aerobic and resistance training require close physician evaluation and supervision</w:t>
            </w:r>
          </w:p>
        </w:tc>
      </w:tr>
      <w:tr w14:paraId="4388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shd w:val="clear" w:color="auto" w:fill="E8E8E8" w:themeFill="background2"/>
            <w:vAlign w:val="center"/>
          </w:tcPr>
          <w:p w14:paraId="392B4B45">
            <w:pPr>
              <w:widowControl/>
              <w:adjustRightInd/>
              <w:snapToGrid/>
              <w:spacing w:line="240" w:lineRule="auto"/>
              <w:jc w:val="center"/>
              <w:rPr>
                <w:rFonts w:cs="Times New Roman"/>
                <w:szCs w:val="24"/>
              </w:rPr>
            </w:pPr>
            <w:r>
              <w:rPr>
                <w:rFonts w:cs="Times New Roman"/>
                <w:b/>
                <w:bCs/>
                <w:szCs w:val="24"/>
              </w:rPr>
              <w:t>4</w:t>
            </w:r>
            <w:r>
              <w:rPr>
                <w:rFonts w:cs="Times New Roman"/>
                <w:szCs w:val="24"/>
              </w:rPr>
              <w:t xml:space="preserve"> </w:t>
            </w:r>
            <w:r>
              <w:rPr>
                <w:rFonts w:cs="Times New Roman"/>
                <w:szCs w:val="24"/>
                <w:lang w:bidi="ar"/>
              </w:rPr>
              <w:t>Health Education</w:t>
            </w:r>
          </w:p>
        </w:tc>
        <w:tc>
          <w:tcPr>
            <w:tcW w:w="1788" w:type="dxa"/>
            <w:vMerge w:val="restart"/>
            <w:shd w:val="clear" w:color="auto" w:fill="E8E8E8" w:themeFill="background2"/>
            <w:vAlign w:val="center"/>
          </w:tcPr>
          <w:p w14:paraId="4CF373F3">
            <w:pPr>
              <w:jc w:val="center"/>
              <w:rPr>
                <w:rFonts w:cs="Times New Roman"/>
                <w:szCs w:val="24"/>
                <w:lang w:bidi="ar"/>
              </w:rPr>
            </w:pPr>
            <w:r>
              <w:rPr>
                <w:rFonts w:cs="Times New Roman"/>
                <w:b/>
                <w:bCs/>
                <w:szCs w:val="24"/>
              </w:rPr>
              <w:t xml:space="preserve">4.1 </w:t>
            </w:r>
            <w:r>
              <w:rPr>
                <w:rFonts w:cs="Times New Roman"/>
                <w:szCs w:val="24"/>
                <w:lang w:bidi="ar"/>
              </w:rPr>
              <w:t>Oxygen therapy guidance</w:t>
            </w:r>
          </w:p>
        </w:tc>
        <w:tc>
          <w:tcPr>
            <w:tcW w:w="10505" w:type="dxa"/>
            <w:gridSpan w:val="5"/>
            <w:shd w:val="clear" w:color="auto" w:fill="E8E8E8" w:themeFill="background2"/>
            <w:vAlign w:val="center"/>
          </w:tcPr>
          <w:p w14:paraId="32B421F8">
            <w:pPr>
              <w:jc w:val="left"/>
              <w:rPr>
                <w:rFonts w:cs="Times New Roman"/>
                <w:szCs w:val="24"/>
              </w:rPr>
            </w:pPr>
            <w:r>
              <w:rPr>
                <w:rFonts w:cs="Times New Roman"/>
                <w:b/>
                <w:bCs/>
                <w:szCs w:val="24"/>
              </w:rPr>
              <w:t>4.1.1</w:t>
            </w:r>
            <w:r>
              <w:rPr>
                <w:rFonts w:cs="Times New Roman"/>
                <w:szCs w:val="24"/>
              </w:rPr>
              <w:t xml:space="preserve"> </w:t>
            </w:r>
            <w:r>
              <w:rPr>
                <w:rFonts w:cs="Times New Roman"/>
                <w:szCs w:val="24"/>
                <w:lang w:bidi="ar"/>
              </w:rPr>
              <w:t>For patients with exercise-induced hypoxemia, supplemental oxygen should be provided during exercise; however, routine oxygen supplementation for all pulmonary rehabilitation patients is not recommended.</w:t>
            </w:r>
          </w:p>
        </w:tc>
      </w:tr>
      <w:tr w14:paraId="746D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54AC9614">
            <w:pPr>
              <w:jc w:val="center"/>
              <w:rPr>
                <w:rFonts w:cs="Times New Roman"/>
                <w:szCs w:val="24"/>
                <w:lang w:bidi="ar"/>
              </w:rPr>
            </w:pPr>
          </w:p>
        </w:tc>
        <w:tc>
          <w:tcPr>
            <w:tcW w:w="1788" w:type="dxa"/>
            <w:vMerge w:val="continue"/>
            <w:shd w:val="clear" w:color="auto" w:fill="E8E8E8" w:themeFill="background2"/>
            <w:vAlign w:val="center"/>
          </w:tcPr>
          <w:p w14:paraId="7C067107">
            <w:pPr>
              <w:jc w:val="center"/>
              <w:rPr>
                <w:rFonts w:cs="Times New Roman"/>
                <w:szCs w:val="24"/>
                <w:lang w:bidi="ar"/>
              </w:rPr>
            </w:pPr>
          </w:p>
        </w:tc>
        <w:tc>
          <w:tcPr>
            <w:tcW w:w="10505" w:type="dxa"/>
            <w:gridSpan w:val="5"/>
            <w:shd w:val="clear" w:color="auto" w:fill="E8E8E8" w:themeFill="background2"/>
            <w:vAlign w:val="center"/>
          </w:tcPr>
          <w:p w14:paraId="1E2B0BBC">
            <w:pPr>
              <w:jc w:val="left"/>
              <w:rPr>
                <w:rFonts w:cs="Times New Roman"/>
                <w:szCs w:val="24"/>
              </w:rPr>
            </w:pPr>
            <w:r>
              <w:rPr>
                <w:rFonts w:cs="Times New Roman"/>
                <w:b/>
                <w:bCs/>
                <w:szCs w:val="24"/>
              </w:rPr>
              <w:t xml:space="preserve">4.1.2 </w:t>
            </w:r>
            <w:r>
              <w:rPr>
                <w:rFonts w:cs="Times New Roman"/>
                <w:szCs w:val="24"/>
                <w:lang w:bidi="ar"/>
              </w:rPr>
              <w:t>For patients with resting hypoxemia, daily oxygen therapy duration ≥15 hours, flow rate 2–4 L/min, target: maintain SpO₂ &gt;5% above pre-oxygenation levels.</w:t>
            </w:r>
          </w:p>
        </w:tc>
      </w:tr>
      <w:tr w14:paraId="6AD7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3ABF6D49">
            <w:pPr>
              <w:jc w:val="center"/>
              <w:rPr>
                <w:rFonts w:cs="Times New Roman"/>
                <w:szCs w:val="24"/>
                <w:lang w:bidi="ar"/>
              </w:rPr>
            </w:pPr>
          </w:p>
        </w:tc>
        <w:tc>
          <w:tcPr>
            <w:tcW w:w="1788" w:type="dxa"/>
            <w:vMerge w:val="restart"/>
            <w:shd w:val="clear" w:color="auto" w:fill="E8E8E8" w:themeFill="background2"/>
            <w:vAlign w:val="center"/>
          </w:tcPr>
          <w:p w14:paraId="5CD05E90">
            <w:pPr>
              <w:jc w:val="center"/>
              <w:rPr>
                <w:rFonts w:cs="Times New Roman"/>
                <w:szCs w:val="24"/>
                <w:lang w:bidi="ar"/>
              </w:rPr>
            </w:pPr>
            <w:r>
              <w:rPr>
                <w:rFonts w:cs="Times New Roman"/>
                <w:b/>
                <w:bCs/>
                <w:szCs w:val="24"/>
              </w:rPr>
              <w:t xml:space="preserve">4.2 </w:t>
            </w:r>
            <w:r>
              <w:rPr>
                <w:rFonts w:cs="Times New Roman"/>
                <w:szCs w:val="24"/>
                <w:lang w:bidi="ar"/>
              </w:rPr>
              <w:t>Airway clearance guidance</w:t>
            </w:r>
          </w:p>
        </w:tc>
        <w:tc>
          <w:tcPr>
            <w:tcW w:w="10505" w:type="dxa"/>
            <w:gridSpan w:val="5"/>
            <w:shd w:val="clear" w:color="auto" w:fill="E8E8E8" w:themeFill="background2"/>
            <w:vAlign w:val="center"/>
          </w:tcPr>
          <w:p w14:paraId="40C89A5F">
            <w:pPr>
              <w:jc w:val="left"/>
              <w:rPr>
                <w:rFonts w:cs="Times New Roman"/>
                <w:szCs w:val="24"/>
              </w:rPr>
            </w:pPr>
            <w:r>
              <w:rPr>
                <w:rFonts w:cs="Times New Roman"/>
                <w:b/>
                <w:bCs/>
                <w:szCs w:val="24"/>
              </w:rPr>
              <w:t>4.2.1</w:t>
            </w:r>
            <w:r>
              <w:rPr>
                <w:rFonts w:cs="Times New Roman"/>
                <w:szCs w:val="24"/>
              </w:rPr>
              <w:t xml:space="preserve"> </w:t>
            </w:r>
            <w:r>
              <w:rPr>
                <w:rFonts w:cs="Times New Roman"/>
                <w:szCs w:val="24"/>
                <w:lang w:bidi="ar"/>
              </w:rPr>
              <w:t>For patients with retained secretions who are unable to expectorate, airway clearance techniques should be selectively used based on the patient's condition.</w:t>
            </w:r>
          </w:p>
        </w:tc>
      </w:tr>
      <w:tr w14:paraId="3683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559EFF6B">
            <w:pPr>
              <w:jc w:val="center"/>
              <w:rPr>
                <w:rFonts w:cs="Times New Roman"/>
                <w:szCs w:val="24"/>
                <w:lang w:bidi="ar"/>
              </w:rPr>
            </w:pPr>
          </w:p>
        </w:tc>
        <w:tc>
          <w:tcPr>
            <w:tcW w:w="1788" w:type="dxa"/>
            <w:vMerge w:val="continue"/>
            <w:shd w:val="clear" w:color="auto" w:fill="E8E8E8" w:themeFill="background2"/>
            <w:vAlign w:val="center"/>
          </w:tcPr>
          <w:p w14:paraId="4FB99931">
            <w:pPr>
              <w:jc w:val="center"/>
              <w:rPr>
                <w:rFonts w:cs="Times New Roman"/>
                <w:szCs w:val="24"/>
                <w:lang w:bidi="ar"/>
              </w:rPr>
            </w:pPr>
          </w:p>
        </w:tc>
        <w:tc>
          <w:tcPr>
            <w:tcW w:w="10505" w:type="dxa"/>
            <w:gridSpan w:val="5"/>
            <w:shd w:val="clear" w:color="auto" w:fill="E8E8E8" w:themeFill="background2"/>
            <w:vAlign w:val="center"/>
          </w:tcPr>
          <w:p w14:paraId="1E36C72B">
            <w:pPr>
              <w:jc w:val="left"/>
              <w:rPr>
                <w:rFonts w:cs="Times New Roman"/>
                <w:szCs w:val="24"/>
              </w:rPr>
            </w:pPr>
            <w:r>
              <w:rPr>
                <w:rFonts w:cs="Times New Roman"/>
                <w:b/>
                <w:bCs/>
                <w:szCs w:val="24"/>
              </w:rPr>
              <w:t xml:space="preserve">4.2.2 </w:t>
            </w:r>
            <w:r>
              <w:rPr>
                <w:rFonts w:cs="Times New Roman"/>
                <w:szCs w:val="24"/>
                <w:lang w:bidi="ar"/>
              </w:rPr>
              <w:t>Techniques: forced expiration technique, active cycle of breathing technique (ACBT), positive expiratory pressure (PEP) technique, etc.</w:t>
            </w:r>
          </w:p>
        </w:tc>
      </w:tr>
      <w:tr w14:paraId="3238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6BC67CDF">
            <w:pPr>
              <w:jc w:val="center"/>
              <w:rPr>
                <w:rFonts w:cs="Times New Roman"/>
                <w:szCs w:val="24"/>
                <w:lang w:bidi="ar"/>
              </w:rPr>
            </w:pPr>
          </w:p>
        </w:tc>
        <w:tc>
          <w:tcPr>
            <w:tcW w:w="1788" w:type="dxa"/>
            <w:vMerge w:val="restart"/>
            <w:shd w:val="clear" w:color="auto" w:fill="E8E8E8" w:themeFill="background2"/>
            <w:vAlign w:val="center"/>
          </w:tcPr>
          <w:p w14:paraId="38B16E39">
            <w:pPr>
              <w:jc w:val="center"/>
              <w:rPr>
                <w:rFonts w:cs="Times New Roman"/>
                <w:szCs w:val="24"/>
                <w:lang w:bidi="ar"/>
              </w:rPr>
            </w:pPr>
            <w:r>
              <w:rPr>
                <w:rFonts w:cs="Times New Roman"/>
                <w:b/>
                <w:bCs/>
                <w:szCs w:val="24"/>
              </w:rPr>
              <w:t>4.3</w:t>
            </w:r>
            <w:r>
              <w:rPr>
                <w:rFonts w:cs="Times New Roman"/>
                <w:szCs w:val="24"/>
              </w:rPr>
              <w:t xml:space="preserve"> </w:t>
            </w:r>
            <w:r>
              <w:rPr>
                <w:rFonts w:cs="Times New Roman"/>
                <w:szCs w:val="24"/>
                <w:lang w:bidi="ar"/>
              </w:rPr>
              <w:t>Nutritional guidance</w:t>
            </w:r>
          </w:p>
        </w:tc>
        <w:tc>
          <w:tcPr>
            <w:tcW w:w="10505" w:type="dxa"/>
            <w:gridSpan w:val="5"/>
            <w:shd w:val="clear" w:color="auto" w:fill="E8E8E8" w:themeFill="background2"/>
            <w:vAlign w:val="center"/>
          </w:tcPr>
          <w:p w14:paraId="09DE5A40">
            <w:pPr>
              <w:jc w:val="left"/>
              <w:rPr>
                <w:rFonts w:cs="Times New Roman"/>
                <w:szCs w:val="24"/>
              </w:rPr>
            </w:pPr>
            <w:r>
              <w:rPr>
                <w:rFonts w:cs="Times New Roman"/>
                <w:b/>
                <w:bCs/>
                <w:szCs w:val="24"/>
              </w:rPr>
              <w:t xml:space="preserve">4.3.1 </w:t>
            </w:r>
            <w:r>
              <w:rPr>
                <w:rFonts w:cs="Times New Roman"/>
                <w:szCs w:val="24"/>
                <w:lang w:bidi="ar"/>
              </w:rPr>
              <w:t>Differentiated energy support based on heart function classification: stable patients (WHO-FC I–II) receive 30–35 kcal/kg/day (ideal body weight); patients with severe disease or heart failure (WHO-FC III–IV) receive 35–40 kcal/kg/day to counteract hypermetabolism and prevent malnutrition.</w:t>
            </w:r>
            <w:r>
              <w:rPr>
                <w:rFonts w:cs="Times New Roman"/>
                <w:szCs w:val="24"/>
              </w:rPr>
              <w:t xml:space="preserve"> </w:t>
            </w:r>
            <w:r>
              <w:rPr>
                <w:rFonts w:cs="Times New Roman"/>
                <w:szCs w:val="24"/>
                <w:lang w:bidi="ar"/>
              </w:rPr>
              <w:t>(using relevant mobile applications for calculation)</w:t>
            </w:r>
          </w:p>
        </w:tc>
      </w:tr>
      <w:tr w14:paraId="4043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4F9D593C">
            <w:pPr>
              <w:jc w:val="center"/>
              <w:rPr>
                <w:rFonts w:cs="Times New Roman"/>
                <w:szCs w:val="24"/>
                <w:lang w:bidi="ar"/>
              </w:rPr>
            </w:pPr>
          </w:p>
        </w:tc>
        <w:tc>
          <w:tcPr>
            <w:tcW w:w="1788" w:type="dxa"/>
            <w:vMerge w:val="continue"/>
            <w:shd w:val="clear" w:color="auto" w:fill="E8E8E8" w:themeFill="background2"/>
            <w:vAlign w:val="center"/>
          </w:tcPr>
          <w:p w14:paraId="62751F86">
            <w:pPr>
              <w:jc w:val="center"/>
              <w:rPr>
                <w:rFonts w:cs="Times New Roman"/>
                <w:szCs w:val="24"/>
                <w:lang w:bidi="ar"/>
              </w:rPr>
            </w:pPr>
          </w:p>
        </w:tc>
        <w:tc>
          <w:tcPr>
            <w:tcW w:w="10505" w:type="dxa"/>
            <w:gridSpan w:val="5"/>
            <w:shd w:val="clear" w:color="auto" w:fill="E8E8E8" w:themeFill="background2"/>
            <w:vAlign w:val="center"/>
          </w:tcPr>
          <w:p w14:paraId="42473185">
            <w:pPr>
              <w:jc w:val="left"/>
              <w:rPr>
                <w:rFonts w:cs="Times New Roman"/>
                <w:szCs w:val="24"/>
                <w:lang w:bidi="ar"/>
              </w:rPr>
            </w:pPr>
            <w:r>
              <w:rPr>
                <w:rFonts w:cs="Times New Roman"/>
                <w:b/>
                <w:bCs/>
                <w:szCs w:val="24"/>
              </w:rPr>
              <w:t xml:space="preserve">4.3.2 </w:t>
            </w:r>
            <w:r>
              <w:rPr>
                <w:rFonts w:cs="Times New Roman"/>
                <w:szCs w:val="24"/>
                <w:lang w:bidi="ar"/>
              </w:rPr>
              <w:t>Daily protein intake 1.2–1.5 g/kg (ideal body weight), prioritizing high-quality protein (fish, meat, eggs, milk, soy products, etc.).</w:t>
            </w:r>
          </w:p>
        </w:tc>
      </w:tr>
      <w:tr w14:paraId="6F08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7A849F4C">
            <w:pPr>
              <w:jc w:val="center"/>
              <w:rPr>
                <w:rFonts w:cs="Times New Roman"/>
                <w:szCs w:val="24"/>
                <w:lang w:bidi="ar"/>
              </w:rPr>
            </w:pPr>
          </w:p>
        </w:tc>
        <w:tc>
          <w:tcPr>
            <w:tcW w:w="1788" w:type="dxa"/>
            <w:vMerge w:val="continue"/>
            <w:shd w:val="clear" w:color="auto" w:fill="E8E8E8" w:themeFill="background2"/>
            <w:vAlign w:val="center"/>
          </w:tcPr>
          <w:p w14:paraId="4CE01B33">
            <w:pPr>
              <w:jc w:val="center"/>
              <w:rPr>
                <w:rFonts w:cs="Times New Roman"/>
                <w:szCs w:val="24"/>
                <w:lang w:bidi="ar"/>
              </w:rPr>
            </w:pPr>
          </w:p>
        </w:tc>
        <w:tc>
          <w:tcPr>
            <w:tcW w:w="10505" w:type="dxa"/>
            <w:gridSpan w:val="5"/>
            <w:shd w:val="clear" w:color="auto" w:fill="E8E8E8" w:themeFill="background2"/>
            <w:vAlign w:val="center"/>
          </w:tcPr>
          <w:p w14:paraId="4C803F48">
            <w:pPr>
              <w:jc w:val="left"/>
              <w:rPr>
                <w:rFonts w:cs="Times New Roman"/>
                <w:szCs w:val="24"/>
                <w:lang w:bidi="ar"/>
              </w:rPr>
            </w:pPr>
            <w:r>
              <w:rPr>
                <w:rFonts w:cs="Times New Roman"/>
                <w:b/>
                <w:bCs/>
                <w:szCs w:val="24"/>
              </w:rPr>
              <w:t>4.3.3</w:t>
            </w:r>
            <w:r>
              <w:rPr>
                <w:rFonts w:cs="Times New Roman"/>
                <w:szCs w:val="24"/>
              </w:rPr>
              <w:t xml:space="preserve"> </w:t>
            </w:r>
            <w:r>
              <w:rPr>
                <w:rFonts w:cs="Times New Roman"/>
                <w:szCs w:val="24"/>
                <w:lang w:bidi="ar"/>
              </w:rPr>
              <w:t>Eat small, frequent meals; 3–5 meals per day is recommended.</w:t>
            </w:r>
          </w:p>
        </w:tc>
      </w:tr>
      <w:tr w14:paraId="2005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331BEE3C">
            <w:pPr>
              <w:jc w:val="center"/>
              <w:rPr>
                <w:rFonts w:cs="Times New Roman"/>
                <w:szCs w:val="24"/>
                <w:lang w:bidi="ar"/>
              </w:rPr>
            </w:pPr>
          </w:p>
        </w:tc>
        <w:tc>
          <w:tcPr>
            <w:tcW w:w="1788" w:type="dxa"/>
            <w:vMerge w:val="continue"/>
            <w:shd w:val="clear" w:color="auto" w:fill="E8E8E8" w:themeFill="background2"/>
            <w:vAlign w:val="center"/>
          </w:tcPr>
          <w:p w14:paraId="518F4864">
            <w:pPr>
              <w:jc w:val="center"/>
              <w:rPr>
                <w:rFonts w:cs="Times New Roman"/>
                <w:szCs w:val="24"/>
                <w:lang w:bidi="ar"/>
              </w:rPr>
            </w:pPr>
          </w:p>
        </w:tc>
        <w:tc>
          <w:tcPr>
            <w:tcW w:w="10505" w:type="dxa"/>
            <w:gridSpan w:val="5"/>
            <w:shd w:val="clear" w:color="auto" w:fill="E8E8E8" w:themeFill="background2"/>
            <w:vAlign w:val="center"/>
          </w:tcPr>
          <w:p w14:paraId="00D900F2">
            <w:pPr>
              <w:jc w:val="left"/>
              <w:rPr>
                <w:rFonts w:cs="Times New Roman"/>
                <w:szCs w:val="24"/>
                <w:lang w:bidi="ar"/>
              </w:rPr>
            </w:pPr>
            <w:r>
              <w:rPr>
                <w:rFonts w:cs="Times New Roman"/>
                <w:b/>
                <w:bCs/>
                <w:szCs w:val="24"/>
              </w:rPr>
              <w:t xml:space="preserve">4.3.4 </w:t>
            </w:r>
            <w:r>
              <w:rPr>
                <w:rFonts w:cs="Times New Roman"/>
                <w:szCs w:val="24"/>
                <w:lang w:bidi="ar"/>
              </w:rPr>
              <w:t>For patients with comorbidities such as diabetes, hypertension, kidney disease, or obesity, adjustments should be made dynamically by the attending physician and nutritionist based on changes in the condition.</w:t>
            </w:r>
          </w:p>
        </w:tc>
      </w:tr>
      <w:tr w14:paraId="4321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1D1C2998">
            <w:pPr>
              <w:jc w:val="center"/>
              <w:rPr>
                <w:rFonts w:cs="Times New Roman"/>
                <w:szCs w:val="24"/>
                <w:lang w:bidi="ar"/>
              </w:rPr>
            </w:pPr>
          </w:p>
        </w:tc>
        <w:tc>
          <w:tcPr>
            <w:tcW w:w="1788" w:type="dxa"/>
            <w:vMerge w:val="restart"/>
            <w:shd w:val="clear" w:color="auto" w:fill="E8E8E8" w:themeFill="background2"/>
            <w:vAlign w:val="center"/>
          </w:tcPr>
          <w:p w14:paraId="5C746D71">
            <w:pPr>
              <w:jc w:val="center"/>
              <w:rPr>
                <w:rFonts w:cs="Times New Roman"/>
                <w:b/>
                <w:bCs/>
                <w:szCs w:val="24"/>
              </w:rPr>
            </w:pPr>
            <w:r>
              <w:rPr>
                <w:rFonts w:cs="Times New Roman"/>
                <w:b/>
                <w:bCs/>
                <w:szCs w:val="24"/>
              </w:rPr>
              <w:t xml:space="preserve">4.4 </w:t>
            </w:r>
            <w:r>
              <w:rPr>
                <w:rFonts w:cs="Times New Roman"/>
                <w:szCs w:val="24"/>
              </w:rPr>
              <w:t>Medication management and adherence education</w:t>
            </w:r>
          </w:p>
        </w:tc>
        <w:tc>
          <w:tcPr>
            <w:tcW w:w="10505" w:type="dxa"/>
            <w:gridSpan w:val="5"/>
            <w:shd w:val="clear" w:color="auto" w:fill="E8E8E8" w:themeFill="background2"/>
            <w:vAlign w:val="center"/>
          </w:tcPr>
          <w:p w14:paraId="7997799A">
            <w:pPr>
              <w:jc w:val="left"/>
              <w:rPr>
                <w:rFonts w:cs="Times New Roman"/>
                <w:b/>
                <w:bCs/>
                <w:szCs w:val="24"/>
              </w:rPr>
            </w:pPr>
            <w:r>
              <w:rPr>
                <w:rFonts w:cs="Times New Roman"/>
                <w:b/>
                <w:bCs/>
                <w:szCs w:val="24"/>
              </w:rPr>
              <w:t xml:space="preserve">4.4.1 </w:t>
            </w:r>
            <w:r>
              <w:rPr>
                <w:rFonts w:cs="Times New Roman"/>
                <w:szCs w:val="24"/>
              </w:rPr>
              <w:t>Educate patients to adhere to the principle of “fixed timing, fixed dosage, fixed method, and fixed course” when taking medications. Self-discontinuation or dosage adjustment is strictly prohibited. Any medication changes must be determined by the physician after follow-up evaluation.</w:t>
            </w:r>
          </w:p>
        </w:tc>
      </w:tr>
      <w:tr w14:paraId="067A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641E3759">
            <w:pPr>
              <w:jc w:val="center"/>
              <w:rPr>
                <w:rFonts w:cs="Times New Roman"/>
                <w:szCs w:val="24"/>
                <w:lang w:bidi="ar"/>
              </w:rPr>
            </w:pPr>
          </w:p>
        </w:tc>
        <w:tc>
          <w:tcPr>
            <w:tcW w:w="1788" w:type="dxa"/>
            <w:vMerge w:val="continue"/>
            <w:shd w:val="clear" w:color="auto" w:fill="E8E8E8" w:themeFill="background2"/>
            <w:vAlign w:val="center"/>
          </w:tcPr>
          <w:p w14:paraId="763E3848">
            <w:pPr>
              <w:jc w:val="center"/>
              <w:rPr>
                <w:rFonts w:cs="Times New Roman"/>
                <w:b/>
                <w:bCs/>
                <w:szCs w:val="24"/>
              </w:rPr>
            </w:pPr>
          </w:p>
        </w:tc>
        <w:tc>
          <w:tcPr>
            <w:tcW w:w="10505" w:type="dxa"/>
            <w:gridSpan w:val="5"/>
            <w:shd w:val="clear" w:color="auto" w:fill="E8E8E8" w:themeFill="background2"/>
            <w:vAlign w:val="center"/>
          </w:tcPr>
          <w:p w14:paraId="4C021206">
            <w:pPr>
              <w:jc w:val="left"/>
              <w:rPr>
                <w:rFonts w:cs="Times New Roman"/>
                <w:b/>
                <w:bCs/>
                <w:szCs w:val="24"/>
              </w:rPr>
            </w:pPr>
            <w:r>
              <w:rPr>
                <w:rFonts w:cs="Times New Roman"/>
                <w:b/>
                <w:bCs/>
                <w:szCs w:val="24"/>
              </w:rPr>
              <w:t xml:space="preserve">4.4.2 </w:t>
            </w:r>
            <w:r>
              <w:rPr>
                <w:rFonts w:cs="Times New Roman"/>
                <w:szCs w:val="24"/>
              </w:rPr>
              <w:t>Inform patients about common medication side effects and indications of serious adverse effects requiring immediate medical attention (e.g., syncope, severe hypotension, etc.).</w:t>
            </w:r>
          </w:p>
        </w:tc>
      </w:tr>
      <w:tr w14:paraId="62A5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1D9026D1">
            <w:pPr>
              <w:jc w:val="center"/>
              <w:rPr>
                <w:rFonts w:cs="Times New Roman"/>
                <w:szCs w:val="24"/>
                <w:lang w:bidi="ar"/>
              </w:rPr>
            </w:pPr>
          </w:p>
        </w:tc>
        <w:tc>
          <w:tcPr>
            <w:tcW w:w="1788" w:type="dxa"/>
            <w:vMerge w:val="continue"/>
            <w:shd w:val="clear" w:color="auto" w:fill="E8E8E8" w:themeFill="background2"/>
            <w:vAlign w:val="center"/>
          </w:tcPr>
          <w:p w14:paraId="3E2DE516">
            <w:pPr>
              <w:jc w:val="center"/>
              <w:rPr>
                <w:rFonts w:cs="Times New Roman"/>
                <w:b/>
                <w:bCs/>
                <w:szCs w:val="24"/>
              </w:rPr>
            </w:pPr>
          </w:p>
        </w:tc>
        <w:tc>
          <w:tcPr>
            <w:tcW w:w="10505" w:type="dxa"/>
            <w:gridSpan w:val="5"/>
            <w:shd w:val="clear" w:color="auto" w:fill="E8E8E8" w:themeFill="background2"/>
            <w:vAlign w:val="center"/>
          </w:tcPr>
          <w:p w14:paraId="01BA4993">
            <w:pPr>
              <w:jc w:val="left"/>
              <w:rPr>
                <w:rFonts w:cs="Times New Roman"/>
                <w:b/>
                <w:bCs/>
                <w:szCs w:val="24"/>
              </w:rPr>
            </w:pPr>
            <w:r>
              <w:rPr>
                <w:rFonts w:cs="Times New Roman"/>
                <w:b/>
                <w:bCs/>
                <w:szCs w:val="24"/>
              </w:rPr>
              <w:t xml:space="preserve">4.4.3 </w:t>
            </w:r>
            <w:r>
              <w:rPr>
                <w:rFonts w:cs="Times New Roman"/>
                <w:szCs w:val="24"/>
              </w:rPr>
              <w:t>Remind patients to consult a physician or pharmacist before taking any new medication to avoid drug interactions.</w:t>
            </w:r>
          </w:p>
        </w:tc>
      </w:tr>
      <w:tr w14:paraId="182B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7679C477">
            <w:pPr>
              <w:jc w:val="center"/>
              <w:rPr>
                <w:rFonts w:cs="Times New Roman"/>
                <w:szCs w:val="24"/>
                <w:lang w:bidi="ar"/>
              </w:rPr>
            </w:pPr>
          </w:p>
        </w:tc>
        <w:tc>
          <w:tcPr>
            <w:tcW w:w="1788" w:type="dxa"/>
            <w:vMerge w:val="restart"/>
            <w:shd w:val="clear" w:color="auto" w:fill="E8E8E8" w:themeFill="background2"/>
            <w:vAlign w:val="center"/>
          </w:tcPr>
          <w:p w14:paraId="3872F8E0">
            <w:pPr>
              <w:jc w:val="center"/>
              <w:rPr>
                <w:rFonts w:cs="Times New Roman"/>
                <w:b/>
                <w:bCs/>
                <w:szCs w:val="24"/>
              </w:rPr>
            </w:pPr>
            <w:r>
              <w:rPr>
                <w:rFonts w:cs="Times New Roman"/>
                <w:b/>
                <w:bCs/>
                <w:szCs w:val="24"/>
              </w:rPr>
              <w:t xml:space="preserve">4.5 </w:t>
            </w:r>
            <w:r>
              <w:rPr>
                <w:rFonts w:cs="Times New Roman"/>
                <w:szCs w:val="24"/>
              </w:rPr>
              <w:t>Lifestyle guidance</w:t>
            </w:r>
          </w:p>
        </w:tc>
        <w:tc>
          <w:tcPr>
            <w:tcW w:w="10505" w:type="dxa"/>
            <w:gridSpan w:val="5"/>
            <w:shd w:val="clear" w:color="auto" w:fill="E8E8E8" w:themeFill="background2"/>
            <w:vAlign w:val="center"/>
          </w:tcPr>
          <w:p w14:paraId="2DC275BA">
            <w:pPr>
              <w:jc w:val="left"/>
              <w:rPr>
                <w:rFonts w:cs="Times New Roman"/>
                <w:b/>
                <w:bCs/>
                <w:szCs w:val="24"/>
              </w:rPr>
            </w:pPr>
            <w:r>
              <w:rPr>
                <w:rFonts w:cs="Times New Roman"/>
                <w:b/>
                <w:bCs/>
                <w:szCs w:val="24"/>
              </w:rPr>
              <w:t xml:space="preserve">4.5.1 </w:t>
            </w:r>
            <w:r>
              <w:rPr>
                <w:rFonts w:cs="Times New Roman"/>
                <w:szCs w:val="24"/>
              </w:rPr>
              <w:t>Guide patients to maintain a regular daily routine, improve sleep quality, reasonably allocate energy during the day, and avoid excessive fatigue.</w:t>
            </w:r>
          </w:p>
        </w:tc>
      </w:tr>
      <w:tr w14:paraId="5146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4DF3B9BD">
            <w:pPr>
              <w:jc w:val="center"/>
              <w:rPr>
                <w:rFonts w:cs="Times New Roman"/>
                <w:szCs w:val="24"/>
                <w:lang w:bidi="ar"/>
              </w:rPr>
            </w:pPr>
          </w:p>
        </w:tc>
        <w:tc>
          <w:tcPr>
            <w:tcW w:w="1788" w:type="dxa"/>
            <w:vMerge w:val="continue"/>
            <w:shd w:val="clear" w:color="auto" w:fill="E8E8E8" w:themeFill="background2"/>
            <w:vAlign w:val="center"/>
          </w:tcPr>
          <w:p w14:paraId="1A295F2E">
            <w:pPr>
              <w:jc w:val="center"/>
              <w:rPr>
                <w:rFonts w:cs="Times New Roman"/>
                <w:b/>
                <w:bCs/>
                <w:szCs w:val="24"/>
              </w:rPr>
            </w:pPr>
          </w:p>
        </w:tc>
        <w:tc>
          <w:tcPr>
            <w:tcW w:w="10505" w:type="dxa"/>
            <w:gridSpan w:val="5"/>
            <w:shd w:val="clear" w:color="auto" w:fill="E8E8E8" w:themeFill="background2"/>
            <w:vAlign w:val="center"/>
          </w:tcPr>
          <w:p w14:paraId="4035212E">
            <w:pPr>
              <w:jc w:val="left"/>
              <w:rPr>
                <w:rFonts w:cs="Times New Roman"/>
                <w:b/>
                <w:bCs/>
                <w:szCs w:val="24"/>
              </w:rPr>
            </w:pPr>
            <w:r>
              <w:rPr>
                <w:rFonts w:cs="Times New Roman"/>
                <w:b/>
                <w:bCs/>
                <w:szCs w:val="24"/>
              </w:rPr>
              <w:t xml:space="preserve">4.5.2 </w:t>
            </w:r>
            <w:r>
              <w:rPr>
                <w:rFonts w:cs="Times New Roman"/>
                <w:szCs w:val="24"/>
              </w:rPr>
              <w:t>Encourage patients, as their physical condition allows, to gradually resume appropriate social activities and hobbies to promote mental health and social role readjustment.</w:t>
            </w:r>
          </w:p>
        </w:tc>
      </w:tr>
      <w:tr w14:paraId="1912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236A6CD1">
            <w:pPr>
              <w:jc w:val="center"/>
              <w:rPr>
                <w:rFonts w:cs="Times New Roman"/>
                <w:szCs w:val="24"/>
                <w:lang w:bidi="ar"/>
              </w:rPr>
            </w:pPr>
          </w:p>
        </w:tc>
        <w:tc>
          <w:tcPr>
            <w:tcW w:w="1788" w:type="dxa"/>
            <w:vMerge w:val="restart"/>
            <w:shd w:val="clear" w:color="auto" w:fill="E8E8E8" w:themeFill="background2"/>
            <w:vAlign w:val="center"/>
          </w:tcPr>
          <w:p w14:paraId="44DD53C2">
            <w:pPr>
              <w:jc w:val="center"/>
              <w:rPr>
                <w:rFonts w:cs="Times New Roman"/>
                <w:szCs w:val="24"/>
                <w:lang w:bidi="ar"/>
              </w:rPr>
            </w:pPr>
            <w:r>
              <w:rPr>
                <w:rFonts w:cs="Times New Roman"/>
                <w:b/>
                <w:bCs/>
                <w:szCs w:val="24"/>
              </w:rPr>
              <w:t xml:space="preserve">4.6 </w:t>
            </w:r>
            <w:r>
              <w:rPr>
                <w:rFonts w:cs="Times New Roman"/>
                <w:szCs w:val="24"/>
                <w:lang w:bidi="ar"/>
              </w:rPr>
              <w:t>Implementation methods</w:t>
            </w:r>
          </w:p>
        </w:tc>
        <w:tc>
          <w:tcPr>
            <w:tcW w:w="10505" w:type="dxa"/>
            <w:gridSpan w:val="5"/>
            <w:shd w:val="clear" w:color="auto" w:fill="E8E8E8" w:themeFill="background2"/>
            <w:vAlign w:val="center"/>
          </w:tcPr>
          <w:p w14:paraId="79E31E67">
            <w:pPr>
              <w:jc w:val="left"/>
              <w:rPr>
                <w:rFonts w:cs="Times New Roman"/>
                <w:szCs w:val="24"/>
              </w:rPr>
            </w:pPr>
            <w:r>
              <w:rPr>
                <w:rFonts w:cs="Times New Roman"/>
                <w:b/>
                <w:bCs/>
                <w:szCs w:val="24"/>
              </w:rPr>
              <w:t xml:space="preserve">4.6.1 </w:t>
            </w:r>
            <w:r>
              <w:rPr>
                <w:rFonts w:cs="Times New Roman"/>
                <w:szCs w:val="24"/>
                <w:lang w:bidi="ar"/>
              </w:rPr>
              <w:t>Provide health education through diverse channels, including face-to-face instruction, educational brochures, online platforms (WeChat groups, short video platforms, mini-programs, etc.), community activities, and regular home visits.</w:t>
            </w:r>
          </w:p>
        </w:tc>
      </w:tr>
      <w:tr w14:paraId="0A8F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E8E8E8" w:themeFill="background2"/>
            <w:vAlign w:val="center"/>
          </w:tcPr>
          <w:p w14:paraId="6D85BC70">
            <w:pPr>
              <w:jc w:val="center"/>
              <w:rPr>
                <w:rFonts w:cs="Times New Roman"/>
                <w:szCs w:val="24"/>
                <w:lang w:bidi="ar"/>
              </w:rPr>
            </w:pPr>
          </w:p>
        </w:tc>
        <w:tc>
          <w:tcPr>
            <w:tcW w:w="1788" w:type="dxa"/>
            <w:vMerge w:val="continue"/>
            <w:shd w:val="clear" w:color="auto" w:fill="E8E8E8" w:themeFill="background2"/>
            <w:vAlign w:val="center"/>
          </w:tcPr>
          <w:p w14:paraId="3E9B01EF">
            <w:pPr>
              <w:jc w:val="center"/>
              <w:rPr>
                <w:rFonts w:cs="Times New Roman"/>
                <w:szCs w:val="24"/>
                <w:lang w:bidi="ar"/>
              </w:rPr>
            </w:pPr>
          </w:p>
        </w:tc>
        <w:tc>
          <w:tcPr>
            <w:tcW w:w="10505" w:type="dxa"/>
            <w:gridSpan w:val="5"/>
            <w:shd w:val="clear" w:color="auto" w:fill="E8E8E8" w:themeFill="background2"/>
            <w:vAlign w:val="center"/>
          </w:tcPr>
          <w:p w14:paraId="5BA6015E">
            <w:pPr>
              <w:jc w:val="left"/>
              <w:rPr>
                <w:rFonts w:cs="Times New Roman"/>
                <w:szCs w:val="24"/>
              </w:rPr>
            </w:pPr>
            <w:r>
              <w:rPr>
                <w:rFonts w:cs="Times New Roman"/>
                <w:b/>
                <w:bCs/>
                <w:szCs w:val="24"/>
              </w:rPr>
              <w:t>4.6.2</w:t>
            </w:r>
            <w:r>
              <w:rPr>
                <w:rFonts w:cs="Times New Roman"/>
                <w:szCs w:val="24"/>
              </w:rPr>
              <w:t xml:space="preserve"> </w:t>
            </w:r>
            <w:r>
              <w:rPr>
                <w:rFonts w:cs="Times New Roman"/>
                <w:szCs w:val="24"/>
                <w:lang w:bidi="ar"/>
              </w:rPr>
              <w:t>Education methods should be tailored to local conditions and individual circumstances, taking into account the patient's living environment, receptivity to knowledge, family support, and cultural background, to ensure the feasibility and effectiveness of the guidance.</w:t>
            </w:r>
          </w:p>
        </w:tc>
      </w:tr>
      <w:tr w14:paraId="41AF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883" w:type="dxa"/>
            <w:vMerge w:val="restart"/>
            <w:shd w:val="clear" w:color="auto" w:fill="F4EDAE"/>
            <w:vAlign w:val="center"/>
          </w:tcPr>
          <w:p w14:paraId="39945489">
            <w:pPr>
              <w:widowControl/>
              <w:adjustRightInd/>
              <w:snapToGrid/>
              <w:spacing w:line="240" w:lineRule="auto"/>
              <w:jc w:val="center"/>
              <w:rPr>
                <w:rFonts w:cs="Times New Roman"/>
                <w:szCs w:val="24"/>
              </w:rPr>
            </w:pPr>
            <w:r>
              <w:rPr>
                <w:rFonts w:cs="Times New Roman"/>
                <w:b/>
                <w:bCs/>
                <w:szCs w:val="24"/>
              </w:rPr>
              <w:t>5</w:t>
            </w:r>
            <w:r>
              <w:rPr>
                <w:rFonts w:cs="Times New Roman"/>
                <w:szCs w:val="24"/>
              </w:rPr>
              <w:t xml:space="preserve"> </w:t>
            </w:r>
            <w:r>
              <w:rPr>
                <w:rFonts w:cs="Times New Roman"/>
                <w:szCs w:val="24"/>
                <w:lang w:bidi="ar"/>
              </w:rPr>
              <w:t>Psychological Support</w:t>
            </w:r>
          </w:p>
        </w:tc>
        <w:tc>
          <w:tcPr>
            <w:tcW w:w="1788" w:type="dxa"/>
            <w:shd w:val="clear" w:color="auto" w:fill="F4EDAE"/>
            <w:vAlign w:val="center"/>
          </w:tcPr>
          <w:p w14:paraId="0A7BE0E4">
            <w:pPr>
              <w:jc w:val="center"/>
              <w:rPr>
                <w:rFonts w:cs="Times New Roman"/>
                <w:szCs w:val="24"/>
                <w:lang w:bidi="ar"/>
              </w:rPr>
            </w:pPr>
            <w:r>
              <w:rPr>
                <w:rFonts w:cs="Times New Roman"/>
                <w:b/>
                <w:bCs/>
                <w:szCs w:val="24"/>
              </w:rPr>
              <w:t xml:space="preserve">5.1 </w:t>
            </w:r>
            <w:r>
              <w:rPr>
                <w:rFonts w:cs="Times New Roman"/>
                <w:szCs w:val="24"/>
                <w:lang w:bidi="ar"/>
              </w:rPr>
              <w:t>Psychological state assessment</w:t>
            </w:r>
          </w:p>
        </w:tc>
        <w:tc>
          <w:tcPr>
            <w:tcW w:w="10505" w:type="dxa"/>
            <w:gridSpan w:val="5"/>
            <w:shd w:val="clear" w:color="auto" w:fill="F4EDAE"/>
            <w:vAlign w:val="center"/>
          </w:tcPr>
          <w:p w14:paraId="4D6F4B7E">
            <w:pPr>
              <w:jc w:val="left"/>
              <w:rPr>
                <w:rFonts w:cs="Times New Roman"/>
                <w:szCs w:val="24"/>
              </w:rPr>
            </w:pPr>
            <w:r>
              <w:rPr>
                <w:rFonts w:cs="Times New Roman"/>
                <w:b/>
                <w:bCs/>
                <w:szCs w:val="24"/>
              </w:rPr>
              <w:t>5.1.1</w:t>
            </w:r>
            <w:r>
              <w:rPr>
                <w:rFonts w:cs="Times New Roman"/>
                <w:szCs w:val="24"/>
              </w:rPr>
              <w:t xml:space="preserve"> </w:t>
            </w:r>
            <w:r>
              <w:rPr>
                <w:rFonts w:cs="Times New Roman"/>
                <w:szCs w:val="24"/>
                <w:lang w:bidi="ar"/>
              </w:rPr>
              <w:t>Assess the patient’s psychological status; patients identified with moderate to severe anxiety or depression should receive professional intervention from a psychologist.</w:t>
            </w:r>
          </w:p>
        </w:tc>
      </w:tr>
      <w:tr w14:paraId="2C6B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4EDAE"/>
            <w:vAlign w:val="center"/>
          </w:tcPr>
          <w:p w14:paraId="15C6DAE0">
            <w:pPr>
              <w:jc w:val="center"/>
              <w:rPr>
                <w:rFonts w:cs="Times New Roman"/>
                <w:szCs w:val="24"/>
                <w:lang w:bidi="ar"/>
              </w:rPr>
            </w:pPr>
          </w:p>
        </w:tc>
        <w:tc>
          <w:tcPr>
            <w:tcW w:w="1788" w:type="dxa"/>
            <w:vMerge w:val="restart"/>
            <w:shd w:val="clear" w:color="auto" w:fill="F4EDAE"/>
            <w:vAlign w:val="center"/>
          </w:tcPr>
          <w:p w14:paraId="08C786D0">
            <w:pPr>
              <w:jc w:val="center"/>
              <w:rPr>
                <w:rFonts w:cs="Times New Roman"/>
                <w:szCs w:val="24"/>
                <w:lang w:bidi="ar"/>
              </w:rPr>
            </w:pPr>
            <w:r>
              <w:rPr>
                <w:rFonts w:cs="Times New Roman"/>
                <w:b/>
                <w:bCs/>
                <w:szCs w:val="24"/>
              </w:rPr>
              <w:t xml:space="preserve">5.2 </w:t>
            </w:r>
            <w:r>
              <w:rPr>
                <w:rFonts w:cs="Times New Roman"/>
                <w:szCs w:val="24"/>
                <w:lang w:bidi="ar"/>
              </w:rPr>
              <w:t>Psychological empowerment</w:t>
            </w:r>
          </w:p>
        </w:tc>
        <w:tc>
          <w:tcPr>
            <w:tcW w:w="10505" w:type="dxa"/>
            <w:gridSpan w:val="5"/>
            <w:shd w:val="clear" w:color="auto" w:fill="F4EDAE"/>
            <w:vAlign w:val="center"/>
          </w:tcPr>
          <w:p w14:paraId="698B9F52">
            <w:pPr>
              <w:jc w:val="left"/>
              <w:rPr>
                <w:rFonts w:cs="Times New Roman"/>
                <w:szCs w:val="24"/>
                <w:lang w:bidi="ar"/>
              </w:rPr>
            </w:pPr>
            <w:r>
              <w:rPr>
                <w:rFonts w:cs="Times New Roman"/>
                <w:b/>
                <w:bCs/>
                <w:szCs w:val="24"/>
              </w:rPr>
              <w:t xml:space="preserve">5.2.1 </w:t>
            </w:r>
            <w:r>
              <w:rPr>
                <w:rFonts w:cs="Times New Roman"/>
                <w:szCs w:val="24"/>
                <w:lang w:bidi="ar"/>
              </w:rPr>
              <w:t>Positive reinforcement: praise patients who achieve phased goals; for those who do not, discuss obstacles and provide encouragement to enhance adherence.</w:t>
            </w:r>
          </w:p>
        </w:tc>
      </w:tr>
      <w:tr w14:paraId="7764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4EDAE"/>
            <w:vAlign w:val="center"/>
          </w:tcPr>
          <w:p w14:paraId="4319990C">
            <w:pPr>
              <w:jc w:val="center"/>
              <w:rPr>
                <w:rFonts w:cs="Times New Roman"/>
                <w:szCs w:val="24"/>
                <w:lang w:bidi="ar"/>
              </w:rPr>
            </w:pPr>
          </w:p>
        </w:tc>
        <w:tc>
          <w:tcPr>
            <w:tcW w:w="1788" w:type="dxa"/>
            <w:vMerge w:val="continue"/>
            <w:shd w:val="clear" w:color="auto" w:fill="F4EDAE"/>
            <w:vAlign w:val="center"/>
          </w:tcPr>
          <w:p w14:paraId="48113E45">
            <w:pPr>
              <w:jc w:val="center"/>
              <w:rPr>
                <w:rFonts w:cs="Times New Roman"/>
                <w:szCs w:val="24"/>
                <w:lang w:bidi="ar"/>
              </w:rPr>
            </w:pPr>
          </w:p>
        </w:tc>
        <w:tc>
          <w:tcPr>
            <w:tcW w:w="10505" w:type="dxa"/>
            <w:gridSpan w:val="5"/>
            <w:shd w:val="clear" w:color="auto" w:fill="F4EDAE"/>
            <w:vAlign w:val="center"/>
          </w:tcPr>
          <w:p w14:paraId="588EBFE5">
            <w:pPr>
              <w:jc w:val="left"/>
              <w:rPr>
                <w:rFonts w:cs="Times New Roman"/>
                <w:szCs w:val="24"/>
                <w:lang w:bidi="ar"/>
              </w:rPr>
            </w:pPr>
            <w:r>
              <w:rPr>
                <w:rFonts w:cs="Times New Roman"/>
                <w:b/>
                <w:bCs/>
                <w:szCs w:val="24"/>
              </w:rPr>
              <w:t>5.2.2</w:t>
            </w:r>
            <w:r>
              <w:rPr>
                <w:rFonts w:cs="Times New Roman"/>
                <w:szCs w:val="24"/>
              </w:rPr>
              <w:t xml:space="preserve"> </w:t>
            </w:r>
            <w:r>
              <w:rPr>
                <w:rFonts w:cs="Times New Roman"/>
                <w:szCs w:val="24"/>
                <w:lang w:bidi="ar"/>
              </w:rPr>
              <w:t>Peer education: encourage communication among patients to share personal pulmonary rehabilitation experiences.</w:t>
            </w:r>
          </w:p>
        </w:tc>
      </w:tr>
      <w:tr w14:paraId="3FB6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4EDAE"/>
            <w:vAlign w:val="center"/>
          </w:tcPr>
          <w:p w14:paraId="6B0513E8">
            <w:pPr>
              <w:jc w:val="center"/>
              <w:rPr>
                <w:rFonts w:cs="Times New Roman"/>
                <w:szCs w:val="24"/>
                <w:lang w:bidi="ar"/>
              </w:rPr>
            </w:pPr>
          </w:p>
        </w:tc>
        <w:tc>
          <w:tcPr>
            <w:tcW w:w="1788" w:type="dxa"/>
            <w:vMerge w:val="continue"/>
            <w:shd w:val="clear" w:color="auto" w:fill="F4EDAE"/>
            <w:vAlign w:val="center"/>
          </w:tcPr>
          <w:p w14:paraId="3CD9A68A">
            <w:pPr>
              <w:jc w:val="center"/>
              <w:rPr>
                <w:rFonts w:cs="Times New Roman"/>
                <w:szCs w:val="24"/>
                <w:lang w:bidi="ar"/>
              </w:rPr>
            </w:pPr>
          </w:p>
        </w:tc>
        <w:tc>
          <w:tcPr>
            <w:tcW w:w="10505" w:type="dxa"/>
            <w:gridSpan w:val="5"/>
            <w:shd w:val="clear" w:color="auto" w:fill="F4EDAE"/>
            <w:vAlign w:val="center"/>
          </w:tcPr>
          <w:p w14:paraId="04D6CE55">
            <w:pPr>
              <w:jc w:val="left"/>
              <w:rPr>
                <w:rFonts w:cs="Times New Roman"/>
                <w:szCs w:val="24"/>
                <w:lang w:bidi="ar"/>
              </w:rPr>
            </w:pPr>
            <w:r>
              <w:rPr>
                <w:rFonts w:cs="Times New Roman"/>
                <w:b/>
                <w:bCs/>
                <w:szCs w:val="24"/>
              </w:rPr>
              <w:t xml:space="preserve">5.2.3 </w:t>
            </w:r>
            <w:r>
              <w:rPr>
                <w:rFonts w:cs="Times New Roman"/>
                <w:szCs w:val="24"/>
                <w:lang w:bidi="ar"/>
              </w:rPr>
              <w:t>Family support: encourage and guide family members to provide effective emotional support and psychological care for the patient.</w:t>
            </w:r>
          </w:p>
        </w:tc>
      </w:tr>
      <w:tr w14:paraId="6CE2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4EDAE"/>
            <w:vAlign w:val="center"/>
          </w:tcPr>
          <w:p w14:paraId="50343188">
            <w:pPr>
              <w:jc w:val="center"/>
              <w:rPr>
                <w:rFonts w:cs="Times New Roman"/>
                <w:szCs w:val="24"/>
                <w:lang w:bidi="ar"/>
              </w:rPr>
            </w:pPr>
          </w:p>
        </w:tc>
        <w:tc>
          <w:tcPr>
            <w:tcW w:w="1788" w:type="dxa"/>
            <w:shd w:val="clear" w:color="auto" w:fill="F4EDAE"/>
            <w:vAlign w:val="center"/>
          </w:tcPr>
          <w:p w14:paraId="7D5CFCC7">
            <w:pPr>
              <w:jc w:val="center"/>
              <w:rPr>
                <w:rFonts w:cs="Times New Roman"/>
                <w:szCs w:val="24"/>
                <w:lang w:bidi="ar"/>
              </w:rPr>
            </w:pPr>
            <w:r>
              <w:rPr>
                <w:rFonts w:cs="Times New Roman"/>
                <w:b/>
                <w:bCs/>
                <w:szCs w:val="24"/>
              </w:rPr>
              <w:t xml:space="preserve">5.3 </w:t>
            </w:r>
            <w:r>
              <w:rPr>
                <w:rFonts w:cs="Times New Roman"/>
                <w:szCs w:val="24"/>
                <w:lang w:bidi="ar"/>
              </w:rPr>
              <w:t>Coping strategies training</w:t>
            </w:r>
          </w:p>
        </w:tc>
        <w:tc>
          <w:tcPr>
            <w:tcW w:w="10505" w:type="dxa"/>
            <w:gridSpan w:val="5"/>
            <w:shd w:val="clear" w:color="auto" w:fill="F4EDAE"/>
            <w:vAlign w:val="center"/>
          </w:tcPr>
          <w:p w14:paraId="735A5E58">
            <w:pPr>
              <w:jc w:val="left"/>
              <w:rPr>
                <w:rFonts w:cs="Times New Roman"/>
                <w:szCs w:val="24"/>
              </w:rPr>
            </w:pPr>
            <w:r>
              <w:rPr>
                <w:rFonts w:cs="Times New Roman"/>
                <w:b/>
                <w:bCs/>
                <w:szCs w:val="24"/>
              </w:rPr>
              <w:t>5.3.1</w:t>
            </w:r>
            <w:r>
              <w:rPr>
                <w:rFonts w:cs="Times New Roman"/>
                <w:szCs w:val="24"/>
              </w:rPr>
              <w:t xml:space="preserve"> Teach patients simple coping techniques, such as relaxation training (e.g., diaphragmatic breathing relaxation, progressive muscle relaxation) and distraction techniques (e.g., listening to music, simple handicrafts), to alleviate acute anxiety, tension, and other discomforts.</w:t>
            </w:r>
          </w:p>
        </w:tc>
      </w:tr>
      <w:tr w14:paraId="6623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shd w:val="clear" w:color="auto" w:fill="FAE3D6" w:themeFill="accent2" w:themeFillTint="32"/>
            <w:vAlign w:val="center"/>
          </w:tcPr>
          <w:p w14:paraId="3EC38DC1">
            <w:pPr>
              <w:widowControl/>
              <w:adjustRightInd/>
              <w:snapToGrid/>
              <w:spacing w:line="240" w:lineRule="auto"/>
              <w:jc w:val="center"/>
              <w:rPr>
                <w:rFonts w:cs="Times New Roman"/>
                <w:szCs w:val="24"/>
              </w:rPr>
            </w:pPr>
            <w:r>
              <w:rPr>
                <w:rFonts w:cs="Times New Roman"/>
                <w:b/>
                <w:bCs/>
                <w:szCs w:val="24"/>
              </w:rPr>
              <w:t xml:space="preserve">6 </w:t>
            </w:r>
            <w:r>
              <w:rPr>
                <w:rFonts w:cs="Times New Roman"/>
                <w:szCs w:val="24"/>
                <w:lang w:bidi="ar"/>
              </w:rPr>
              <w:t>Follow-up Management</w:t>
            </w:r>
          </w:p>
        </w:tc>
        <w:tc>
          <w:tcPr>
            <w:tcW w:w="1788" w:type="dxa"/>
            <w:vMerge w:val="restart"/>
            <w:shd w:val="clear" w:color="auto" w:fill="FAE3D6" w:themeFill="accent2" w:themeFillTint="32"/>
            <w:vAlign w:val="center"/>
          </w:tcPr>
          <w:p w14:paraId="6F21F582">
            <w:pPr>
              <w:jc w:val="center"/>
              <w:rPr>
                <w:rFonts w:cs="Times New Roman"/>
                <w:b/>
                <w:bCs/>
                <w:szCs w:val="24"/>
              </w:rPr>
            </w:pPr>
            <w:r>
              <w:rPr>
                <w:rFonts w:cs="Times New Roman"/>
                <w:b/>
                <w:bCs/>
                <w:szCs w:val="24"/>
              </w:rPr>
              <w:t>6.1</w:t>
            </w:r>
            <w:r>
              <w:rPr>
                <w:rFonts w:cs="Times New Roman"/>
                <w:szCs w:val="24"/>
                <w:lang w:bidi="ar"/>
              </w:rPr>
              <w:t xml:space="preserve"> Follow-up</w:t>
            </w:r>
            <w:r>
              <w:rPr>
                <w:rFonts w:cs="Times New Roman"/>
                <w:szCs w:val="24"/>
              </w:rPr>
              <w:t xml:space="preserve"> content</w:t>
            </w:r>
          </w:p>
        </w:tc>
        <w:tc>
          <w:tcPr>
            <w:tcW w:w="10505" w:type="dxa"/>
            <w:gridSpan w:val="5"/>
            <w:shd w:val="clear" w:color="auto" w:fill="FAE3D6" w:themeFill="accent2" w:themeFillTint="32"/>
            <w:vAlign w:val="center"/>
          </w:tcPr>
          <w:p w14:paraId="04D4789D">
            <w:pPr>
              <w:jc w:val="left"/>
              <w:rPr>
                <w:rFonts w:cs="Times New Roman"/>
                <w:szCs w:val="24"/>
                <w:lang w:bidi="ar"/>
              </w:rPr>
            </w:pPr>
            <w:r>
              <w:rPr>
                <w:rFonts w:cs="Times New Roman"/>
                <w:b/>
                <w:bCs/>
                <w:szCs w:val="24"/>
              </w:rPr>
              <w:t>6.1.1</w:t>
            </w:r>
            <w:r>
              <w:rPr>
                <w:rFonts w:cs="Times New Roman"/>
                <w:szCs w:val="24"/>
              </w:rPr>
              <w:t xml:space="preserve"> </w:t>
            </w:r>
            <w:r>
              <w:rPr>
                <w:rFonts w:cs="Times New Roman"/>
                <w:szCs w:val="24"/>
                <w:lang w:bidi="ar"/>
              </w:rPr>
              <w:t xml:space="preserve">Mandatory assessment items: </w:t>
            </w:r>
            <w:r>
              <w:rPr>
                <w:rFonts w:ascii="Cambria Math" w:hAnsi="Cambria Math" w:cs="Cambria Math"/>
                <w:szCs w:val="24"/>
                <w:lang w:bidi="ar"/>
              </w:rPr>
              <w:t>①</w:t>
            </w:r>
            <w:r>
              <w:rPr>
                <w:rFonts w:cs="Times New Roman"/>
                <w:szCs w:val="24"/>
                <w:lang w:bidi="ar"/>
              </w:rPr>
              <w:t xml:space="preserve"> Function and symptoms: 6-minute walking distance, dyspnea score, </w:t>
            </w:r>
            <w:r>
              <w:rPr>
                <w:rFonts w:hint="eastAsia" w:cs="Times New Roman"/>
                <w:szCs w:val="24"/>
                <w:lang w:bidi="ar"/>
              </w:rPr>
              <w:t>c</w:t>
            </w:r>
            <w:r>
              <w:rPr>
                <w:rFonts w:cs="Times New Roman"/>
                <w:szCs w:val="24"/>
                <w:lang w:bidi="ar"/>
              </w:rPr>
              <w:t xml:space="preserve">ardiac </w:t>
            </w:r>
            <w:r>
              <w:rPr>
                <w:rFonts w:hint="eastAsia" w:cs="Times New Roman"/>
                <w:szCs w:val="24"/>
                <w:lang w:bidi="ar"/>
              </w:rPr>
              <w:t>f</w:t>
            </w:r>
            <w:r>
              <w:rPr>
                <w:rFonts w:cs="Times New Roman"/>
                <w:szCs w:val="24"/>
                <w:lang w:bidi="ar"/>
              </w:rPr>
              <w:t xml:space="preserve">unction </w:t>
            </w:r>
            <w:r>
              <w:rPr>
                <w:rFonts w:hint="eastAsia" w:cs="Times New Roman"/>
                <w:szCs w:val="24"/>
                <w:lang w:bidi="ar"/>
              </w:rPr>
              <w:t>c</w:t>
            </w:r>
            <w:r>
              <w:rPr>
                <w:rFonts w:cs="Times New Roman"/>
                <w:szCs w:val="24"/>
                <w:lang w:bidi="ar"/>
              </w:rPr>
              <w:t>lassification, activities of daily living, anxiety and depression scores</w:t>
            </w:r>
            <w:r>
              <w:rPr>
                <w:rFonts w:hint="eastAsia" w:cs="Times New Roman"/>
                <w:szCs w:val="24"/>
                <w:lang w:bidi="ar"/>
              </w:rPr>
              <w:t>,</w:t>
            </w:r>
            <w:r>
              <w:t xml:space="preserve"> </w:t>
            </w:r>
            <w:r>
              <w:rPr>
                <w:rFonts w:hint="eastAsia" w:cs="Times New Roman"/>
                <w:szCs w:val="24"/>
                <w:lang w:bidi="ar"/>
              </w:rPr>
              <w:t>n</w:t>
            </w:r>
            <w:r>
              <w:rPr>
                <w:rFonts w:cs="Times New Roman"/>
                <w:szCs w:val="24"/>
                <w:lang w:bidi="ar"/>
              </w:rPr>
              <w:t xml:space="preserve">utritional </w:t>
            </w:r>
            <w:r>
              <w:rPr>
                <w:rFonts w:hint="eastAsia" w:cs="Times New Roman"/>
                <w:szCs w:val="24"/>
                <w:lang w:bidi="ar"/>
              </w:rPr>
              <w:t>s</w:t>
            </w:r>
            <w:r>
              <w:rPr>
                <w:rFonts w:cs="Times New Roman"/>
                <w:szCs w:val="24"/>
                <w:lang w:bidi="ar"/>
              </w:rPr>
              <w:t xml:space="preserve">tatus. </w:t>
            </w:r>
            <w:r>
              <w:rPr>
                <w:rFonts w:ascii="Cambria Math" w:hAnsi="Cambria Math" w:cs="Cambria Math"/>
                <w:szCs w:val="24"/>
                <w:lang w:bidi="ar"/>
              </w:rPr>
              <w:t>②</w:t>
            </w:r>
            <w:r>
              <w:rPr>
                <w:rFonts w:cs="Times New Roman"/>
                <w:szCs w:val="24"/>
                <w:lang w:bidi="ar"/>
              </w:rPr>
              <w:t xml:space="preserve"> Physiological indicators: Resting and post-exercise oxygen saturation (SpO₂), heart rate, blood pressure, body weight. </w:t>
            </w:r>
            <w:r>
              <w:rPr>
                <w:rFonts w:ascii="Cambria Math" w:hAnsi="Cambria Math" w:cs="Cambria Math"/>
                <w:szCs w:val="24"/>
                <w:lang w:bidi="ar"/>
              </w:rPr>
              <w:t>③</w:t>
            </w:r>
            <w:r>
              <w:rPr>
                <w:rFonts w:cs="Times New Roman"/>
                <w:szCs w:val="24"/>
                <w:lang w:bidi="ar"/>
              </w:rPr>
              <w:t xml:space="preserve"> Self-management: Medication adherence, home oxygen therapy compliance, symptom changes, rehabilitation training completion rate. </w:t>
            </w:r>
            <w:r>
              <w:rPr>
                <w:rFonts w:ascii="Cambria Math" w:hAnsi="Cambria Math" w:cs="Cambria Math"/>
                <w:szCs w:val="24"/>
                <w:lang w:bidi="ar"/>
              </w:rPr>
              <w:t>④</w:t>
            </w:r>
            <w:r>
              <w:rPr>
                <w:rFonts w:cs="Times New Roman"/>
                <w:szCs w:val="24"/>
                <w:lang w:bidi="ar"/>
              </w:rPr>
              <w:t xml:space="preserve"> Quality of life: Quality of life questionnaire. </w:t>
            </w:r>
            <w:r>
              <w:rPr>
                <w:rFonts w:ascii="Cambria Math" w:hAnsi="Cambria Math" w:cs="Cambria Math"/>
                <w:szCs w:val="24"/>
                <w:lang w:bidi="ar"/>
              </w:rPr>
              <w:t>⑤</w:t>
            </w:r>
            <w:r>
              <w:rPr>
                <w:rFonts w:cs="Times New Roman"/>
                <w:szCs w:val="24"/>
                <w:lang w:bidi="ar"/>
              </w:rPr>
              <w:t xml:space="preserve"> Satisfaction feedback. (Selectively assessed based on the patient's individual condition)</w:t>
            </w:r>
          </w:p>
        </w:tc>
      </w:tr>
      <w:tr w14:paraId="75D8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AE3D6" w:themeFill="accent2" w:themeFillTint="32"/>
            <w:vAlign w:val="center"/>
          </w:tcPr>
          <w:p w14:paraId="04925CD2">
            <w:pPr>
              <w:widowControl/>
              <w:adjustRightInd/>
              <w:snapToGrid/>
              <w:spacing w:line="240" w:lineRule="auto"/>
              <w:jc w:val="center"/>
              <w:rPr>
                <w:rFonts w:cs="Times New Roman"/>
                <w:b/>
                <w:bCs/>
                <w:szCs w:val="24"/>
              </w:rPr>
            </w:pPr>
          </w:p>
        </w:tc>
        <w:tc>
          <w:tcPr>
            <w:tcW w:w="1788" w:type="dxa"/>
            <w:vMerge w:val="continue"/>
            <w:shd w:val="clear" w:color="auto" w:fill="FAE3D6" w:themeFill="accent2" w:themeFillTint="32"/>
            <w:vAlign w:val="center"/>
          </w:tcPr>
          <w:p w14:paraId="7DFF9F67">
            <w:pPr>
              <w:jc w:val="center"/>
              <w:rPr>
                <w:rFonts w:cs="Times New Roman"/>
                <w:b/>
                <w:bCs/>
                <w:szCs w:val="24"/>
              </w:rPr>
            </w:pPr>
          </w:p>
        </w:tc>
        <w:tc>
          <w:tcPr>
            <w:tcW w:w="10505" w:type="dxa"/>
            <w:gridSpan w:val="5"/>
            <w:shd w:val="clear" w:color="auto" w:fill="FAE3D6" w:themeFill="accent2" w:themeFillTint="32"/>
            <w:vAlign w:val="center"/>
          </w:tcPr>
          <w:p w14:paraId="52933EAF">
            <w:pPr>
              <w:jc w:val="left"/>
              <w:rPr>
                <w:rFonts w:cs="Times New Roman"/>
                <w:b/>
                <w:bCs/>
                <w:szCs w:val="24"/>
              </w:rPr>
            </w:pPr>
            <w:r>
              <w:rPr>
                <w:rFonts w:cs="Times New Roman"/>
                <w:b/>
                <w:bCs/>
                <w:szCs w:val="24"/>
              </w:rPr>
              <w:t xml:space="preserve">6.1.2 </w:t>
            </w:r>
            <w:r>
              <w:rPr>
                <w:rFonts w:cs="Times New Roman"/>
                <w:szCs w:val="24"/>
              </w:rPr>
              <w:t>Optional assessment items (to be selected as clinically indicated during hospital follow-up): Echocardiography, cardiopulmonary exercise testing, laboratory tests (BNP or NT-proBNP</w:t>
            </w:r>
            <w:r>
              <w:rPr>
                <w:rFonts w:hint="eastAsia" w:cs="Times New Roman"/>
                <w:szCs w:val="24"/>
              </w:rPr>
              <w:t xml:space="preserve">, </w:t>
            </w:r>
            <w:r>
              <w:rPr>
                <w:rFonts w:cs="Times New Roman"/>
                <w:szCs w:val="24"/>
              </w:rPr>
              <w:t>complete blood count, blood biochemistry, biomarkers, etc.),</w:t>
            </w:r>
            <w:r>
              <w:t xml:space="preserve"> </w:t>
            </w:r>
            <w:r>
              <w:rPr>
                <w:rFonts w:hint="eastAsia" w:cs="Times New Roman"/>
                <w:szCs w:val="24"/>
              </w:rPr>
              <w:t>r</w:t>
            </w:r>
            <w:r>
              <w:rPr>
                <w:rFonts w:cs="Times New Roman"/>
                <w:szCs w:val="24"/>
              </w:rPr>
              <w:t xml:space="preserve">ight </w:t>
            </w:r>
            <w:r>
              <w:rPr>
                <w:rFonts w:hint="eastAsia" w:cs="Times New Roman"/>
                <w:szCs w:val="24"/>
              </w:rPr>
              <w:t>h</w:t>
            </w:r>
            <w:r>
              <w:rPr>
                <w:rFonts w:cs="Times New Roman"/>
                <w:szCs w:val="24"/>
              </w:rPr>
              <w:t xml:space="preserve">eart </w:t>
            </w:r>
            <w:r>
              <w:rPr>
                <w:rFonts w:hint="eastAsia" w:cs="Times New Roman"/>
                <w:szCs w:val="24"/>
              </w:rPr>
              <w:t>c</w:t>
            </w:r>
            <w:r>
              <w:rPr>
                <w:rFonts w:cs="Times New Roman"/>
                <w:szCs w:val="24"/>
              </w:rPr>
              <w:t>atheterization (RHC)</w:t>
            </w:r>
            <w:r>
              <w:rPr>
                <w:rFonts w:hint="eastAsia" w:cs="Times New Roman"/>
                <w:szCs w:val="24"/>
              </w:rPr>
              <w:t>,</w:t>
            </w:r>
            <w:r>
              <w:rPr>
                <w:rFonts w:cs="Times New Roman"/>
                <w:szCs w:val="24"/>
              </w:rPr>
              <w:t xml:space="preserve"> peripheral muscle strength, etc.</w:t>
            </w:r>
          </w:p>
        </w:tc>
      </w:tr>
      <w:tr w14:paraId="14BD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AE3D6" w:themeFill="accent2" w:themeFillTint="32"/>
            <w:vAlign w:val="center"/>
          </w:tcPr>
          <w:p w14:paraId="11B0471D">
            <w:pPr>
              <w:jc w:val="center"/>
              <w:rPr>
                <w:rFonts w:cs="Times New Roman"/>
                <w:szCs w:val="24"/>
                <w:lang w:bidi="ar"/>
              </w:rPr>
            </w:pPr>
          </w:p>
        </w:tc>
        <w:tc>
          <w:tcPr>
            <w:tcW w:w="1788" w:type="dxa"/>
            <w:vMerge w:val="restart"/>
            <w:shd w:val="clear" w:color="auto" w:fill="FAE3D6" w:themeFill="accent2" w:themeFillTint="32"/>
            <w:vAlign w:val="center"/>
          </w:tcPr>
          <w:p w14:paraId="32A4E181">
            <w:pPr>
              <w:jc w:val="center"/>
              <w:rPr>
                <w:rFonts w:cs="Times New Roman"/>
                <w:szCs w:val="24"/>
                <w:lang w:bidi="ar"/>
              </w:rPr>
            </w:pPr>
            <w:r>
              <w:rPr>
                <w:rFonts w:cs="Times New Roman"/>
                <w:b/>
                <w:bCs/>
                <w:szCs w:val="24"/>
              </w:rPr>
              <w:t>6.2</w:t>
            </w:r>
            <w:r>
              <w:rPr>
                <w:rFonts w:cs="Times New Roman"/>
                <w:szCs w:val="24"/>
                <w:lang w:bidi="ar"/>
              </w:rPr>
              <w:t xml:space="preserve"> Follow-up</w:t>
            </w:r>
            <w:r>
              <w:rPr>
                <w:rFonts w:cs="Times New Roman"/>
                <w:szCs w:val="24"/>
              </w:rPr>
              <w:t xml:space="preserve"> </w:t>
            </w:r>
            <w:r>
              <w:rPr>
                <w:rFonts w:cs="Times New Roman"/>
                <w:szCs w:val="24"/>
                <w:lang w:bidi="ar"/>
              </w:rPr>
              <w:t>frequency</w:t>
            </w:r>
          </w:p>
        </w:tc>
        <w:tc>
          <w:tcPr>
            <w:tcW w:w="10505" w:type="dxa"/>
            <w:gridSpan w:val="5"/>
            <w:shd w:val="clear" w:color="auto" w:fill="FAE3D6" w:themeFill="accent2" w:themeFillTint="32"/>
            <w:vAlign w:val="center"/>
          </w:tcPr>
          <w:p w14:paraId="7A6BCDA7">
            <w:pPr>
              <w:jc w:val="left"/>
              <w:rPr>
                <w:rFonts w:cs="Times New Roman"/>
                <w:szCs w:val="24"/>
                <w:lang w:bidi="ar"/>
              </w:rPr>
            </w:pPr>
            <w:r>
              <w:rPr>
                <w:rFonts w:cs="Times New Roman"/>
                <w:b/>
                <w:bCs/>
                <w:szCs w:val="24"/>
              </w:rPr>
              <w:t xml:space="preserve">6.2.1 </w:t>
            </w:r>
            <w:r>
              <w:rPr>
                <w:rFonts w:cs="Times New Roman"/>
                <w:szCs w:val="24"/>
                <w:lang w:bidi="ar"/>
              </w:rPr>
              <w:t>Follow-up evaluation every 3–6 months.</w:t>
            </w:r>
          </w:p>
        </w:tc>
      </w:tr>
      <w:tr w14:paraId="77D2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AE3D6" w:themeFill="accent2" w:themeFillTint="32"/>
            <w:vAlign w:val="center"/>
          </w:tcPr>
          <w:p w14:paraId="4494A31F">
            <w:pPr>
              <w:jc w:val="center"/>
              <w:rPr>
                <w:rFonts w:cs="Times New Roman"/>
                <w:szCs w:val="24"/>
                <w:lang w:bidi="ar"/>
              </w:rPr>
            </w:pPr>
          </w:p>
        </w:tc>
        <w:tc>
          <w:tcPr>
            <w:tcW w:w="1788" w:type="dxa"/>
            <w:vMerge w:val="continue"/>
            <w:shd w:val="clear" w:color="auto" w:fill="FAE3D6" w:themeFill="accent2" w:themeFillTint="32"/>
            <w:vAlign w:val="center"/>
          </w:tcPr>
          <w:p w14:paraId="1542B4AE">
            <w:pPr>
              <w:jc w:val="center"/>
              <w:rPr>
                <w:rFonts w:cs="Times New Roman"/>
                <w:szCs w:val="24"/>
                <w:lang w:bidi="ar"/>
              </w:rPr>
            </w:pPr>
          </w:p>
        </w:tc>
        <w:tc>
          <w:tcPr>
            <w:tcW w:w="10505" w:type="dxa"/>
            <w:gridSpan w:val="5"/>
            <w:shd w:val="clear" w:color="auto" w:fill="FAE3D6" w:themeFill="accent2" w:themeFillTint="32"/>
            <w:vAlign w:val="center"/>
          </w:tcPr>
          <w:p w14:paraId="3B1A3793">
            <w:pPr>
              <w:jc w:val="left"/>
              <w:rPr>
                <w:rFonts w:cs="Times New Roman"/>
                <w:szCs w:val="24"/>
                <w:lang w:bidi="ar"/>
              </w:rPr>
            </w:pPr>
            <w:r>
              <w:rPr>
                <w:rFonts w:cs="Times New Roman"/>
                <w:b/>
                <w:bCs/>
                <w:szCs w:val="24"/>
              </w:rPr>
              <w:t>6.2.2</w:t>
            </w:r>
            <w:r>
              <w:rPr>
                <w:rFonts w:cs="Times New Roman"/>
                <w:szCs w:val="24"/>
              </w:rPr>
              <w:t xml:space="preserve"> </w:t>
            </w:r>
            <w:r>
              <w:rPr>
                <w:rFonts w:cs="Times New Roman"/>
                <w:szCs w:val="24"/>
                <w:lang w:bidi="ar"/>
              </w:rPr>
              <w:t>If the condition becomes unstable or new/worsening symptoms develop, the patient should return to the hospital immediately for re-evaluation.</w:t>
            </w:r>
          </w:p>
        </w:tc>
      </w:tr>
      <w:tr w14:paraId="128C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AE3D6" w:themeFill="accent2" w:themeFillTint="32"/>
            <w:vAlign w:val="center"/>
          </w:tcPr>
          <w:p w14:paraId="6F832641">
            <w:pPr>
              <w:jc w:val="center"/>
              <w:rPr>
                <w:rFonts w:cs="Times New Roman"/>
                <w:szCs w:val="24"/>
                <w:lang w:bidi="ar"/>
              </w:rPr>
            </w:pPr>
          </w:p>
        </w:tc>
        <w:tc>
          <w:tcPr>
            <w:tcW w:w="1788" w:type="dxa"/>
            <w:vMerge w:val="restart"/>
            <w:shd w:val="clear" w:color="auto" w:fill="FAE3D6" w:themeFill="accent2" w:themeFillTint="32"/>
            <w:vAlign w:val="center"/>
          </w:tcPr>
          <w:p w14:paraId="155F73FE">
            <w:pPr>
              <w:jc w:val="center"/>
              <w:rPr>
                <w:rFonts w:cs="Times New Roman"/>
                <w:szCs w:val="24"/>
                <w:lang w:bidi="ar"/>
              </w:rPr>
            </w:pPr>
            <w:r>
              <w:rPr>
                <w:rFonts w:cs="Times New Roman"/>
                <w:b/>
                <w:bCs/>
                <w:szCs w:val="24"/>
              </w:rPr>
              <w:t>6.3</w:t>
            </w:r>
            <w:r>
              <w:rPr>
                <w:rFonts w:cs="Times New Roman"/>
                <w:szCs w:val="24"/>
              </w:rPr>
              <w:t xml:space="preserve"> </w:t>
            </w:r>
            <w:r>
              <w:rPr>
                <w:rFonts w:cs="Times New Roman"/>
                <w:szCs w:val="24"/>
                <w:lang w:bidi="ar"/>
              </w:rPr>
              <w:t>Follow-up methods</w:t>
            </w:r>
          </w:p>
        </w:tc>
        <w:tc>
          <w:tcPr>
            <w:tcW w:w="10505" w:type="dxa"/>
            <w:gridSpan w:val="5"/>
            <w:shd w:val="clear" w:color="auto" w:fill="FAE3D6" w:themeFill="accent2" w:themeFillTint="32"/>
            <w:vAlign w:val="center"/>
          </w:tcPr>
          <w:p w14:paraId="09F18BCD">
            <w:pPr>
              <w:jc w:val="left"/>
              <w:rPr>
                <w:rFonts w:cs="Times New Roman"/>
                <w:szCs w:val="24"/>
                <w:lang w:bidi="ar"/>
              </w:rPr>
            </w:pPr>
            <w:r>
              <w:rPr>
                <w:rFonts w:cs="Times New Roman"/>
                <w:b/>
                <w:bCs/>
                <w:szCs w:val="24"/>
              </w:rPr>
              <w:t>6.3.1</w:t>
            </w:r>
            <w:r>
              <w:rPr>
                <w:rFonts w:cs="Times New Roman"/>
                <w:szCs w:val="24"/>
              </w:rPr>
              <w:t xml:space="preserve"> </w:t>
            </w:r>
            <w:r>
              <w:rPr>
                <w:rFonts w:cs="Times New Roman"/>
                <w:szCs w:val="24"/>
                <w:lang w:bidi="ar"/>
              </w:rPr>
              <w:t>High-risk/unstable patients: hospital follow-up as the core, with community/home follow-up providing close support and online follow-up for daily monitoring.</w:t>
            </w:r>
          </w:p>
        </w:tc>
      </w:tr>
      <w:tr w14:paraId="77F6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883" w:type="dxa"/>
            <w:vMerge w:val="continue"/>
            <w:shd w:val="clear" w:color="auto" w:fill="FAE3D6" w:themeFill="accent2" w:themeFillTint="32"/>
            <w:vAlign w:val="center"/>
          </w:tcPr>
          <w:p w14:paraId="45040818">
            <w:pPr>
              <w:jc w:val="center"/>
              <w:rPr>
                <w:rFonts w:cs="Times New Roman"/>
                <w:szCs w:val="24"/>
                <w:lang w:bidi="ar"/>
              </w:rPr>
            </w:pPr>
          </w:p>
        </w:tc>
        <w:tc>
          <w:tcPr>
            <w:tcW w:w="1788" w:type="dxa"/>
            <w:vMerge w:val="continue"/>
            <w:shd w:val="clear" w:color="auto" w:fill="FAE3D6" w:themeFill="accent2" w:themeFillTint="32"/>
            <w:vAlign w:val="center"/>
          </w:tcPr>
          <w:p w14:paraId="46B75430">
            <w:pPr>
              <w:jc w:val="center"/>
              <w:rPr>
                <w:rFonts w:cs="Times New Roman"/>
                <w:szCs w:val="24"/>
                <w:lang w:bidi="ar"/>
              </w:rPr>
            </w:pPr>
          </w:p>
        </w:tc>
        <w:tc>
          <w:tcPr>
            <w:tcW w:w="10505" w:type="dxa"/>
            <w:gridSpan w:val="5"/>
            <w:shd w:val="clear" w:color="auto" w:fill="FAE3D6" w:themeFill="accent2" w:themeFillTint="32"/>
            <w:vAlign w:val="center"/>
          </w:tcPr>
          <w:p w14:paraId="02259C9E">
            <w:pPr>
              <w:jc w:val="left"/>
              <w:rPr>
                <w:rFonts w:cs="Times New Roman"/>
                <w:szCs w:val="24"/>
                <w:lang w:bidi="ar"/>
              </w:rPr>
            </w:pPr>
            <w:r>
              <w:rPr>
                <w:rFonts w:cs="Times New Roman"/>
                <w:b/>
                <w:bCs/>
                <w:szCs w:val="24"/>
              </w:rPr>
              <w:t xml:space="preserve">6.3.2 </w:t>
            </w:r>
            <w:r>
              <w:rPr>
                <w:rFonts w:cs="Times New Roman"/>
                <w:szCs w:val="24"/>
                <w:lang w:bidi="ar"/>
              </w:rPr>
              <w:t>For stable, remotely residing, or elderly patients: online follow-up for daily management, combined with periodic community follow-up or hospital follow-up for completion of indicator assessments.</w:t>
            </w:r>
          </w:p>
        </w:tc>
      </w:tr>
      <w:tr w14:paraId="6152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AE3D6" w:themeFill="accent2" w:themeFillTint="32"/>
            <w:vAlign w:val="center"/>
          </w:tcPr>
          <w:p w14:paraId="085E488E">
            <w:pPr>
              <w:jc w:val="center"/>
              <w:rPr>
                <w:rFonts w:cs="Times New Roman"/>
                <w:szCs w:val="24"/>
                <w:lang w:bidi="ar"/>
              </w:rPr>
            </w:pPr>
          </w:p>
        </w:tc>
        <w:tc>
          <w:tcPr>
            <w:tcW w:w="1788" w:type="dxa"/>
            <w:vMerge w:val="restart"/>
            <w:shd w:val="clear" w:color="auto" w:fill="FAE3D6" w:themeFill="accent2" w:themeFillTint="32"/>
            <w:vAlign w:val="center"/>
          </w:tcPr>
          <w:p w14:paraId="24122815">
            <w:pPr>
              <w:jc w:val="center"/>
              <w:rPr>
                <w:rFonts w:cs="Times New Roman"/>
                <w:szCs w:val="24"/>
                <w:lang w:bidi="ar"/>
              </w:rPr>
            </w:pPr>
            <w:r>
              <w:rPr>
                <w:rFonts w:cs="Times New Roman"/>
                <w:b/>
                <w:bCs/>
                <w:szCs w:val="24"/>
                <w:lang w:bidi="ar"/>
              </w:rPr>
              <w:t>6.4</w:t>
            </w:r>
            <w:r>
              <w:rPr>
                <w:rFonts w:cs="Times New Roman"/>
                <w:szCs w:val="24"/>
                <w:lang w:bidi="ar"/>
              </w:rPr>
              <w:t xml:space="preserve"> Dynamic management of rehabilitation goals</w:t>
            </w:r>
          </w:p>
        </w:tc>
        <w:tc>
          <w:tcPr>
            <w:tcW w:w="10505" w:type="dxa"/>
            <w:gridSpan w:val="5"/>
            <w:shd w:val="clear" w:color="auto" w:fill="FAE3D6" w:themeFill="accent2" w:themeFillTint="32"/>
            <w:vAlign w:val="center"/>
          </w:tcPr>
          <w:p w14:paraId="679885D1">
            <w:pPr>
              <w:jc w:val="left"/>
              <w:rPr>
                <w:rFonts w:cs="Times New Roman"/>
                <w:szCs w:val="24"/>
              </w:rPr>
            </w:pPr>
            <w:r>
              <w:rPr>
                <w:rFonts w:cs="Times New Roman"/>
                <w:b/>
                <w:bCs/>
                <w:szCs w:val="24"/>
              </w:rPr>
              <w:t xml:space="preserve">6.4.1 </w:t>
            </w:r>
            <w:r>
              <w:rPr>
                <w:rFonts w:cs="Times New Roman"/>
                <w:szCs w:val="24"/>
              </w:rPr>
              <w:t>Rehabilitation goals: Based on the results of staged assessments, goals should be jointly agreed upon by the healthcare team and the patient, and should be specific, measurable, and time-bound (e.g., within 3 months, achieve a stable increase in 6-minute walking distance of ≥</w:t>
            </w:r>
            <w:r>
              <w:rPr>
                <w:rFonts w:hint="eastAsia" w:cs="Times New Roman"/>
                <w:szCs w:val="24"/>
              </w:rPr>
              <w:t xml:space="preserve"> X </w:t>
            </w:r>
            <w:r>
              <w:rPr>
                <w:rFonts w:cs="Times New Roman"/>
                <w:szCs w:val="24"/>
              </w:rPr>
              <w:t xml:space="preserve">meters, with the Borg score maintained within </w:t>
            </w:r>
            <w:r>
              <w:rPr>
                <w:rFonts w:hint="eastAsia" w:cs="Times New Roman"/>
                <w:szCs w:val="24"/>
              </w:rPr>
              <w:t>X</w:t>
            </w:r>
            <w:r>
              <w:rPr>
                <w:rFonts w:cs="Times New Roman"/>
                <w:szCs w:val="24"/>
              </w:rPr>
              <w:t xml:space="preserve"> points</w:t>
            </w:r>
            <w:r>
              <w:rPr>
                <w:rFonts w:hint="eastAsia" w:cs="Times New Roman"/>
                <w:szCs w:val="24"/>
              </w:rPr>
              <w:t>,</w:t>
            </w:r>
            <w:r>
              <w:t xml:space="preserve"> </w:t>
            </w:r>
            <w:r>
              <w:rPr>
                <w:rFonts w:cs="Times New Roman"/>
                <w:szCs w:val="24"/>
              </w:rPr>
              <w:t>specific values to be individualized per patient’s actual condition).</w:t>
            </w:r>
          </w:p>
        </w:tc>
      </w:tr>
      <w:tr w14:paraId="5001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shd w:val="clear" w:color="auto" w:fill="FAE3D6" w:themeFill="accent2" w:themeFillTint="32"/>
            <w:vAlign w:val="center"/>
          </w:tcPr>
          <w:p w14:paraId="1BD3BF29">
            <w:pPr>
              <w:jc w:val="center"/>
              <w:rPr>
                <w:rFonts w:cs="Times New Roman"/>
                <w:szCs w:val="24"/>
                <w:lang w:bidi="ar"/>
              </w:rPr>
            </w:pPr>
          </w:p>
        </w:tc>
        <w:tc>
          <w:tcPr>
            <w:tcW w:w="1788" w:type="dxa"/>
            <w:vMerge w:val="continue"/>
            <w:shd w:val="clear" w:color="auto" w:fill="FAE3D6" w:themeFill="accent2" w:themeFillTint="32"/>
            <w:vAlign w:val="center"/>
          </w:tcPr>
          <w:p w14:paraId="25593F91">
            <w:pPr>
              <w:jc w:val="center"/>
              <w:rPr>
                <w:rFonts w:cs="Times New Roman"/>
                <w:szCs w:val="24"/>
                <w:lang w:bidi="ar"/>
              </w:rPr>
            </w:pPr>
          </w:p>
        </w:tc>
        <w:tc>
          <w:tcPr>
            <w:tcW w:w="10505" w:type="dxa"/>
            <w:gridSpan w:val="5"/>
            <w:shd w:val="clear" w:color="auto" w:fill="FAE3D6" w:themeFill="accent2" w:themeFillTint="32"/>
            <w:vAlign w:val="center"/>
          </w:tcPr>
          <w:p w14:paraId="6BE875F0">
            <w:pPr>
              <w:jc w:val="left"/>
              <w:rPr>
                <w:rFonts w:cs="Times New Roman"/>
                <w:szCs w:val="24"/>
              </w:rPr>
            </w:pPr>
            <w:r>
              <w:rPr>
                <w:rFonts w:cs="Times New Roman"/>
                <w:b/>
                <w:bCs/>
                <w:szCs w:val="24"/>
              </w:rPr>
              <w:t>6.4.2</w:t>
            </w:r>
            <w:r>
              <w:rPr>
                <w:rFonts w:cs="Times New Roman"/>
                <w:szCs w:val="24"/>
              </w:rPr>
              <w:t xml:space="preserve"> Effectiveness evaluation and program adjustment: Compare the patient's current indicators with those from the previous stage to assess improvements in function, symptoms, and other aspects, thereby determining the effectiveness of the pulmonary rehabilitation program. Based on this evaluation, the individualized rehabilitation plan should be adjusted in a timely manner.</w:t>
            </w:r>
          </w:p>
        </w:tc>
      </w:tr>
    </w:tbl>
    <w:p w14:paraId="67960147">
      <w:pPr>
        <w:sectPr>
          <w:footerReference r:id="rId5" w:type="default"/>
          <w:pgSz w:w="16838" w:h="11906" w:orient="landscape"/>
          <w:pgMar w:top="1797" w:right="1440" w:bottom="1797" w:left="1440" w:header="851" w:footer="992" w:gutter="0"/>
          <w:cols w:space="425" w:num="1"/>
          <w:docGrid w:type="linesAndChars" w:linePitch="312" w:charSpace="0"/>
        </w:sectPr>
      </w:pPr>
    </w:p>
    <w:p w14:paraId="00BBE4C0">
      <w:pPr>
        <w:pStyle w:val="3"/>
        <w:spacing w:before="156" w:after="156"/>
        <w:rPr>
          <w:bCs/>
        </w:rPr>
      </w:pPr>
      <w:r>
        <w:rPr>
          <w:rFonts w:hint="eastAsia"/>
        </w:rPr>
        <w:t>Pulmonary Rehabilitation Program for Patients with Pulmonary Hypertension in High-Altitude Areas (PRP-PH-HA) (</w:t>
      </w:r>
      <w:r>
        <w:rPr>
          <w:bCs/>
        </w:rPr>
        <w:t>Chinese version</w:t>
      </w:r>
      <w:r>
        <w:rPr>
          <w:rFonts w:hint="eastAsia"/>
          <w:bCs/>
        </w:rPr>
        <w:t>)</w:t>
      </w:r>
    </w:p>
    <w:p w14:paraId="5AFFB210">
      <w:pPr>
        <w:jc w:val="center"/>
        <w:rPr>
          <w:rFonts w:hint="eastAsia" w:ascii="宋体" w:hAnsi="宋体"/>
          <w:b/>
          <w:bCs/>
          <w:sz w:val="32"/>
          <w:szCs w:val="32"/>
        </w:rPr>
      </w:pPr>
      <w:r>
        <w:rPr>
          <w:rFonts w:hint="eastAsia" w:ascii="宋体" w:hAnsi="宋体"/>
          <w:b/>
          <w:bCs/>
          <w:sz w:val="32"/>
          <w:szCs w:val="32"/>
        </w:rPr>
        <w:t>高海拔地区肺动脉高压患者肺康复方案</w:t>
      </w:r>
    </w:p>
    <w:tbl>
      <w:tblPr>
        <w:tblStyle w:val="19"/>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418"/>
        <w:gridCol w:w="2986"/>
        <w:gridCol w:w="2835"/>
        <w:gridCol w:w="2693"/>
        <w:gridCol w:w="2972"/>
      </w:tblGrid>
      <w:tr w14:paraId="7CEF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71" w:type="dxa"/>
            <w:vMerge w:val="restart"/>
            <w:vAlign w:val="center"/>
          </w:tcPr>
          <w:p w14:paraId="4401BD7A">
            <w:pPr>
              <w:jc w:val="center"/>
              <w:rPr>
                <w:rFonts w:cs="Times New Roman"/>
                <w:b/>
                <w:bCs/>
                <w:szCs w:val="24"/>
                <w:lang w:bidi="ar"/>
              </w:rPr>
            </w:pPr>
            <w:bookmarkStart w:id="1" w:name="_Hlk207609762"/>
            <w:r>
              <w:rPr>
                <w:rFonts w:cs="Times New Roman"/>
                <w:b/>
                <w:bCs/>
                <w:szCs w:val="24"/>
                <w:lang w:bidi="ar"/>
              </w:rPr>
              <w:t>一级条目</w:t>
            </w:r>
          </w:p>
        </w:tc>
        <w:tc>
          <w:tcPr>
            <w:tcW w:w="1418" w:type="dxa"/>
            <w:vMerge w:val="restart"/>
            <w:vAlign w:val="center"/>
          </w:tcPr>
          <w:p w14:paraId="11CED919">
            <w:pPr>
              <w:jc w:val="center"/>
              <w:rPr>
                <w:rFonts w:cs="Times New Roman"/>
                <w:b/>
                <w:bCs/>
                <w:szCs w:val="24"/>
                <w:lang w:bidi="ar"/>
              </w:rPr>
            </w:pPr>
            <w:r>
              <w:rPr>
                <w:rFonts w:cs="Times New Roman"/>
                <w:b/>
                <w:bCs/>
                <w:szCs w:val="24"/>
                <w:lang w:bidi="ar"/>
              </w:rPr>
              <w:t>二级条目</w:t>
            </w:r>
          </w:p>
        </w:tc>
        <w:tc>
          <w:tcPr>
            <w:tcW w:w="11486" w:type="dxa"/>
            <w:gridSpan w:val="4"/>
            <w:vMerge w:val="restart"/>
            <w:vAlign w:val="center"/>
          </w:tcPr>
          <w:p w14:paraId="476B5D83">
            <w:pPr>
              <w:jc w:val="center"/>
              <w:rPr>
                <w:rFonts w:cs="Times New Roman"/>
                <w:b/>
                <w:bCs/>
                <w:szCs w:val="24"/>
                <w:lang w:bidi="ar"/>
              </w:rPr>
            </w:pPr>
            <w:r>
              <w:rPr>
                <w:rFonts w:cs="Times New Roman"/>
                <w:b/>
                <w:bCs/>
                <w:szCs w:val="24"/>
                <w:lang w:bidi="ar"/>
              </w:rPr>
              <w:t>三级条目</w:t>
            </w:r>
          </w:p>
        </w:tc>
      </w:tr>
      <w:tr w14:paraId="7003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71" w:type="dxa"/>
            <w:vMerge w:val="continue"/>
            <w:vAlign w:val="center"/>
          </w:tcPr>
          <w:p w14:paraId="022C811F">
            <w:pPr>
              <w:jc w:val="center"/>
              <w:rPr>
                <w:rFonts w:cs="Times New Roman"/>
                <w:szCs w:val="24"/>
                <w:lang w:bidi="ar"/>
              </w:rPr>
            </w:pPr>
          </w:p>
        </w:tc>
        <w:tc>
          <w:tcPr>
            <w:tcW w:w="1418" w:type="dxa"/>
            <w:vMerge w:val="continue"/>
            <w:vAlign w:val="center"/>
          </w:tcPr>
          <w:p w14:paraId="006224F5">
            <w:pPr>
              <w:jc w:val="center"/>
              <w:rPr>
                <w:rFonts w:cs="Times New Roman"/>
                <w:szCs w:val="24"/>
                <w:lang w:bidi="ar"/>
              </w:rPr>
            </w:pPr>
          </w:p>
        </w:tc>
        <w:tc>
          <w:tcPr>
            <w:tcW w:w="11486" w:type="dxa"/>
            <w:gridSpan w:val="4"/>
            <w:vMerge w:val="continue"/>
            <w:vAlign w:val="center"/>
          </w:tcPr>
          <w:p w14:paraId="5030824D">
            <w:pPr>
              <w:jc w:val="center"/>
              <w:rPr>
                <w:rFonts w:cs="Times New Roman"/>
                <w:szCs w:val="24"/>
                <w:lang w:bidi="ar"/>
              </w:rPr>
            </w:pPr>
          </w:p>
        </w:tc>
      </w:tr>
      <w:tr w14:paraId="1F92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DAE9F7" w:themeFill="text2" w:themeFillTint="1A"/>
            <w:vAlign w:val="center"/>
          </w:tcPr>
          <w:p w14:paraId="2BC64135">
            <w:pPr>
              <w:jc w:val="center"/>
              <w:rPr>
                <w:rFonts w:cs="Times New Roman"/>
                <w:szCs w:val="24"/>
              </w:rPr>
            </w:pPr>
            <w:r>
              <w:rPr>
                <w:rFonts w:cs="Times New Roman"/>
                <w:szCs w:val="24"/>
              </w:rPr>
              <w:t>1多学科团队</w:t>
            </w:r>
          </w:p>
        </w:tc>
        <w:tc>
          <w:tcPr>
            <w:tcW w:w="1418" w:type="dxa"/>
            <w:vMerge w:val="restart"/>
            <w:shd w:val="clear" w:color="auto" w:fill="DAE9F7" w:themeFill="text2" w:themeFillTint="1A"/>
            <w:vAlign w:val="center"/>
          </w:tcPr>
          <w:p w14:paraId="6FC059A1">
            <w:pPr>
              <w:jc w:val="center"/>
              <w:rPr>
                <w:rFonts w:cs="Times New Roman"/>
                <w:szCs w:val="24"/>
                <w:lang w:bidi="ar"/>
              </w:rPr>
            </w:pPr>
            <w:r>
              <w:rPr>
                <w:rFonts w:cs="Times New Roman"/>
                <w:szCs w:val="24"/>
              </w:rPr>
              <w:t>1.1人员组成</w:t>
            </w:r>
          </w:p>
        </w:tc>
        <w:tc>
          <w:tcPr>
            <w:tcW w:w="11486" w:type="dxa"/>
            <w:gridSpan w:val="4"/>
            <w:shd w:val="clear" w:color="auto" w:fill="DAE9F7" w:themeFill="text2" w:themeFillTint="1A"/>
            <w:vAlign w:val="center"/>
          </w:tcPr>
          <w:p w14:paraId="413B6B5A">
            <w:pPr>
              <w:jc w:val="left"/>
              <w:rPr>
                <w:rFonts w:cs="Times New Roman"/>
                <w:szCs w:val="24"/>
                <w:lang w:bidi="ar"/>
              </w:rPr>
            </w:pPr>
            <w:r>
              <w:rPr>
                <w:rFonts w:cs="Times New Roman"/>
                <w:szCs w:val="24"/>
                <w:lang w:bidi="ar"/>
              </w:rPr>
              <w:t>1.1.1核心团队：呼吸科医生、呼吸科护士、康复科医生、康复治疗师、心内科医生、患者及家属。</w:t>
            </w:r>
          </w:p>
        </w:tc>
      </w:tr>
      <w:tr w14:paraId="5AA4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45846CCE">
            <w:pPr>
              <w:jc w:val="center"/>
              <w:rPr>
                <w:rFonts w:cs="Times New Roman"/>
                <w:szCs w:val="24"/>
                <w:lang w:bidi="ar"/>
              </w:rPr>
            </w:pPr>
          </w:p>
        </w:tc>
        <w:tc>
          <w:tcPr>
            <w:tcW w:w="1418" w:type="dxa"/>
            <w:vMerge w:val="continue"/>
            <w:shd w:val="clear" w:color="auto" w:fill="DAE9F7" w:themeFill="text2" w:themeFillTint="1A"/>
            <w:vAlign w:val="center"/>
          </w:tcPr>
          <w:p w14:paraId="044EFDF8">
            <w:pPr>
              <w:jc w:val="center"/>
              <w:rPr>
                <w:rFonts w:cs="Times New Roman"/>
                <w:szCs w:val="24"/>
                <w:lang w:bidi="ar"/>
              </w:rPr>
            </w:pPr>
          </w:p>
        </w:tc>
        <w:tc>
          <w:tcPr>
            <w:tcW w:w="11486" w:type="dxa"/>
            <w:gridSpan w:val="4"/>
            <w:shd w:val="clear" w:color="auto" w:fill="DAE9F7" w:themeFill="text2" w:themeFillTint="1A"/>
            <w:vAlign w:val="center"/>
          </w:tcPr>
          <w:p w14:paraId="6571D27B">
            <w:pPr>
              <w:jc w:val="left"/>
              <w:rPr>
                <w:rFonts w:cs="Times New Roman"/>
                <w:szCs w:val="24"/>
                <w:lang w:bidi="ar"/>
              </w:rPr>
            </w:pPr>
            <w:r>
              <w:rPr>
                <w:rFonts w:cs="Times New Roman"/>
                <w:szCs w:val="24"/>
                <w:lang w:bidi="ar"/>
              </w:rPr>
              <w:t>1.1.2扩展团队（按需配置）：营养师、心理咨询师、中医科医生。</w:t>
            </w:r>
          </w:p>
        </w:tc>
      </w:tr>
      <w:tr w14:paraId="5646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7A6D041E">
            <w:pPr>
              <w:jc w:val="center"/>
              <w:rPr>
                <w:rFonts w:cs="Times New Roman"/>
                <w:szCs w:val="24"/>
                <w:lang w:bidi="ar"/>
              </w:rPr>
            </w:pPr>
          </w:p>
        </w:tc>
        <w:tc>
          <w:tcPr>
            <w:tcW w:w="1418" w:type="dxa"/>
            <w:shd w:val="clear" w:color="auto" w:fill="DAE9F7" w:themeFill="text2" w:themeFillTint="1A"/>
            <w:vAlign w:val="center"/>
          </w:tcPr>
          <w:p w14:paraId="4343FCB1">
            <w:pPr>
              <w:jc w:val="center"/>
              <w:rPr>
                <w:rFonts w:cs="Times New Roman"/>
                <w:szCs w:val="24"/>
              </w:rPr>
            </w:pPr>
            <w:r>
              <w:rPr>
                <w:rFonts w:cs="Times New Roman"/>
                <w:szCs w:val="24"/>
              </w:rPr>
              <w:t>1.2人员资质</w:t>
            </w:r>
          </w:p>
        </w:tc>
        <w:tc>
          <w:tcPr>
            <w:tcW w:w="11486" w:type="dxa"/>
            <w:gridSpan w:val="4"/>
            <w:shd w:val="clear" w:color="auto" w:fill="DAE9F7" w:themeFill="text2" w:themeFillTint="1A"/>
            <w:vAlign w:val="center"/>
          </w:tcPr>
          <w:p w14:paraId="2241EDA4">
            <w:pPr>
              <w:spacing w:line="240" w:lineRule="auto"/>
              <w:jc w:val="left"/>
              <w:rPr>
                <w:rFonts w:cs="Times New Roman"/>
                <w:szCs w:val="24"/>
                <w:lang w:bidi="ar"/>
              </w:rPr>
            </w:pPr>
            <w:r>
              <w:rPr>
                <w:rFonts w:cs="Times New Roman"/>
                <w:szCs w:val="24"/>
                <w:lang w:bidi="ar"/>
              </w:rPr>
              <w:t>1.2.1专业人员：参与肺康复的专业团队成员应具备相应专业知识与临床实践能力，能够开展肺动脉高压患者评估、肺康复指导及管理。</w:t>
            </w:r>
          </w:p>
        </w:tc>
      </w:tr>
      <w:bookmarkEnd w:id="1"/>
      <w:tr w14:paraId="624D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43F8D009">
            <w:pPr>
              <w:jc w:val="center"/>
              <w:rPr>
                <w:rFonts w:cs="Times New Roman"/>
                <w:szCs w:val="24"/>
                <w:lang w:bidi="ar"/>
              </w:rPr>
            </w:pPr>
          </w:p>
        </w:tc>
        <w:tc>
          <w:tcPr>
            <w:tcW w:w="1418" w:type="dxa"/>
            <w:vMerge w:val="restart"/>
            <w:shd w:val="clear" w:color="auto" w:fill="DAE9F7" w:themeFill="text2" w:themeFillTint="1A"/>
            <w:vAlign w:val="center"/>
          </w:tcPr>
          <w:p w14:paraId="3B51B6AC">
            <w:pPr>
              <w:jc w:val="center"/>
              <w:rPr>
                <w:rFonts w:cs="Times New Roman"/>
                <w:szCs w:val="24"/>
                <w:lang w:bidi="ar"/>
              </w:rPr>
            </w:pPr>
            <w:r>
              <w:rPr>
                <w:rFonts w:cs="Times New Roman"/>
                <w:szCs w:val="24"/>
              </w:rPr>
              <w:t>1.3人员职责</w:t>
            </w:r>
          </w:p>
        </w:tc>
        <w:tc>
          <w:tcPr>
            <w:tcW w:w="11486" w:type="dxa"/>
            <w:gridSpan w:val="4"/>
            <w:shd w:val="clear" w:color="auto" w:fill="DAE9F7" w:themeFill="text2" w:themeFillTint="1A"/>
            <w:vAlign w:val="center"/>
          </w:tcPr>
          <w:p w14:paraId="48D9B050">
            <w:pPr>
              <w:jc w:val="left"/>
              <w:rPr>
                <w:rFonts w:cs="Times New Roman"/>
                <w:szCs w:val="24"/>
                <w:lang w:bidi="ar"/>
              </w:rPr>
            </w:pPr>
            <w:r>
              <w:rPr>
                <w:rFonts w:cs="Times New Roman"/>
                <w:szCs w:val="24"/>
                <w:lang w:bidi="ar"/>
              </w:rPr>
              <w:t>1.3.1呼吸科主管医生为科室内住院肺动脉高压患者进行病情评估，准确判断肺康复介入时机，根据患者情况联合康复科医生制定个体化肺康复计划，指导患者及家属掌握所有训练方法的要点、频率、强度、安全中止指征及合并症的处理等。心内科医生负责患者心血管功能的总体评估与安全把控。</w:t>
            </w:r>
          </w:p>
        </w:tc>
      </w:tr>
      <w:tr w14:paraId="436D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5BCBE97D">
            <w:pPr>
              <w:jc w:val="center"/>
              <w:rPr>
                <w:rFonts w:cs="Times New Roman"/>
                <w:szCs w:val="24"/>
                <w:lang w:bidi="ar"/>
              </w:rPr>
            </w:pPr>
          </w:p>
        </w:tc>
        <w:tc>
          <w:tcPr>
            <w:tcW w:w="1418" w:type="dxa"/>
            <w:vMerge w:val="continue"/>
            <w:shd w:val="clear" w:color="auto" w:fill="DAE9F7" w:themeFill="text2" w:themeFillTint="1A"/>
            <w:vAlign w:val="center"/>
          </w:tcPr>
          <w:p w14:paraId="38C9354E">
            <w:pPr>
              <w:jc w:val="center"/>
              <w:rPr>
                <w:rFonts w:cs="Times New Roman"/>
                <w:szCs w:val="24"/>
                <w:lang w:bidi="ar"/>
              </w:rPr>
            </w:pPr>
          </w:p>
        </w:tc>
        <w:tc>
          <w:tcPr>
            <w:tcW w:w="11486" w:type="dxa"/>
            <w:gridSpan w:val="4"/>
            <w:shd w:val="clear" w:color="auto" w:fill="DAE9F7" w:themeFill="text2" w:themeFillTint="1A"/>
            <w:vAlign w:val="center"/>
          </w:tcPr>
          <w:p w14:paraId="1A0EC376">
            <w:pPr>
              <w:jc w:val="left"/>
              <w:rPr>
                <w:rFonts w:cs="Times New Roman"/>
                <w:szCs w:val="24"/>
                <w:lang w:bidi="ar"/>
              </w:rPr>
            </w:pPr>
            <w:r>
              <w:rPr>
                <w:rFonts w:cs="Times New Roman"/>
                <w:szCs w:val="24"/>
                <w:lang w:bidi="ar"/>
              </w:rPr>
              <w:t>1.3.2 康复治疗师：负责指导患者开展个体化运动训练及呼吸训练，定期评估患者运动耐量及康复效果，协助动态调整肺康复计划，并为患者提供院内外连续康复指导。</w:t>
            </w:r>
          </w:p>
        </w:tc>
      </w:tr>
      <w:tr w14:paraId="3EB4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50B0B178">
            <w:pPr>
              <w:jc w:val="center"/>
              <w:rPr>
                <w:rFonts w:cs="Times New Roman"/>
                <w:szCs w:val="24"/>
                <w:lang w:bidi="ar"/>
              </w:rPr>
            </w:pPr>
          </w:p>
        </w:tc>
        <w:tc>
          <w:tcPr>
            <w:tcW w:w="1418" w:type="dxa"/>
            <w:vMerge w:val="continue"/>
            <w:shd w:val="clear" w:color="auto" w:fill="DAE9F7" w:themeFill="text2" w:themeFillTint="1A"/>
            <w:vAlign w:val="center"/>
          </w:tcPr>
          <w:p w14:paraId="25951699">
            <w:pPr>
              <w:jc w:val="center"/>
              <w:rPr>
                <w:rFonts w:cs="Times New Roman"/>
                <w:szCs w:val="24"/>
                <w:lang w:bidi="ar"/>
              </w:rPr>
            </w:pPr>
          </w:p>
        </w:tc>
        <w:tc>
          <w:tcPr>
            <w:tcW w:w="11486" w:type="dxa"/>
            <w:gridSpan w:val="4"/>
            <w:shd w:val="clear" w:color="auto" w:fill="DAE9F7" w:themeFill="text2" w:themeFillTint="1A"/>
            <w:vAlign w:val="center"/>
          </w:tcPr>
          <w:p w14:paraId="6390A26D">
            <w:pPr>
              <w:jc w:val="left"/>
              <w:rPr>
                <w:rFonts w:cs="Times New Roman"/>
                <w:szCs w:val="24"/>
                <w:lang w:bidi="ar"/>
              </w:rPr>
            </w:pPr>
            <w:r>
              <w:rPr>
                <w:rFonts w:cs="Times New Roman"/>
                <w:szCs w:val="24"/>
                <w:lang w:bidi="ar"/>
              </w:rPr>
              <w:t>1.3.3呼吸科护士：协助医生开展患者院内肺康复指导及效果监测，重点负责出院前健康教育，指导患者及家属掌握家庭氧疗、药物管理、症状监测及自我护理技能，并参与患者院外连续康复随访与健康管理。</w:t>
            </w:r>
          </w:p>
        </w:tc>
      </w:tr>
      <w:tr w14:paraId="6439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21611FBC">
            <w:pPr>
              <w:jc w:val="center"/>
              <w:rPr>
                <w:rFonts w:cs="Times New Roman"/>
                <w:szCs w:val="24"/>
                <w:lang w:bidi="ar"/>
              </w:rPr>
            </w:pPr>
          </w:p>
        </w:tc>
        <w:tc>
          <w:tcPr>
            <w:tcW w:w="1418" w:type="dxa"/>
            <w:vMerge w:val="continue"/>
            <w:shd w:val="clear" w:color="auto" w:fill="DAE9F7" w:themeFill="text2" w:themeFillTint="1A"/>
            <w:vAlign w:val="center"/>
          </w:tcPr>
          <w:p w14:paraId="260B2805">
            <w:pPr>
              <w:jc w:val="center"/>
              <w:rPr>
                <w:rFonts w:cs="Times New Roman"/>
                <w:szCs w:val="24"/>
                <w:lang w:bidi="ar"/>
              </w:rPr>
            </w:pPr>
          </w:p>
        </w:tc>
        <w:tc>
          <w:tcPr>
            <w:tcW w:w="11486" w:type="dxa"/>
            <w:gridSpan w:val="4"/>
            <w:shd w:val="clear" w:color="auto" w:fill="DAE9F7" w:themeFill="text2" w:themeFillTint="1A"/>
            <w:vAlign w:val="center"/>
          </w:tcPr>
          <w:p w14:paraId="150B0E8D">
            <w:pPr>
              <w:jc w:val="left"/>
              <w:rPr>
                <w:rFonts w:cs="Times New Roman"/>
                <w:szCs w:val="24"/>
                <w:lang w:bidi="ar"/>
              </w:rPr>
            </w:pPr>
            <w:r>
              <w:rPr>
                <w:rFonts w:cs="Times New Roman"/>
                <w:szCs w:val="24"/>
                <w:lang w:bidi="ar"/>
              </w:rPr>
              <w:t>1.3.4营养师（如配置）：根据患者营养状态及康复需求提供营养评估、饮食指导及营养支持建议。</w:t>
            </w:r>
          </w:p>
        </w:tc>
      </w:tr>
      <w:tr w14:paraId="6FB4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1F9F87AA">
            <w:pPr>
              <w:jc w:val="center"/>
              <w:rPr>
                <w:rFonts w:cs="Times New Roman"/>
                <w:szCs w:val="24"/>
                <w:lang w:bidi="ar"/>
              </w:rPr>
            </w:pPr>
          </w:p>
        </w:tc>
        <w:tc>
          <w:tcPr>
            <w:tcW w:w="1418" w:type="dxa"/>
            <w:vMerge w:val="continue"/>
            <w:shd w:val="clear" w:color="auto" w:fill="DAE9F7" w:themeFill="text2" w:themeFillTint="1A"/>
            <w:vAlign w:val="center"/>
          </w:tcPr>
          <w:p w14:paraId="4624402D">
            <w:pPr>
              <w:jc w:val="center"/>
              <w:rPr>
                <w:rFonts w:cs="Times New Roman"/>
                <w:szCs w:val="24"/>
                <w:lang w:bidi="ar"/>
              </w:rPr>
            </w:pPr>
          </w:p>
        </w:tc>
        <w:tc>
          <w:tcPr>
            <w:tcW w:w="11486" w:type="dxa"/>
            <w:gridSpan w:val="4"/>
            <w:shd w:val="clear" w:color="auto" w:fill="DAE9F7" w:themeFill="text2" w:themeFillTint="1A"/>
            <w:vAlign w:val="center"/>
          </w:tcPr>
          <w:p w14:paraId="77BED9C2">
            <w:pPr>
              <w:jc w:val="left"/>
              <w:rPr>
                <w:rFonts w:cs="Times New Roman"/>
                <w:szCs w:val="24"/>
                <w:lang w:bidi="ar"/>
              </w:rPr>
            </w:pPr>
            <w:r>
              <w:rPr>
                <w:rFonts w:cs="Times New Roman"/>
                <w:szCs w:val="24"/>
                <w:lang w:bidi="ar"/>
              </w:rPr>
              <w:t>1.3.5心理咨询师（如配置）：为有需要的患者提供心理干预，帮助患者缓解焦虑、抑郁等情绪问题，提高康复依从性。</w:t>
            </w:r>
          </w:p>
        </w:tc>
      </w:tr>
      <w:tr w14:paraId="6263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07DE6A58">
            <w:pPr>
              <w:jc w:val="center"/>
              <w:rPr>
                <w:rFonts w:cs="Times New Roman"/>
                <w:szCs w:val="24"/>
                <w:lang w:bidi="ar"/>
              </w:rPr>
            </w:pPr>
          </w:p>
        </w:tc>
        <w:tc>
          <w:tcPr>
            <w:tcW w:w="1418" w:type="dxa"/>
            <w:vMerge w:val="continue"/>
            <w:shd w:val="clear" w:color="auto" w:fill="DAE9F7" w:themeFill="text2" w:themeFillTint="1A"/>
            <w:vAlign w:val="center"/>
          </w:tcPr>
          <w:p w14:paraId="7AA268BD">
            <w:pPr>
              <w:jc w:val="center"/>
              <w:rPr>
                <w:rFonts w:cs="Times New Roman"/>
                <w:szCs w:val="24"/>
                <w:lang w:bidi="ar"/>
              </w:rPr>
            </w:pPr>
          </w:p>
        </w:tc>
        <w:tc>
          <w:tcPr>
            <w:tcW w:w="11486" w:type="dxa"/>
            <w:gridSpan w:val="4"/>
            <w:shd w:val="clear" w:color="auto" w:fill="DAE9F7" w:themeFill="text2" w:themeFillTint="1A"/>
            <w:vAlign w:val="center"/>
          </w:tcPr>
          <w:p w14:paraId="43991265">
            <w:pPr>
              <w:jc w:val="left"/>
              <w:rPr>
                <w:rFonts w:cs="Times New Roman"/>
                <w:szCs w:val="24"/>
                <w:lang w:bidi="ar"/>
              </w:rPr>
            </w:pPr>
            <w:r>
              <w:rPr>
                <w:rFonts w:cs="Times New Roman"/>
                <w:szCs w:val="24"/>
                <w:lang w:bidi="ar"/>
              </w:rPr>
              <w:t>1.3.6中医科医生（如配置）：根据患者情况提供中医特色康复指导，如太极拳、八段锦等。</w:t>
            </w:r>
          </w:p>
        </w:tc>
      </w:tr>
      <w:tr w14:paraId="5928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AE9F7" w:themeFill="text2" w:themeFillTint="1A"/>
            <w:vAlign w:val="center"/>
          </w:tcPr>
          <w:p w14:paraId="20B3CF7E">
            <w:pPr>
              <w:jc w:val="center"/>
              <w:rPr>
                <w:rFonts w:cs="Times New Roman"/>
                <w:szCs w:val="24"/>
                <w:lang w:bidi="ar"/>
              </w:rPr>
            </w:pPr>
          </w:p>
        </w:tc>
        <w:tc>
          <w:tcPr>
            <w:tcW w:w="1418" w:type="dxa"/>
            <w:vMerge w:val="continue"/>
            <w:shd w:val="clear" w:color="auto" w:fill="DAE9F7" w:themeFill="text2" w:themeFillTint="1A"/>
            <w:vAlign w:val="center"/>
          </w:tcPr>
          <w:p w14:paraId="2D2BD6C9">
            <w:pPr>
              <w:jc w:val="center"/>
              <w:rPr>
                <w:rFonts w:cs="Times New Roman"/>
                <w:szCs w:val="24"/>
                <w:lang w:bidi="ar"/>
              </w:rPr>
            </w:pPr>
          </w:p>
        </w:tc>
        <w:tc>
          <w:tcPr>
            <w:tcW w:w="11486" w:type="dxa"/>
            <w:gridSpan w:val="4"/>
            <w:shd w:val="clear" w:color="auto" w:fill="DAE9F7" w:themeFill="text2" w:themeFillTint="1A"/>
            <w:vAlign w:val="center"/>
          </w:tcPr>
          <w:p w14:paraId="05DBB7D6">
            <w:pPr>
              <w:jc w:val="left"/>
              <w:rPr>
                <w:rFonts w:cs="Times New Roman"/>
                <w:szCs w:val="24"/>
                <w:lang w:bidi="ar"/>
              </w:rPr>
            </w:pPr>
            <w:r>
              <w:rPr>
                <w:rFonts w:cs="Times New Roman"/>
                <w:szCs w:val="24"/>
                <w:lang w:bidi="ar"/>
              </w:rPr>
              <w:t>1.3.7患者及家属：患者应主动参与肺康复训练及疾病自我管理，按照康复计划开展日常锻炼并掌握相关健康管理知识；家属应提供必要的生活照护、情感支持及家庭康复协助，共同参与患者连续康复管理。</w:t>
            </w:r>
          </w:p>
        </w:tc>
      </w:tr>
      <w:tr w14:paraId="417A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D9F2D0" w:themeFill="accent6" w:themeFillTint="33"/>
            <w:vAlign w:val="center"/>
          </w:tcPr>
          <w:p w14:paraId="4C87C088">
            <w:pPr>
              <w:jc w:val="center"/>
              <w:rPr>
                <w:rFonts w:cs="Times New Roman"/>
                <w:szCs w:val="24"/>
                <w:lang w:bidi="ar"/>
              </w:rPr>
            </w:pPr>
            <w:r>
              <w:rPr>
                <w:rFonts w:cs="Times New Roman"/>
                <w:szCs w:val="24"/>
                <w:lang w:bidi="ar"/>
              </w:rPr>
              <w:t>2康复评估</w:t>
            </w:r>
          </w:p>
        </w:tc>
        <w:tc>
          <w:tcPr>
            <w:tcW w:w="1418" w:type="dxa"/>
            <w:shd w:val="clear" w:color="auto" w:fill="D9F2D0" w:themeFill="accent6" w:themeFillTint="33"/>
            <w:vAlign w:val="center"/>
          </w:tcPr>
          <w:p w14:paraId="0EF20C2F">
            <w:pPr>
              <w:jc w:val="center"/>
              <w:rPr>
                <w:rFonts w:cs="Times New Roman"/>
                <w:szCs w:val="24"/>
                <w:lang w:bidi="ar"/>
              </w:rPr>
            </w:pPr>
            <w:r>
              <w:rPr>
                <w:rFonts w:cs="Times New Roman"/>
                <w:szCs w:val="24"/>
              </w:rPr>
              <w:t>2.1评估内容</w:t>
            </w:r>
            <w:r>
              <w:rPr>
                <w:rFonts w:cs="Times New Roman"/>
                <w:szCs w:val="24"/>
                <w:lang w:bidi="ar"/>
              </w:rPr>
              <w:t xml:space="preserve"> </w:t>
            </w:r>
          </w:p>
        </w:tc>
        <w:tc>
          <w:tcPr>
            <w:tcW w:w="11486" w:type="dxa"/>
            <w:gridSpan w:val="4"/>
            <w:shd w:val="clear" w:color="auto" w:fill="D9F2D0" w:themeFill="accent6" w:themeFillTint="33"/>
            <w:vAlign w:val="center"/>
          </w:tcPr>
          <w:p w14:paraId="76CA1454">
            <w:pPr>
              <w:jc w:val="left"/>
              <w:rPr>
                <w:rFonts w:cs="Times New Roman"/>
                <w:szCs w:val="24"/>
                <w:lang w:bidi="ar"/>
              </w:rPr>
            </w:pPr>
            <w:r>
              <w:rPr>
                <w:rFonts w:cs="Times New Roman"/>
                <w:szCs w:val="24"/>
                <w:lang w:bidi="ar"/>
              </w:rPr>
              <w:t>2.1.1临床特征、生命体征、影像学检查、实验室检查、运动耐量、营养状态、心肺功能、血流动力学指标、心理与社会因素等。</w:t>
            </w:r>
          </w:p>
        </w:tc>
      </w:tr>
      <w:tr w14:paraId="24F0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9F2D0" w:themeFill="accent6" w:themeFillTint="33"/>
            <w:vAlign w:val="center"/>
          </w:tcPr>
          <w:p w14:paraId="1F7C29BC">
            <w:pPr>
              <w:jc w:val="center"/>
              <w:rPr>
                <w:rFonts w:cs="Times New Roman"/>
                <w:szCs w:val="24"/>
                <w:lang w:bidi="ar"/>
              </w:rPr>
            </w:pPr>
          </w:p>
        </w:tc>
        <w:tc>
          <w:tcPr>
            <w:tcW w:w="1418" w:type="dxa"/>
            <w:vMerge w:val="restart"/>
            <w:shd w:val="clear" w:color="auto" w:fill="D9F2D0" w:themeFill="accent6" w:themeFillTint="33"/>
            <w:vAlign w:val="center"/>
          </w:tcPr>
          <w:p w14:paraId="7959C764">
            <w:pPr>
              <w:jc w:val="center"/>
              <w:rPr>
                <w:rFonts w:cs="Times New Roman"/>
                <w:szCs w:val="24"/>
                <w:lang w:bidi="ar"/>
              </w:rPr>
            </w:pPr>
            <w:r>
              <w:rPr>
                <w:rFonts w:cs="Times New Roman"/>
                <w:szCs w:val="24"/>
                <w:lang w:bidi="ar"/>
              </w:rPr>
              <w:t>2.2评估运动锻炼安全性</w:t>
            </w:r>
          </w:p>
        </w:tc>
        <w:tc>
          <w:tcPr>
            <w:tcW w:w="11486" w:type="dxa"/>
            <w:gridSpan w:val="4"/>
            <w:shd w:val="clear" w:color="auto" w:fill="D9F2D0" w:themeFill="accent6" w:themeFillTint="33"/>
            <w:vAlign w:val="center"/>
          </w:tcPr>
          <w:p w14:paraId="04434D14">
            <w:pPr>
              <w:jc w:val="left"/>
              <w:rPr>
                <w:rFonts w:cs="Times New Roman"/>
                <w:szCs w:val="24"/>
                <w:lang w:bidi="ar"/>
              </w:rPr>
            </w:pPr>
            <w:r>
              <w:rPr>
                <w:rFonts w:cs="Times New Roman"/>
                <w:szCs w:val="24"/>
              </w:rPr>
              <w:t>2.2.1安全性指标：在静息或运动前，需满足以下标准:</w:t>
            </w:r>
            <w:r>
              <w:rPr>
                <w:rFonts w:ascii="Cambria Math" w:hAnsi="Cambria Math" w:cs="Cambria Math"/>
                <w:szCs w:val="24"/>
              </w:rPr>
              <w:t>①</w:t>
            </w:r>
            <w:r>
              <w:rPr>
                <w:rFonts w:cs="Times New Roman"/>
                <w:szCs w:val="24"/>
              </w:rPr>
              <w:t>平均动脉压（MAP）60-100 mmHg；</w:t>
            </w:r>
            <w:r>
              <w:rPr>
                <w:rFonts w:ascii="Cambria Math" w:hAnsi="Cambria Math" w:cs="Cambria Math"/>
                <w:szCs w:val="24"/>
              </w:rPr>
              <w:t>②</w:t>
            </w:r>
            <w:r>
              <w:rPr>
                <w:rFonts w:cs="Times New Roman"/>
                <w:szCs w:val="24"/>
              </w:rPr>
              <w:t>收缩压（SBP）90-160 mmHg；</w:t>
            </w:r>
            <w:r>
              <w:rPr>
                <w:rFonts w:ascii="Cambria Math" w:hAnsi="Cambria Math" w:cs="Cambria Math"/>
                <w:szCs w:val="24"/>
              </w:rPr>
              <w:t>③</w:t>
            </w:r>
            <w:r>
              <w:rPr>
                <w:rFonts w:cs="Times New Roman"/>
                <w:szCs w:val="24"/>
              </w:rPr>
              <w:t>静息心率60 - 100 次/分；</w:t>
            </w:r>
            <w:r>
              <w:rPr>
                <w:rFonts w:ascii="Cambria Math" w:hAnsi="Cambria Math" w:cs="Cambria Math"/>
                <w:szCs w:val="24"/>
              </w:rPr>
              <w:t>④</w:t>
            </w:r>
            <w:r>
              <w:rPr>
                <w:rFonts w:cs="Times New Roman"/>
                <w:szCs w:val="24"/>
              </w:rPr>
              <w:t>呼吸频率12-28次/分；</w:t>
            </w:r>
            <w:r>
              <w:rPr>
                <w:rFonts w:ascii="Cambria Math" w:hAnsi="Cambria Math" w:cs="Cambria Math"/>
                <w:szCs w:val="24"/>
              </w:rPr>
              <w:t>⑤</w:t>
            </w:r>
            <w:r>
              <w:rPr>
                <w:rFonts w:cs="Times New Roman"/>
                <w:szCs w:val="24"/>
              </w:rPr>
              <w:t>建议SpO</w:t>
            </w:r>
            <w:r>
              <w:rPr>
                <w:rFonts w:cs="Times New Roman"/>
                <w:szCs w:val="24"/>
                <w:vertAlign w:val="subscript"/>
              </w:rPr>
              <w:t>2</w:t>
            </w:r>
            <w:r>
              <w:rPr>
                <w:rFonts w:cs="Times New Roman"/>
                <w:szCs w:val="24"/>
              </w:rPr>
              <w:t xml:space="preserve"> ≥ 80%，具体由专业医护人员根据个体耐受及海拔高度评估，可酌情放宽，但一般不应低于70%；</w:t>
            </w:r>
            <w:r>
              <w:rPr>
                <w:rFonts w:ascii="Cambria Math" w:hAnsi="Cambria Math" w:cs="Cambria Math"/>
                <w:szCs w:val="24"/>
              </w:rPr>
              <w:t>⑥</w:t>
            </w:r>
            <w:r>
              <w:rPr>
                <w:rFonts w:cs="Times New Roman"/>
                <w:szCs w:val="24"/>
              </w:rPr>
              <w:t>神志清楚，可配合指令。</w:t>
            </w:r>
          </w:p>
        </w:tc>
      </w:tr>
      <w:tr w14:paraId="52CD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9F2D0" w:themeFill="accent6" w:themeFillTint="33"/>
            <w:vAlign w:val="center"/>
          </w:tcPr>
          <w:p w14:paraId="414C9A6F">
            <w:pPr>
              <w:jc w:val="center"/>
              <w:rPr>
                <w:rFonts w:cs="Times New Roman"/>
                <w:szCs w:val="24"/>
                <w:lang w:bidi="ar"/>
              </w:rPr>
            </w:pPr>
          </w:p>
        </w:tc>
        <w:tc>
          <w:tcPr>
            <w:tcW w:w="1418" w:type="dxa"/>
            <w:vMerge w:val="continue"/>
            <w:shd w:val="clear" w:color="auto" w:fill="D9F2D0" w:themeFill="accent6" w:themeFillTint="33"/>
            <w:vAlign w:val="center"/>
          </w:tcPr>
          <w:p w14:paraId="32CD7A27">
            <w:pPr>
              <w:jc w:val="center"/>
              <w:rPr>
                <w:rFonts w:cs="Times New Roman"/>
                <w:szCs w:val="24"/>
                <w:lang w:bidi="ar"/>
              </w:rPr>
            </w:pPr>
          </w:p>
        </w:tc>
        <w:tc>
          <w:tcPr>
            <w:tcW w:w="11486" w:type="dxa"/>
            <w:gridSpan w:val="4"/>
            <w:shd w:val="clear" w:color="auto" w:fill="D9F2D0" w:themeFill="accent6" w:themeFillTint="33"/>
            <w:vAlign w:val="center"/>
          </w:tcPr>
          <w:p w14:paraId="0FD3FE3E">
            <w:pPr>
              <w:jc w:val="left"/>
              <w:rPr>
                <w:rFonts w:cs="Times New Roman"/>
                <w:szCs w:val="24"/>
                <w:lang w:bidi="ar"/>
              </w:rPr>
            </w:pPr>
            <w:r>
              <w:rPr>
                <w:rFonts w:cs="Times New Roman"/>
                <w:szCs w:val="24"/>
                <w:lang w:bidi="ar"/>
              </w:rPr>
              <w:t>2.2.2相对禁忌症：存在以下情况需谨慎评估，暂缓或调整康复方案：</w:t>
            </w:r>
            <w:r>
              <w:rPr>
                <w:rFonts w:cs="Times New Roman"/>
                <w:szCs w:val="24"/>
              </w:rPr>
              <w:t>严重的认知障碍、进行性神经肌肉疾病、无法纠正的重度贫血、缺乏动力、严重衰弱相关的疲劳、无法改善的严重视力障碍、预期寿命短（&lt;6个月）等。</w:t>
            </w:r>
          </w:p>
        </w:tc>
      </w:tr>
      <w:tr w14:paraId="2C2F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9F2D0" w:themeFill="accent6" w:themeFillTint="33"/>
            <w:vAlign w:val="center"/>
          </w:tcPr>
          <w:p w14:paraId="269152DD">
            <w:pPr>
              <w:jc w:val="center"/>
              <w:rPr>
                <w:rFonts w:cs="Times New Roman"/>
                <w:szCs w:val="24"/>
                <w:lang w:bidi="ar"/>
              </w:rPr>
            </w:pPr>
          </w:p>
        </w:tc>
        <w:tc>
          <w:tcPr>
            <w:tcW w:w="1418" w:type="dxa"/>
            <w:vMerge w:val="continue"/>
            <w:shd w:val="clear" w:color="auto" w:fill="D9F2D0" w:themeFill="accent6" w:themeFillTint="33"/>
            <w:vAlign w:val="center"/>
          </w:tcPr>
          <w:p w14:paraId="3024C007">
            <w:pPr>
              <w:jc w:val="center"/>
              <w:rPr>
                <w:rFonts w:cs="Times New Roman"/>
                <w:szCs w:val="24"/>
                <w:lang w:bidi="ar"/>
              </w:rPr>
            </w:pPr>
          </w:p>
        </w:tc>
        <w:tc>
          <w:tcPr>
            <w:tcW w:w="11486" w:type="dxa"/>
            <w:gridSpan w:val="4"/>
            <w:shd w:val="clear" w:color="auto" w:fill="D9F2D0" w:themeFill="accent6" w:themeFillTint="33"/>
            <w:vAlign w:val="center"/>
          </w:tcPr>
          <w:p w14:paraId="0CE79AEC">
            <w:pPr>
              <w:jc w:val="left"/>
              <w:rPr>
                <w:rFonts w:cs="Times New Roman"/>
                <w:szCs w:val="24"/>
                <w:lang w:bidi="ar"/>
              </w:rPr>
            </w:pPr>
            <w:r>
              <w:rPr>
                <w:rFonts w:cs="Times New Roman"/>
                <w:szCs w:val="24"/>
              </w:rPr>
              <w:t>2.2.3</w:t>
            </w:r>
            <w:r>
              <w:rPr>
                <w:rFonts w:cs="Times New Roman"/>
                <w:szCs w:val="24"/>
                <w:lang w:bidi="ar"/>
              </w:rPr>
              <w:t>绝对禁忌症：存在以下情况禁止进行运动训练：</w:t>
            </w:r>
            <w:r>
              <w:rPr>
                <w:rFonts w:cs="Times New Roman"/>
                <w:szCs w:val="24"/>
              </w:rPr>
              <w:t>不稳定型心绞痛或心律失常、心力衰竭失代偿期、血流动力学不稳定、不稳定的骨折、穿刺部位出血及血肿、应用用于生命支持的血管活性药物、活动性深静脉血栓形成、静息状态呼吸困难对他人构成危险且无隔离设施的传染病、有自我伤害或伤害他人风险的不稳定的精神疾病。</w:t>
            </w:r>
          </w:p>
        </w:tc>
      </w:tr>
      <w:tr w14:paraId="217E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9F2D0" w:themeFill="accent6" w:themeFillTint="33"/>
            <w:vAlign w:val="center"/>
          </w:tcPr>
          <w:p w14:paraId="2295408D">
            <w:pPr>
              <w:jc w:val="center"/>
              <w:rPr>
                <w:rFonts w:cs="Times New Roman"/>
                <w:szCs w:val="24"/>
                <w:lang w:bidi="ar"/>
              </w:rPr>
            </w:pPr>
          </w:p>
        </w:tc>
        <w:tc>
          <w:tcPr>
            <w:tcW w:w="1418" w:type="dxa"/>
            <w:shd w:val="clear" w:color="auto" w:fill="D9F2D0" w:themeFill="accent6" w:themeFillTint="33"/>
            <w:vAlign w:val="center"/>
          </w:tcPr>
          <w:p w14:paraId="52DA1C7D">
            <w:pPr>
              <w:jc w:val="center"/>
              <w:rPr>
                <w:rFonts w:cs="Times New Roman"/>
                <w:szCs w:val="24"/>
                <w:lang w:bidi="ar"/>
              </w:rPr>
            </w:pPr>
            <w:r>
              <w:rPr>
                <w:rFonts w:cs="Times New Roman"/>
                <w:szCs w:val="24"/>
                <w:lang w:bidi="ar"/>
              </w:rPr>
              <w:t>2.3评估风险分层</w:t>
            </w:r>
          </w:p>
        </w:tc>
        <w:tc>
          <w:tcPr>
            <w:tcW w:w="11486" w:type="dxa"/>
            <w:gridSpan w:val="4"/>
            <w:shd w:val="clear" w:color="auto" w:fill="D9F2D0" w:themeFill="accent6" w:themeFillTint="33"/>
            <w:vAlign w:val="center"/>
          </w:tcPr>
          <w:p w14:paraId="1483DB41">
            <w:pPr>
              <w:jc w:val="left"/>
              <w:rPr>
                <w:rFonts w:cs="Times New Roman"/>
                <w:szCs w:val="24"/>
                <w:lang w:bidi="ar"/>
              </w:rPr>
            </w:pPr>
            <w:r>
              <w:rPr>
                <w:rFonts w:cs="Times New Roman"/>
                <w:szCs w:val="24"/>
              </w:rPr>
              <w:t>2.3.1采用2022年欧洲心脏病学会/欧洲呼吸学会（ESC/ERS）《肺动脉高压诊断和治疗指南》对肺动脉高压患者进行危险分层（低危、中危、高危），以指导整体治疗和康复策略。</w:t>
            </w:r>
          </w:p>
        </w:tc>
      </w:tr>
      <w:tr w14:paraId="76C9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F1CEEE" w:themeFill="accent5" w:themeFillTint="33"/>
            <w:vAlign w:val="center"/>
          </w:tcPr>
          <w:p w14:paraId="6BEAB835">
            <w:pPr>
              <w:jc w:val="center"/>
              <w:rPr>
                <w:rFonts w:cs="Times New Roman"/>
                <w:szCs w:val="24"/>
                <w:lang w:bidi="ar"/>
              </w:rPr>
            </w:pPr>
            <w:r>
              <w:rPr>
                <w:rFonts w:cs="Times New Roman"/>
                <w:szCs w:val="24"/>
                <w:lang w:bidi="ar"/>
              </w:rPr>
              <w:t>3运动处方</w:t>
            </w:r>
          </w:p>
        </w:tc>
        <w:tc>
          <w:tcPr>
            <w:tcW w:w="1418" w:type="dxa"/>
            <w:shd w:val="clear" w:color="auto" w:fill="F1CEEE" w:themeFill="accent5" w:themeFillTint="33"/>
          </w:tcPr>
          <w:p w14:paraId="595D8DF0">
            <w:pPr>
              <w:jc w:val="center"/>
              <w:rPr>
                <w:rFonts w:cs="Times New Roman"/>
                <w:szCs w:val="24"/>
                <w:lang w:bidi="ar"/>
              </w:rPr>
            </w:pPr>
            <w:r>
              <w:rPr>
                <w:rFonts w:cs="Times New Roman"/>
                <w:szCs w:val="24"/>
                <w:lang w:bidi="ar"/>
              </w:rPr>
              <w:t>3.1类型</w:t>
            </w:r>
          </w:p>
        </w:tc>
        <w:tc>
          <w:tcPr>
            <w:tcW w:w="2986" w:type="dxa"/>
            <w:shd w:val="clear" w:color="auto" w:fill="F1CEEE" w:themeFill="accent5" w:themeFillTint="33"/>
          </w:tcPr>
          <w:p w14:paraId="751B1CD5">
            <w:pPr>
              <w:jc w:val="left"/>
              <w:rPr>
                <w:rFonts w:cs="Times New Roman"/>
                <w:szCs w:val="24"/>
              </w:rPr>
            </w:pPr>
            <w:r>
              <w:rPr>
                <w:rFonts w:cs="Times New Roman"/>
                <w:szCs w:val="24"/>
              </w:rPr>
              <w:t>有氧运动</w:t>
            </w:r>
          </w:p>
        </w:tc>
        <w:tc>
          <w:tcPr>
            <w:tcW w:w="2835" w:type="dxa"/>
            <w:shd w:val="clear" w:color="auto" w:fill="F1CEEE" w:themeFill="accent5" w:themeFillTint="33"/>
          </w:tcPr>
          <w:p w14:paraId="2C2DFFC1">
            <w:pPr>
              <w:jc w:val="left"/>
              <w:rPr>
                <w:rFonts w:cs="Times New Roman"/>
                <w:szCs w:val="24"/>
              </w:rPr>
            </w:pPr>
            <w:r>
              <w:rPr>
                <w:rFonts w:cs="Times New Roman"/>
                <w:szCs w:val="24"/>
              </w:rPr>
              <w:t>抗阻运动</w:t>
            </w:r>
          </w:p>
        </w:tc>
        <w:tc>
          <w:tcPr>
            <w:tcW w:w="2693" w:type="dxa"/>
            <w:shd w:val="clear" w:color="auto" w:fill="F1CEEE" w:themeFill="accent5" w:themeFillTint="33"/>
          </w:tcPr>
          <w:p w14:paraId="7BB969FF">
            <w:pPr>
              <w:jc w:val="left"/>
              <w:rPr>
                <w:rFonts w:cs="Times New Roman"/>
                <w:szCs w:val="24"/>
              </w:rPr>
            </w:pPr>
            <w:r>
              <w:rPr>
                <w:rFonts w:cs="Times New Roman"/>
                <w:szCs w:val="24"/>
                <w:lang w:bidi="ar"/>
              </w:rPr>
              <w:t>呼吸功能锻炼</w:t>
            </w:r>
          </w:p>
        </w:tc>
        <w:tc>
          <w:tcPr>
            <w:tcW w:w="2972" w:type="dxa"/>
            <w:shd w:val="clear" w:color="auto" w:fill="F1CEEE" w:themeFill="accent5" w:themeFillTint="33"/>
          </w:tcPr>
          <w:p w14:paraId="13246881">
            <w:pPr>
              <w:jc w:val="left"/>
              <w:rPr>
                <w:rFonts w:cs="Times New Roman"/>
                <w:szCs w:val="24"/>
              </w:rPr>
            </w:pPr>
            <w:r>
              <w:rPr>
                <w:rFonts w:cs="Times New Roman"/>
                <w:szCs w:val="24"/>
                <w:lang w:bidi="ar"/>
              </w:rPr>
              <w:t>床上/渐进性活动（针对卧床或功能严重受限患者）</w:t>
            </w:r>
          </w:p>
        </w:tc>
      </w:tr>
      <w:tr w14:paraId="7227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3A134B35">
            <w:pPr>
              <w:jc w:val="center"/>
              <w:rPr>
                <w:rFonts w:cs="Times New Roman"/>
                <w:szCs w:val="24"/>
                <w:lang w:bidi="ar"/>
              </w:rPr>
            </w:pPr>
          </w:p>
        </w:tc>
        <w:tc>
          <w:tcPr>
            <w:tcW w:w="1418" w:type="dxa"/>
            <w:shd w:val="clear" w:color="auto" w:fill="F1CEEE" w:themeFill="accent5" w:themeFillTint="33"/>
          </w:tcPr>
          <w:p w14:paraId="508AB753">
            <w:pPr>
              <w:jc w:val="center"/>
              <w:rPr>
                <w:rFonts w:cs="Times New Roman"/>
                <w:szCs w:val="24"/>
              </w:rPr>
            </w:pPr>
            <w:r>
              <w:rPr>
                <w:rFonts w:cs="Times New Roman"/>
                <w:szCs w:val="24"/>
              </w:rPr>
              <w:t>3.2形式</w:t>
            </w:r>
          </w:p>
        </w:tc>
        <w:tc>
          <w:tcPr>
            <w:tcW w:w="2986" w:type="dxa"/>
            <w:shd w:val="clear" w:color="auto" w:fill="F1CEEE" w:themeFill="accent5" w:themeFillTint="33"/>
          </w:tcPr>
          <w:p w14:paraId="74A7DE04">
            <w:pPr>
              <w:jc w:val="left"/>
              <w:rPr>
                <w:rFonts w:cs="Times New Roman"/>
                <w:szCs w:val="24"/>
              </w:rPr>
            </w:pPr>
            <w:r>
              <w:rPr>
                <w:rFonts w:cs="Times New Roman"/>
                <w:szCs w:val="24"/>
              </w:rPr>
              <w:t>快走、慢跑、恒定功率自行车、八段锦、太极拳等</w:t>
            </w:r>
          </w:p>
        </w:tc>
        <w:tc>
          <w:tcPr>
            <w:tcW w:w="2835" w:type="dxa"/>
            <w:shd w:val="clear" w:color="auto" w:fill="F1CEEE" w:themeFill="accent5" w:themeFillTint="33"/>
          </w:tcPr>
          <w:p w14:paraId="66FD2AC0">
            <w:pPr>
              <w:jc w:val="left"/>
              <w:rPr>
                <w:rFonts w:cs="Times New Roman"/>
                <w:szCs w:val="24"/>
              </w:rPr>
            </w:pPr>
            <w:r>
              <w:rPr>
                <w:rFonts w:cs="Times New Roman"/>
                <w:szCs w:val="24"/>
              </w:rPr>
              <w:t>哑铃、弹力带等</w:t>
            </w:r>
          </w:p>
        </w:tc>
        <w:tc>
          <w:tcPr>
            <w:tcW w:w="2693" w:type="dxa"/>
            <w:shd w:val="clear" w:color="auto" w:fill="F1CEEE" w:themeFill="accent5" w:themeFillTint="33"/>
          </w:tcPr>
          <w:p w14:paraId="195DE5CA">
            <w:pPr>
              <w:jc w:val="left"/>
              <w:rPr>
                <w:rFonts w:cs="Times New Roman"/>
                <w:szCs w:val="24"/>
              </w:rPr>
            </w:pPr>
            <w:r>
              <w:rPr>
                <w:rFonts w:cs="Times New Roman"/>
                <w:szCs w:val="24"/>
              </w:rPr>
              <w:t>腹式呼吸，缩唇呼吸，借助仪器（吹气球、呼吸训练器等）进行呼吸功能锻炼</w:t>
            </w:r>
          </w:p>
        </w:tc>
        <w:tc>
          <w:tcPr>
            <w:tcW w:w="2972" w:type="dxa"/>
            <w:shd w:val="clear" w:color="auto" w:fill="F1CEEE" w:themeFill="accent5" w:themeFillTint="33"/>
          </w:tcPr>
          <w:p w14:paraId="42452849">
            <w:pPr>
              <w:jc w:val="left"/>
              <w:rPr>
                <w:rFonts w:cs="Times New Roman"/>
                <w:szCs w:val="24"/>
              </w:rPr>
            </w:pPr>
            <w:r>
              <w:rPr>
                <w:rFonts w:cs="Times New Roman"/>
                <w:szCs w:val="24"/>
                <w:lang w:bidi="ar"/>
              </w:rPr>
              <w:t>被动/主动-辅助关节活动度训练、踝泵运动、辅助转移训练等</w:t>
            </w:r>
          </w:p>
        </w:tc>
      </w:tr>
      <w:tr w14:paraId="572A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696726E7">
            <w:pPr>
              <w:jc w:val="center"/>
              <w:rPr>
                <w:rFonts w:cs="Times New Roman"/>
                <w:szCs w:val="24"/>
                <w:lang w:bidi="ar"/>
              </w:rPr>
            </w:pPr>
          </w:p>
        </w:tc>
        <w:tc>
          <w:tcPr>
            <w:tcW w:w="1418" w:type="dxa"/>
            <w:shd w:val="clear" w:color="auto" w:fill="F1CEEE" w:themeFill="accent5" w:themeFillTint="33"/>
          </w:tcPr>
          <w:p w14:paraId="4CF1548F">
            <w:pPr>
              <w:jc w:val="center"/>
              <w:rPr>
                <w:rFonts w:cs="Times New Roman"/>
                <w:szCs w:val="24"/>
              </w:rPr>
            </w:pPr>
            <w:r>
              <w:rPr>
                <w:rFonts w:cs="Times New Roman"/>
                <w:szCs w:val="24"/>
              </w:rPr>
              <w:t>3.3时长</w:t>
            </w:r>
          </w:p>
        </w:tc>
        <w:tc>
          <w:tcPr>
            <w:tcW w:w="2986" w:type="dxa"/>
            <w:shd w:val="clear" w:color="auto" w:fill="F1CEEE" w:themeFill="accent5" w:themeFillTint="33"/>
          </w:tcPr>
          <w:p w14:paraId="6145C8A4">
            <w:pPr>
              <w:jc w:val="left"/>
              <w:rPr>
                <w:rFonts w:cs="Times New Roman"/>
                <w:szCs w:val="24"/>
              </w:rPr>
            </w:pPr>
            <w:r>
              <w:rPr>
                <w:rFonts w:cs="Times New Roman"/>
                <w:szCs w:val="24"/>
              </w:rPr>
              <w:t>10-30分钟/次</w:t>
            </w:r>
          </w:p>
        </w:tc>
        <w:tc>
          <w:tcPr>
            <w:tcW w:w="2835" w:type="dxa"/>
            <w:shd w:val="clear" w:color="auto" w:fill="F1CEEE" w:themeFill="accent5" w:themeFillTint="33"/>
          </w:tcPr>
          <w:p w14:paraId="4D2F1B7C">
            <w:pPr>
              <w:jc w:val="left"/>
              <w:rPr>
                <w:rFonts w:cs="Times New Roman"/>
                <w:szCs w:val="24"/>
              </w:rPr>
            </w:pPr>
            <w:r>
              <w:rPr>
                <w:rFonts w:cs="Times New Roman"/>
                <w:szCs w:val="24"/>
              </w:rPr>
              <w:t xml:space="preserve">8-12 次/组，进行1-3组，10-20分钟之内完成 </w:t>
            </w:r>
          </w:p>
        </w:tc>
        <w:tc>
          <w:tcPr>
            <w:tcW w:w="2693" w:type="dxa"/>
            <w:shd w:val="clear" w:color="auto" w:fill="F1CEEE" w:themeFill="accent5" w:themeFillTint="33"/>
          </w:tcPr>
          <w:p w14:paraId="233E5112">
            <w:pPr>
              <w:jc w:val="left"/>
              <w:rPr>
                <w:rFonts w:cs="Times New Roman"/>
                <w:szCs w:val="24"/>
              </w:rPr>
            </w:pPr>
            <w:r>
              <w:rPr>
                <w:rFonts w:cs="Times New Roman"/>
                <w:szCs w:val="24"/>
              </w:rPr>
              <w:t>1-2次/日，10-15分钟/次</w:t>
            </w:r>
          </w:p>
        </w:tc>
        <w:tc>
          <w:tcPr>
            <w:tcW w:w="2972" w:type="dxa"/>
            <w:shd w:val="clear" w:color="auto" w:fill="F1CEEE" w:themeFill="accent5" w:themeFillTint="33"/>
          </w:tcPr>
          <w:p w14:paraId="28B8DE08">
            <w:pPr>
              <w:jc w:val="left"/>
              <w:rPr>
                <w:rFonts w:cs="Times New Roman"/>
                <w:szCs w:val="24"/>
              </w:rPr>
            </w:pPr>
            <w:r>
              <w:rPr>
                <w:rFonts w:cs="Times New Roman"/>
                <w:szCs w:val="24"/>
              </w:rPr>
              <w:t>从极短时间开始（如每个动作1-3分钟），根据患者耐受情况逐步增加。目标为1-2次/日，10-20分钟/次。</w:t>
            </w:r>
          </w:p>
        </w:tc>
      </w:tr>
      <w:tr w14:paraId="1D0A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1926FCF2">
            <w:pPr>
              <w:jc w:val="center"/>
              <w:rPr>
                <w:rFonts w:cs="Times New Roman"/>
                <w:szCs w:val="24"/>
                <w:lang w:bidi="ar"/>
              </w:rPr>
            </w:pPr>
          </w:p>
        </w:tc>
        <w:tc>
          <w:tcPr>
            <w:tcW w:w="1418" w:type="dxa"/>
            <w:shd w:val="clear" w:color="auto" w:fill="F1CEEE" w:themeFill="accent5" w:themeFillTint="33"/>
          </w:tcPr>
          <w:p w14:paraId="4CFADC35">
            <w:pPr>
              <w:jc w:val="center"/>
              <w:rPr>
                <w:rFonts w:cs="Times New Roman"/>
                <w:szCs w:val="24"/>
              </w:rPr>
            </w:pPr>
            <w:r>
              <w:rPr>
                <w:rFonts w:cs="Times New Roman"/>
                <w:szCs w:val="24"/>
              </w:rPr>
              <w:t>3.4频次</w:t>
            </w:r>
          </w:p>
        </w:tc>
        <w:tc>
          <w:tcPr>
            <w:tcW w:w="2986" w:type="dxa"/>
            <w:shd w:val="clear" w:color="auto" w:fill="F1CEEE" w:themeFill="accent5" w:themeFillTint="33"/>
          </w:tcPr>
          <w:p w14:paraId="4EDEAAF4">
            <w:pPr>
              <w:jc w:val="left"/>
              <w:rPr>
                <w:rFonts w:cs="Times New Roman"/>
                <w:szCs w:val="24"/>
              </w:rPr>
            </w:pPr>
            <w:r>
              <w:rPr>
                <w:rFonts w:cs="Times New Roman"/>
                <w:szCs w:val="24"/>
              </w:rPr>
              <w:t>每周3-5天，间隔休息≥24小时</w:t>
            </w:r>
          </w:p>
        </w:tc>
        <w:tc>
          <w:tcPr>
            <w:tcW w:w="2835" w:type="dxa"/>
            <w:shd w:val="clear" w:color="auto" w:fill="F1CEEE" w:themeFill="accent5" w:themeFillTint="33"/>
          </w:tcPr>
          <w:p w14:paraId="4F513A57">
            <w:pPr>
              <w:jc w:val="left"/>
              <w:rPr>
                <w:rFonts w:cs="Times New Roman"/>
                <w:szCs w:val="24"/>
              </w:rPr>
            </w:pPr>
            <w:r>
              <w:rPr>
                <w:rFonts w:cs="Times New Roman"/>
                <w:szCs w:val="24"/>
              </w:rPr>
              <w:t>每周 2-3天或相同肌群隔天1次</w:t>
            </w:r>
          </w:p>
        </w:tc>
        <w:tc>
          <w:tcPr>
            <w:tcW w:w="2693" w:type="dxa"/>
            <w:shd w:val="clear" w:color="auto" w:fill="F1CEEE" w:themeFill="accent5" w:themeFillTint="33"/>
          </w:tcPr>
          <w:p w14:paraId="7A38046D">
            <w:pPr>
              <w:jc w:val="left"/>
              <w:rPr>
                <w:rFonts w:cs="Times New Roman"/>
                <w:szCs w:val="24"/>
              </w:rPr>
            </w:pPr>
            <w:r>
              <w:rPr>
                <w:rFonts w:cs="Times New Roman"/>
                <w:szCs w:val="24"/>
              </w:rPr>
              <w:t>每周至少4-5天，5-7天为宜</w:t>
            </w:r>
          </w:p>
        </w:tc>
        <w:tc>
          <w:tcPr>
            <w:tcW w:w="2972" w:type="dxa"/>
            <w:shd w:val="clear" w:color="auto" w:fill="F1CEEE" w:themeFill="accent5" w:themeFillTint="33"/>
          </w:tcPr>
          <w:p w14:paraId="520ECE38">
            <w:pPr>
              <w:jc w:val="left"/>
              <w:rPr>
                <w:rFonts w:cs="Times New Roman"/>
                <w:szCs w:val="24"/>
              </w:rPr>
            </w:pPr>
            <w:r>
              <w:rPr>
                <w:rFonts w:cs="Times New Roman"/>
                <w:szCs w:val="24"/>
                <w:lang w:bidi="ar"/>
              </w:rPr>
              <w:t>每周不少于5天</w:t>
            </w:r>
          </w:p>
        </w:tc>
      </w:tr>
      <w:tr w14:paraId="76E5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29A07F1F">
            <w:pPr>
              <w:jc w:val="center"/>
              <w:rPr>
                <w:rFonts w:cs="Times New Roman"/>
                <w:szCs w:val="24"/>
                <w:lang w:bidi="ar"/>
              </w:rPr>
            </w:pPr>
          </w:p>
        </w:tc>
        <w:tc>
          <w:tcPr>
            <w:tcW w:w="1418" w:type="dxa"/>
            <w:shd w:val="clear" w:color="auto" w:fill="F1CEEE" w:themeFill="accent5" w:themeFillTint="33"/>
          </w:tcPr>
          <w:p w14:paraId="7762CD3C">
            <w:pPr>
              <w:jc w:val="center"/>
              <w:rPr>
                <w:rFonts w:cs="Times New Roman"/>
                <w:szCs w:val="24"/>
              </w:rPr>
            </w:pPr>
            <w:r>
              <w:rPr>
                <w:rFonts w:cs="Times New Roman"/>
                <w:szCs w:val="24"/>
              </w:rPr>
              <w:t>3.5强度</w:t>
            </w:r>
          </w:p>
        </w:tc>
        <w:tc>
          <w:tcPr>
            <w:tcW w:w="2986" w:type="dxa"/>
            <w:shd w:val="clear" w:color="auto" w:fill="F1CEEE" w:themeFill="accent5" w:themeFillTint="33"/>
          </w:tcPr>
          <w:p w14:paraId="24686E03">
            <w:pPr>
              <w:jc w:val="left"/>
              <w:rPr>
                <w:rFonts w:cs="Times New Roman"/>
                <w:szCs w:val="24"/>
              </w:rPr>
            </w:pPr>
            <w:r>
              <w:rPr>
                <w:rFonts w:cs="Times New Roman"/>
                <w:szCs w:val="24"/>
              </w:rPr>
              <w:t>低危：60-70%HRR（或30-60% VO</w:t>
            </w:r>
            <w:r>
              <w:rPr>
                <w:rFonts w:cs="Times New Roman"/>
                <w:szCs w:val="24"/>
                <w:vertAlign w:val="subscript"/>
              </w:rPr>
              <w:t xml:space="preserve">2 </w:t>
            </w:r>
            <w:r>
              <w:rPr>
                <w:rFonts w:cs="Times New Roman"/>
                <w:szCs w:val="24"/>
              </w:rPr>
              <w:t>max，如已知），同时保持Borg评分在3-6分为宜</w:t>
            </w:r>
          </w:p>
          <w:p w14:paraId="55511C44">
            <w:pPr>
              <w:jc w:val="left"/>
              <w:rPr>
                <w:rFonts w:cs="Times New Roman"/>
                <w:szCs w:val="24"/>
              </w:rPr>
            </w:pPr>
            <w:r>
              <w:rPr>
                <w:rFonts w:cs="Times New Roman"/>
                <w:szCs w:val="24"/>
              </w:rPr>
              <w:t>中危：50-60%HRR（或30-40% VO</w:t>
            </w:r>
            <w:r>
              <w:rPr>
                <w:rFonts w:cs="Times New Roman"/>
                <w:szCs w:val="24"/>
                <w:vertAlign w:val="subscript"/>
              </w:rPr>
              <w:t xml:space="preserve">2 </w:t>
            </w:r>
            <w:r>
              <w:rPr>
                <w:rFonts w:cs="Times New Roman"/>
                <w:szCs w:val="24"/>
              </w:rPr>
              <w:t>max，如已知），同时保持Borg评分在3-5分为宜</w:t>
            </w:r>
          </w:p>
          <w:p w14:paraId="23B638DE">
            <w:pPr>
              <w:jc w:val="left"/>
              <w:rPr>
                <w:rFonts w:cs="Times New Roman"/>
                <w:szCs w:val="24"/>
              </w:rPr>
            </w:pPr>
            <w:r>
              <w:rPr>
                <w:rFonts w:cs="Times New Roman"/>
                <w:szCs w:val="24"/>
              </w:rPr>
              <w:t>高危：30-50%HRR（或30% VO</w:t>
            </w:r>
            <w:r>
              <w:rPr>
                <w:rFonts w:cs="Times New Roman"/>
                <w:szCs w:val="24"/>
                <w:vertAlign w:val="subscript"/>
              </w:rPr>
              <w:t xml:space="preserve">2 </w:t>
            </w:r>
            <w:r>
              <w:rPr>
                <w:rFonts w:cs="Times New Roman"/>
                <w:szCs w:val="24"/>
              </w:rPr>
              <w:t>max，如已知），同时保持Borg评分在2-4分为宜</w:t>
            </w:r>
          </w:p>
          <w:p w14:paraId="20B06029">
            <w:pPr>
              <w:jc w:val="left"/>
              <w:rPr>
                <w:rFonts w:cs="Times New Roman"/>
                <w:szCs w:val="24"/>
                <w:lang w:bidi="ar"/>
              </w:rPr>
            </w:pPr>
            <w:r>
              <w:rPr>
                <w:rFonts w:cs="Times New Roman"/>
                <w:szCs w:val="24"/>
              </w:rPr>
              <w:t>【备注：</w:t>
            </w:r>
            <w:r>
              <w:rPr>
                <w:rFonts w:cs="Times New Roman"/>
                <w:szCs w:val="24"/>
                <w:lang w:bidi="ar"/>
              </w:rPr>
              <w:t>HRR（储备心率）=220-患者年龄-静息状态下心率</w:t>
            </w:r>
          </w:p>
          <w:p w14:paraId="2965D19F">
            <w:pPr>
              <w:jc w:val="left"/>
              <w:rPr>
                <w:rFonts w:cs="Times New Roman"/>
                <w:szCs w:val="24"/>
                <w:lang w:bidi="ar"/>
              </w:rPr>
            </w:pPr>
            <w:r>
              <w:rPr>
                <w:rFonts w:cs="Times New Roman"/>
                <w:szCs w:val="24"/>
              </w:rPr>
              <w:t>目标心率=（HRR×强度%）+</w:t>
            </w:r>
            <w:r>
              <w:rPr>
                <w:rFonts w:cs="Times New Roman"/>
                <w:szCs w:val="24"/>
                <w:lang w:bidi="ar"/>
              </w:rPr>
              <w:t>静息状态下心率）</w:t>
            </w:r>
          </w:p>
          <w:p w14:paraId="42279A9A">
            <w:pPr>
              <w:jc w:val="left"/>
              <w:rPr>
                <w:rFonts w:cs="Times New Roman"/>
                <w:szCs w:val="24"/>
              </w:rPr>
            </w:pPr>
            <w:r>
              <w:rPr>
                <w:rFonts w:cs="Times New Roman"/>
                <w:szCs w:val="24"/>
              </w:rPr>
              <w:t>VO</w:t>
            </w:r>
            <w:r>
              <w:rPr>
                <w:rFonts w:cs="Times New Roman"/>
                <w:szCs w:val="24"/>
                <w:vertAlign w:val="subscript"/>
              </w:rPr>
              <w:t xml:space="preserve">2 </w:t>
            </w:r>
            <w:r>
              <w:rPr>
                <w:rFonts w:cs="Times New Roman"/>
                <w:szCs w:val="24"/>
              </w:rPr>
              <w:t>max指最大摄氧量】</w:t>
            </w:r>
          </w:p>
        </w:tc>
        <w:tc>
          <w:tcPr>
            <w:tcW w:w="2835" w:type="dxa"/>
            <w:shd w:val="clear" w:color="auto" w:fill="F1CEEE" w:themeFill="accent5" w:themeFillTint="33"/>
          </w:tcPr>
          <w:p w14:paraId="0462D79F">
            <w:pPr>
              <w:jc w:val="left"/>
              <w:rPr>
                <w:rFonts w:cs="Times New Roman"/>
                <w:szCs w:val="24"/>
              </w:rPr>
            </w:pPr>
            <w:r>
              <w:rPr>
                <w:rFonts w:cs="Times New Roman"/>
                <w:szCs w:val="24"/>
              </w:rPr>
              <w:t>低危：50%-75% 1RM，同时保持Borg评分在3-6分为宜</w:t>
            </w:r>
          </w:p>
          <w:p w14:paraId="5EF6A1C9">
            <w:pPr>
              <w:jc w:val="left"/>
              <w:rPr>
                <w:rFonts w:cs="Times New Roman"/>
                <w:szCs w:val="24"/>
              </w:rPr>
            </w:pPr>
            <w:r>
              <w:rPr>
                <w:rFonts w:cs="Times New Roman"/>
                <w:szCs w:val="24"/>
              </w:rPr>
              <w:t>中危：30%-50% 1RM，同时保持Borg评分在3-5分为宜</w:t>
            </w:r>
          </w:p>
          <w:p w14:paraId="36A9909C">
            <w:pPr>
              <w:jc w:val="left"/>
              <w:rPr>
                <w:rFonts w:cs="Times New Roman"/>
                <w:szCs w:val="24"/>
              </w:rPr>
            </w:pPr>
            <w:r>
              <w:rPr>
                <w:rFonts w:cs="Times New Roman"/>
                <w:szCs w:val="24"/>
              </w:rPr>
              <w:t>高危：＜ 30% 1RM，同时保持Borg评分在2-4分为宜</w:t>
            </w:r>
          </w:p>
          <w:p w14:paraId="221D7C6D">
            <w:pPr>
              <w:jc w:val="left"/>
              <w:rPr>
                <w:rFonts w:cs="Times New Roman"/>
                <w:szCs w:val="24"/>
              </w:rPr>
            </w:pPr>
            <w:r>
              <w:rPr>
                <w:rFonts w:cs="Times New Roman"/>
                <w:szCs w:val="24"/>
              </w:rPr>
              <w:t xml:space="preserve">(1RM指完成单次运动所能耐受的最大重量) </w:t>
            </w:r>
          </w:p>
        </w:tc>
        <w:tc>
          <w:tcPr>
            <w:tcW w:w="2693" w:type="dxa"/>
            <w:shd w:val="clear" w:color="auto" w:fill="F1CEEE" w:themeFill="accent5" w:themeFillTint="33"/>
          </w:tcPr>
          <w:p w14:paraId="603B2D93">
            <w:pPr>
              <w:jc w:val="left"/>
              <w:rPr>
                <w:rFonts w:cs="Times New Roman"/>
                <w:szCs w:val="24"/>
              </w:rPr>
            </w:pPr>
            <w:r>
              <w:rPr>
                <w:rFonts w:cs="Times New Roman"/>
                <w:szCs w:val="24"/>
              </w:rPr>
              <w:t>起始强度为最大吸气压的30%，根据患者耐受情况酌情增减</w:t>
            </w:r>
          </w:p>
        </w:tc>
        <w:tc>
          <w:tcPr>
            <w:tcW w:w="2972" w:type="dxa"/>
            <w:shd w:val="clear" w:color="auto" w:fill="F1CEEE" w:themeFill="accent5" w:themeFillTint="33"/>
          </w:tcPr>
          <w:p w14:paraId="59504149">
            <w:pPr>
              <w:jc w:val="left"/>
              <w:rPr>
                <w:rFonts w:cs="Times New Roman"/>
                <w:szCs w:val="24"/>
              </w:rPr>
            </w:pPr>
            <w:r>
              <w:rPr>
                <w:rFonts w:cs="Times New Roman"/>
                <w:szCs w:val="24"/>
              </w:rPr>
              <w:t>Borg评分0-2分</w:t>
            </w:r>
          </w:p>
        </w:tc>
      </w:tr>
      <w:tr w14:paraId="731B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58EEEF46">
            <w:pPr>
              <w:jc w:val="center"/>
              <w:rPr>
                <w:rFonts w:cs="Times New Roman"/>
                <w:szCs w:val="24"/>
                <w:lang w:bidi="ar"/>
              </w:rPr>
            </w:pPr>
          </w:p>
        </w:tc>
        <w:tc>
          <w:tcPr>
            <w:tcW w:w="1418" w:type="dxa"/>
            <w:vMerge w:val="restart"/>
            <w:shd w:val="clear" w:color="auto" w:fill="F1CEEE" w:themeFill="accent5" w:themeFillTint="33"/>
          </w:tcPr>
          <w:p w14:paraId="7814C1DE">
            <w:pPr>
              <w:jc w:val="center"/>
              <w:rPr>
                <w:rFonts w:cs="Times New Roman"/>
                <w:szCs w:val="24"/>
              </w:rPr>
            </w:pPr>
            <w:r>
              <w:rPr>
                <w:rFonts w:cs="Times New Roman"/>
                <w:szCs w:val="24"/>
              </w:rPr>
              <w:t>3.6注意事项</w:t>
            </w:r>
          </w:p>
        </w:tc>
        <w:tc>
          <w:tcPr>
            <w:tcW w:w="11486" w:type="dxa"/>
            <w:gridSpan w:val="4"/>
            <w:shd w:val="clear" w:color="auto" w:fill="F1CEEE" w:themeFill="accent5" w:themeFillTint="33"/>
          </w:tcPr>
          <w:p w14:paraId="4F5E6380">
            <w:pPr>
              <w:jc w:val="left"/>
              <w:rPr>
                <w:rFonts w:cs="Times New Roman"/>
                <w:szCs w:val="24"/>
              </w:rPr>
            </w:pPr>
            <w:r>
              <w:rPr>
                <w:rFonts w:cs="Times New Roman"/>
                <w:szCs w:val="24"/>
              </w:rPr>
              <w:t>3.6.1采用有氧/抗阻/</w:t>
            </w:r>
            <w:r>
              <w:rPr>
                <w:rFonts w:cs="Times New Roman"/>
                <w:szCs w:val="24"/>
                <w:lang w:bidi="ar"/>
              </w:rPr>
              <w:t>床上渐进性活动结合呼吸功能锻炼</w:t>
            </w:r>
            <w:r>
              <w:rPr>
                <w:rFonts w:cs="Times New Roman"/>
                <w:szCs w:val="24"/>
              </w:rPr>
              <w:t>的模式，以“运动-休息-运动”间歇方式进行，遵循循序渐进原则。</w:t>
            </w:r>
          </w:p>
        </w:tc>
      </w:tr>
      <w:tr w14:paraId="432F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12E34C82">
            <w:pPr>
              <w:jc w:val="center"/>
              <w:rPr>
                <w:rFonts w:cs="Times New Roman"/>
                <w:szCs w:val="24"/>
                <w:lang w:bidi="ar"/>
              </w:rPr>
            </w:pPr>
          </w:p>
        </w:tc>
        <w:tc>
          <w:tcPr>
            <w:tcW w:w="1418" w:type="dxa"/>
            <w:vMerge w:val="continue"/>
            <w:shd w:val="clear" w:color="auto" w:fill="F1CEEE" w:themeFill="accent5" w:themeFillTint="33"/>
          </w:tcPr>
          <w:p w14:paraId="34FAC336">
            <w:pPr>
              <w:jc w:val="center"/>
              <w:rPr>
                <w:rFonts w:cs="Times New Roman"/>
                <w:szCs w:val="24"/>
                <w:lang w:bidi="ar"/>
              </w:rPr>
            </w:pPr>
          </w:p>
        </w:tc>
        <w:tc>
          <w:tcPr>
            <w:tcW w:w="11486" w:type="dxa"/>
            <w:gridSpan w:val="4"/>
            <w:shd w:val="clear" w:color="auto" w:fill="F1CEEE" w:themeFill="accent5" w:themeFillTint="33"/>
          </w:tcPr>
          <w:p w14:paraId="131FBA00">
            <w:pPr>
              <w:jc w:val="left"/>
              <w:rPr>
                <w:rFonts w:cs="Times New Roman"/>
                <w:szCs w:val="24"/>
              </w:rPr>
            </w:pPr>
            <w:r>
              <w:rPr>
                <w:rFonts w:cs="Times New Roman"/>
                <w:szCs w:val="24"/>
              </w:rPr>
              <w:t>3.6.2避免屏气用力 （Valsalva），竞技性运动及引起不适的体位。</w:t>
            </w:r>
          </w:p>
        </w:tc>
      </w:tr>
      <w:tr w14:paraId="486C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05FC7CD8">
            <w:pPr>
              <w:jc w:val="center"/>
              <w:rPr>
                <w:rFonts w:cs="Times New Roman"/>
                <w:szCs w:val="24"/>
                <w:lang w:bidi="ar"/>
              </w:rPr>
            </w:pPr>
          </w:p>
        </w:tc>
        <w:tc>
          <w:tcPr>
            <w:tcW w:w="1418" w:type="dxa"/>
            <w:vMerge w:val="continue"/>
            <w:shd w:val="clear" w:color="auto" w:fill="F1CEEE" w:themeFill="accent5" w:themeFillTint="33"/>
          </w:tcPr>
          <w:p w14:paraId="424E16C0">
            <w:pPr>
              <w:jc w:val="center"/>
              <w:rPr>
                <w:rFonts w:cs="Times New Roman"/>
                <w:szCs w:val="24"/>
                <w:lang w:bidi="ar"/>
              </w:rPr>
            </w:pPr>
          </w:p>
        </w:tc>
        <w:tc>
          <w:tcPr>
            <w:tcW w:w="11486" w:type="dxa"/>
            <w:gridSpan w:val="4"/>
            <w:shd w:val="clear" w:color="auto" w:fill="F1CEEE" w:themeFill="accent5" w:themeFillTint="33"/>
          </w:tcPr>
          <w:p w14:paraId="48CBAB00">
            <w:pPr>
              <w:jc w:val="left"/>
              <w:rPr>
                <w:rFonts w:cs="Times New Roman"/>
                <w:szCs w:val="24"/>
              </w:rPr>
            </w:pPr>
            <w:r>
              <w:rPr>
                <w:rFonts w:cs="Times New Roman"/>
                <w:szCs w:val="24"/>
              </w:rPr>
              <w:t>3.6.3高危患者须经医生审慎评估并可能酌情调整。</w:t>
            </w:r>
          </w:p>
        </w:tc>
      </w:tr>
      <w:tr w14:paraId="5CBD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72F0CDDC">
            <w:pPr>
              <w:jc w:val="center"/>
              <w:rPr>
                <w:rFonts w:cs="Times New Roman"/>
                <w:szCs w:val="24"/>
                <w:lang w:bidi="ar"/>
              </w:rPr>
            </w:pPr>
          </w:p>
        </w:tc>
        <w:tc>
          <w:tcPr>
            <w:tcW w:w="1418" w:type="dxa"/>
            <w:vMerge w:val="continue"/>
            <w:shd w:val="clear" w:color="auto" w:fill="F1CEEE" w:themeFill="accent5" w:themeFillTint="33"/>
          </w:tcPr>
          <w:p w14:paraId="1B165BD9">
            <w:pPr>
              <w:jc w:val="center"/>
              <w:rPr>
                <w:rFonts w:cs="Times New Roman"/>
                <w:szCs w:val="24"/>
                <w:lang w:bidi="ar"/>
              </w:rPr>
            </w:pPr>
          </w:p>
        </w:tc>
        <w:tc>
          <w:tcPr>
            <w:tcW w:w="11486" w:type="dxa"/>
            <w:gridSpan w:val="4"/>
            <w:shd w:val="clear" w:color="auto" w:fill="F1CEEE" w:themeFill="accent5" w:themeFillTint="33"/>
          </w:tcPr>
          <w:p w14:paraId="43CE4F1A">
            <w:pPr>
              <w:jc w:val="left"/>
              <w:rPr>
                <w:rFonts w:cs="Times New Roman"/>
                <w:szCs w:val="24"/>
              </w:rPr>
            </w:pPr>
            <w:r>
              <w:rPr>
                <w:rFonts w:cs="Times New Roman"/>
                <w:szCs w:val="24"/>
              </w:rPr>
              <w:t>3.6.4训练前应进行5-10分钟热身活动（如慢走、关节活动、动态拉伸、缓慢深呼吸、胸廓扩张练习等），Borg评分不超过2分；训练后应进行5–10分钟整理活动（如逐步降强度行走、静态拉伸、缓慢呼吸、胸廓放松等），重点监测心率与血压的平稳回落。</w:t>
            </w:r>
          </w:p>
        </w:tc>
      </w:tr>
      <w:tr w14:paraId="0FEF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68FBE187">
            <w:pPr>
              <w:jc w:val="center"/>
              <w:rPr>
                <w:rFonts w:cs="Times New Roman"/>
                <w:szCs w:val="24"/>
                <w:lang w:bidi="ar"/>
              </w:rPr>
            </w:pPr>
          </w:p>
        </w:tc>
        <w:tc>
          <w:tcPr>
            <w:tcW w:w="1418" w:type="dxa"/>
            <w:vMerge w:val="restart"/>
            <w:shd w:val="clear" w:color="auto" w:fill="F1CEEE" w:themeFill="accent5" w:themeFillTint="33"/>
          </w:tcPr>
          <w:p w14:paraId="2207ED3C">
            <w:pPr>
              <w:jc w:val="center"/>
              <w:rPr>
                <w:rFonts w:cs="Times New Roman"/>
                <w:szCs w:val="24"/>
                <w:lang w:bidi="ar"/>
              </w:rPr>
            </w:pPr>
            <w:r>
              <w:rPr>
                <w:rFonts w:cs="Times New Roman"/>
                <w:szCs w:val="24"/>
              </w:rPr>
              <w:t>3.7暂停指征</w:t>
            </w:r>
          </w:p>
        </w:tc>
        <w:tc>
          <w:tcPr>
            <w:tcW w:w="11486" w:type="dxa"/>
            <w:gridSpan w:val="4"/>
            <w:shd w:val="clear" w:color="auto" w:fill="F1CEEE" w:themeFill="accent5" w:themeFillTint="33"/>
          </w:tcPr>
          <w:p w14:paraId="2524CD92">
            <w:pPr>
              <w:jc w:val="left"/>
              <w:rPr>
                <w:rFonts w:cs="Times New Roman"/>
                <w:szCs w:val="24"/>
              </w:rPr>
            </w:pPr>
            <w:r>
              <w:rPr>
                <w:rFonts w:cs="Times New Roman"/>
                <w:szCs w:val="24"/>
              </w:rPr>
              <w:t>3.7.1运动中出现明显不适，无法耐受时（如胸痛、呼吸困难、头晕、黑矇、晕厥等）应立即停止运动锻炼。</w:t>
            </w:r>
          </w:p>
        </w:tc>
      </w:tr>
      <w:tr w14:paraId="781E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65613F06">
            <w:pPr>
              <w:jc w:val="center"/>
              <w:rPr>
                <w:rFonts w:cs="Times New Roman"/>
                <w:szCs w:val="24"/>
                <w:lang w:bidi="ar"/>
              </w:rPr>
            </w:pPr>
          </w:p>
        </w:tc>
        <w:tc>
          <w:tcPr>
            <w:tcW w:w="1418" w:type="dxa"/>
            <w:vMerge w:val="continue"/>
            <w:shd w:val="clear" w:color="auto" w:fill="F1CEEE" w:themeFill="accent5" w:themeFillTint="33"/>
          </w:tcPr>
          <w:p w14:paraId="5EBBA7E3">
            <w:pPr>
              <w:jc w:val="center"/>
              <w:rPr>
                <w:rFonts w:cs="Times New Roman"/>
                <w:szCs w:val="24"/>
                <w:lang w:bidi="ar"/>
              </w:rPr>
            </w:pPr>
          </w:p>
        </w:tc>
        <w:tc>
          <w:tcPr>
            <w:tcW w:w="11486" w:type="dxa"/>
            <w:gridSpan w:val="4"/>
            <w:shd w:val="clear" w:color="auto" w:fill="F1CEEE" w:themeFill="accent5" w:themeFillTint="33"/>
          </w:tcPr>
          <w:p w14:paraId="6024A015">
            <w:pPr>
              <w:jc w:val="left"/>
              <w:rPr>
                <w:rFonts w:cs="Times New Roman"/>
                <w:szCs w:val="24"/>
              </w:rPr>
            </w:pPr>
            <w:r>
              <w:rPr>
                <w:rFonts w:cs="Times New Roman"/>
                <w:szCs w:val="24"/>
                <w:lang w:bidi="ar"/>
              </w:rPr>
              <w:t>3.7.2运动时应使用设备（如指脉氧仪、可穿戴电子设备等）监测血氧饱和度（SpO₂）和心率（条件允许时扩展检测血压，呼吸频率等指标），若运动中生命体征出现不平稳应立即停止运动；若 SpO₂ 下降超过5%，立即停止运动并补充氧疗。</w:t>
            </w:r>
          </w:p>
        </w:tc>
      </w:tr>
      <w:tr w14:paraId="686A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36B2AFE1">
            <w:pPr>
              <w:jc w:val="center"/>
              <w:rPr>
                <w:rFonts w:cs="Times New Roman"/>
                <w:szCs w:val="24"/>
                <w:lang w:bidi="ar"/>
              </w:rPr>
            </w:pPr>
          </w:p>
        </w:tc>
        <w:tc>
          <w:tcPr>
            <w:tcW w:w="1418" w:type="dxa"/>
            <w:vMerge w:val="restart"/>
            <w:shd w:val="clear" w:color="auto" w:fill="F1CEEE" w:themeFill="accent5" w:themeFillTint="33"/>
          </w:tcPr>
          <w:p w14:paraId="5129696C">
            <w:pPr>
              <w:jc w:val="center"/>
              <w:rPr>
                <w:rFonts w:cs="Times New Roman"/>
                <w:szCs w:val="24"/>
              </w:rPr>
            </w:pPr>
            <w:r>
              <w:rPr>
                <w:rFonts w:cs="Times New Roman"/>
                <w:szCs w:val="24"/>
              </w:rPr>
              <w:t>3.8海拔梯度调整</w:t>
            </w:r>
          </w:p>
        </w:tc>
        <w:tc>
          <w:tcPr>
            <w:tcW w:w="11486" w:type="dxa"/>
            <w:gridSpan w:val="4"/>
            <w:shd w:val="clear" w:color="auto" w:fill="F1CEEE" w:themeFill="accent5" w:themeFillTint="33"/>
          </w:tcPr>
          <w:p w14:paraId="3CBE37AB">
            <w:pPr>
              <w:jc w:val="left"/>
              <w:rPr>
                <w:rFonts w:cs="Times New Roman"/>
                <w:szCs w:val="24"/>
              </w:rPr>
            </w:pPr>
            <w:r>
              <w:rPr>
                <w:rFonts w:cs="Times New Roman"/>
                <w:szCs w:val="24"/>
                <w:lang w:bidi="ar"/>
              </w:rPr>
              <w:t xml:space="preserve">3.8.1基准：此方案设定以西宁地区海拔为基准(2261米)，所有运动处方均需基于患者当前居住地或训练地的海拔高度进行制定和调整。 </w:t>
            </w:r>
          </w:p>
        </w:tc>
      </w:tr>
      <w:tr w14:paraId="50A7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5397DB42">
            <w:pPr>
              <w:jc w:val="center"/>
              <w:rPr>
                <w:rFonts w:cs="Times New Roman"/>
                <w:szCs w:val="24"/>
                <w:lang w:bidi="ar"/>
              </w:rPr>
            </w:pPr>
          </w:p>
        </w:tc>
        <w:tc>
          <w:tcPr>
            <w:tcW w:w="1418" w:type="dxa"/>
            <w:vMerge w:val="continue"/>
            <w:shd w:val="clear" w:color="auto" w:fill="F1CEEE" w:themeFill="accent5" w:themeFillTint="33"/>
          </w:tcPr>
          <w:p w14:paraId="03C35C08">
            <w:pPr>
              <w:jc w:val="center"/>
              <w:rPr>
                <w:rFonts w:cs="Times New Roman"/>
                <w:szCs w:val="24"/>
                <w:lang w:bidi="ar"/>
              </w:rPr>
            </w:pPr>
          </w:p>
        </w:tc>
        <w:tc>
          <w:tcPr>
            <w:tcW w:w="11486" w:type="dxa"/>
            <w:gridSpan w:val="4"/>
            <w:shd w:val="clear" w:color="auto" w:fill="F1CEEE" w:themeFill="accent5" w:themeFillTint="33"/>
          </w:tcPr>
          <w:p w14:paraId="78AE4557">
            <w:pPr>
              <w:jc w:val="left"/>
              <w:rPr>
                <w:rFonts w:cs="Times New Roman"/>
                <w:szCs w:val="24"/>
              </w:rPr>
            </w:pPr>
            <w:r>
              <w:rPr>
                <w:rFonts w:cs="Times New Roman"/>
                <w:szCs w:val="24"/>
                <w:lang w:bidi="ar"/>
              </w:rPr>
              <w:t>3.8.2原则：</w:t>
            </w:r>
            <w:r>
              <w:rPr>
                <w:rFonts w:cs="Times New Roman"/>
                <w:szCs w:val="24"/>
              </w:rPr>
              <w:t>以不引起明显不适为度。调整建议：</w:t>
            </w:r>
            <w:r>
              <w:rPr>
                <w:rFonts w:cs="Times New Roman"/>
                <w:szCs w:val="24"/>
                <w:lang w:bidi="ar"/>
              </w:rPr>
              <w:t>海拔2000-2500米，参照基准实施；海拔2500-3000米，建议运动强度和运动时长下调至基准的80%-90%；海拔3000-4000米，建议运动强度和运动时长下调至基准的60%-80%。</w:t>
            </w:r>
          </w:p>
        </w:tc>
      </w:tr>
      <w:tr w14:paraId="4658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1CEEE" w:themeFill="accent5" w:themeFillTint="33"/>
            <w:vAlign w:val="center"/>
          </w:tcPr>
          <w:p w14:paraId="36C79CD8">
            <w:pPr>
              <w:jc w:val="center"/>
              <w:rPr>
                <w:rFonts w:cs="Times New Roman"/>
                <w:szCs w:val="24"/>
                <w:lang w:bidi="ar"/>
              </w:rPr>
            </w:pPr>
          </w:p>
        </w:tc>
        <w:tc>
          <w:tcPr>
            <w:tcW w:w="1418" w:type="dxa"/>
            <w:vMerge w:val="continue"/>
            <w:shd w:val="clear" w:color="auto" w:fill="F1CEEE" w:themeFill="accent5" w:themeFillTint="33"/>
          </w:tcPr>
          <w:p w14:paraId="22D8E43C">
            <w:pPr>
              <w:jc w:val="center"/>
              <w:rPr>
                <w:rFonts w:cs="Times New Roman"/>
                <w:szCs w:val="24"/>
                <w:lang w:bidi="ar"/>
              </w:rPr>
            </w:pPr>
          </w:p>
        </w:tc>
        <w:tc>
          <w:tcPr>
            <w:tcW w:w="11486" w:type="dxa"/>
            <w:gridSpan w:val="4"/>
            <w:shd w:val="clear" w:color="auto" w:fill="F1CEEE" w:themeFill="accent5" w:themeFillTint="33"/>
          </w:tcPr>
          <w:p w14:paraId="75B89C7F">
            <w:pPr>
              <w:jc w:val="left"/>
              <w:rPr>
                <w:rFonts w:cs="Times New Roman"/>
                <w:szCs w:val="24"/>
              </w:rPr>
            </w:pPr>
            <w:r>
              <w:rPr>
                <w:rFonts w:cs="Times New Roman"/>
                <w:szCs w:val="24"/>
                <w:lang w:bidi="ar"/>
              </w:rPr>
              <w:t>3.8.3极高海拔地区（＞4000米）以日常生活活动、呼吸功能锻炼为主，有氧和抗阻训练需经医生严密评估和指导。</w:t>
            </w:r>
          </w:p>
        </w:tc>
      </w:tr>
      <w:tr w14:paraId="279F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D1D1D1" w:themeFill="background2" w:themeFillShade="E6"/>
            <w:vAlign w:val="center"/>
          </w:tcPr>
          <w:p w14:paraId="549818F0">
            <w:pPr>
              <w:jc w:val="center"/>
              <w:rPr>
                <w:rFonts w:cs="Times New Roman"/>
                <w:szCs w:val="24"/>
                <w:lang w:bidi="ar"/>
              </w:rPr>
            </w:pPr>
            <w:r>
              <w:rPr>
                <w:rFonts w:cs="Times New Roman"/>
                <w:szCs w:val="24"/>
                <w:lang w:bidi="ar"/>
              </w:rPr>
              <w:t>4 健康教育</w:t>
            </w:r>
          </w:p>
        </w:tc>
        <w:tc>
          <w:tcPr>
            <w:tcW w:w="1418" w:type="dxa"/>
            <w:vMerge w:val="restart"/>
            <w:shd w:val="clear" w:color="auto" w:fill="D1D1D1" w:themeFill="background2" w:themeFillShade="E6"/>
            <w:vAlign w:val="center"/>
          </w:tcPr>
          <w:p w14:paraId="5C1D133C">
            <w:pPr>
              <w:jc w:val="center"/>
              <w:rPr>
                <w:rFonts w:cs="Times New Roman"/>
                <w:szCs w:val="24"/>
                <w:lang w:bidi="ar"/>
              </w:rPr>
            </w:pPr>
            <w:r>
              <w:rPr>
                <w:rFonts w:cs="Times New Roman"/>
                <w:szCs w:val="24"/>
                <w:lang w:bidi="ar"/>
              </w:rPr>
              <w:t>4.1氧疗指导</w:t>
            </w:r>
          </w:p>
        </w:tc>
        <w:tc>
          <w:tcPr>
            <w:tcW w:w="11486" w:type="dxa"/>
            <w:gridSpan w:val="4"/>
            <w:shd w:val="clear" w:color="auto" w:fill="D1D1D1" w:themeFill="background2" w:themeFillShade="E6"/>
            <w:vAlign w:val="center"/>
          </w:tcPr>
          <w:p w14:paraId="6277C3CE">
            <w:pPr>
              <w:jc w:val="left"/>
              <w:rPr>
                <w:rFonts w:cs="Times New Roman"/>
                <w:szCs w:val="24"/>
              </w:rPr>
            </w:pPr>
            <w:r>
              <w:rPr>
                <w:rFonts w:cs="Times New Roman"/>
                <w:szCs w:val="24"/>
                <w:lang w:bidi="ar"/>
              </w:rPr>
              <w:t>4.1.1对存在运动中低氧血症的患者，在运动过程中补充氧气，但不应对所有肺康复患者常规补充氧气。</w:t>
            </w:r>
          </w:p>
        </w:tc>
      </w:tr>
      <w:tr w14:paraId="6F91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312F1C50">
            <w:pPr>
              <w:jc w:val="center"/>
              <w:rPr>
                <w:rFonts w:cs="Times New Roman"/>
                <w:szCs w:val="24"/>
                <w:lang w:bidi="ar"/>
              </w:rPr>
            </w:pPr>
          </w:p>
        </w:tc>
        <w:tc>
          <w:tcPr>
            <w:tcW w:w="1418" w:type="dxa"/>
            <w:vMerge w:val="continue"/>
            <w:shd w:val="clear" w:color="auto" w:fill="D1D1D1" w:themeFill="background2" w:themeFillShade="E6"/>
            <w:vAlign w:val="center"/>
          </w:tcPr>
          <w:p w14:paraId="775DEAC6">
            <w:pPr>
              <w:jc w:val="center"/>
              <w:rPr>
                <w:rFonts w:cs="Times New Roman"/>
                <w:szCs w:val="24"/>
                <w:lang w:bidi="ar"/>
              </w:rPr>
            </w:pPr>
          </w:p>
        </w:tc>
        <w:tc>
          <w:tcPr>
            <w:tcW w:w="11486" w:type="dxa"/>
            <w:gridSpan w:val="4"/>
            <w:shd w:val="clear" w:color="auto" w:fill="D1D1D1" w:themeFill="background2" w:themeFillShade="E6"/>
            <w:vAlign w:val="center"/>
          </w:tcPr>
          <w:p w14:paraId="6904933B">
            <w:pPr>
              <w:jc w:val="left"/>
              <w:rPr>
                <w:rFonts w:cs="Times New Roman"/>
                <w:szCs w:val="24"/>
              </w:rPr>
            </w:pPr>
            <w:r>
              <w:rPr>
                <w:rFonts w:cs="Times New Roman"/>
                <w:szCs w:val="24"/>
                <w:lang w:bidi="ar"/>
              </w:rPr>
              <w:t>4.1.2存在静息性低氧血症的患者，每日氧疗时间≥15小时，氧流量2-4 L/min，目标：维持SpO₂较吸氧前提升＞5%以上。</w:t>
            </w:r>
          </w:p>
        </w:tc>
      </w:tr>
      <w:tr w14:paraId="36EC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2FAFE0D3">
            <w:pPr>
              <w:jc w:val="center"/>
              <w:rPr>
                <w:rFonts w:cs="Times New Roman"/>
                <w:szCs w:val="24"/>
                <w:lang w:bidi="ar"/>
              </w:rPr>
            </w:pPr>
          </w:p>
        </w:tc>
        <w:tc>
          <w:tcPr>
            <w:tcW w:w="1418" w:type="dxa"/>
            <w:vMerge w:val="restart"/>
            <w:shd w:val="clear" w:color="auto" w:fill="D1D1D1" w:themeFill="background2" w:themeFillShade="E6"/>
            <w:vAlign w:val="center"/>
          </w:tcPr>
          <w:p w14:paraId="78EDE0B9">
            <w:pPr>
              <w:jc w:val="center"/>
              <w:rPr>
                <w:rFonts w:cs="Times New Roman"/>
                <w:szCs w:val="24"/>
                <w:lang w:bidi="ar"/>
              </w:rPr>
            </w:pPr>
            <w:r>
              <w:rPr>
                <w:rFonts w:cs="Times New Roman"/>
                <w:szCs w:val="24"/>
                <w:lang w:bidi="ar"/>
              </w:rPr>
              <w:t>4.2气道廓清指导</w:t>
            </w:r>
          </w:p>
        </w:tc>
        <w:tc>
          <w:tcPr>
            <w:tcW w:w="11486" w:type="dxa"/>
            <w:gridSpan w:val="4"/>
            <w:shd w:val="clear" w:color="auto" w:fill="D1D1D1" w:themeFill="background2" w:themeFillShade="E6"/>
            <w:vAlign w:val="center"/>
          </w:tcPr>
          <w:p w14:paraId="58D322D9">
            <w:pPr>
              <w:jc w:val="left"/>
              <w:rPr>
                <w:rFonts w:cs="Times New Roman"/>
                <w:szCs w:val="24"/>
              </w:rPr>
            </w:pPr>
            <w:r>
              <w:rPr>
                <w:rFonts w:cs="Times New Roman"/>
                <w:szCs w:val="24"/>
                <w:lang w:bidi="ar"/>
              </w:rPr>
              <w:t>4.2.1对于存在分泌物潴留而不能咳出的患者依据患者病情选择性使用气道廓清技术。</w:t>
            </w:r>
          </w:p>
        </w:tc>
      </w:tr>
      <w:tr w14:paraId="36C7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36580369">
            <w:pPr>
              <w:jc w:val="center"/>
              <w:rPr>
                <w:rFonts w:cs="Times New Roman"/>
                <w:szCs w:val="24"/>
                <w:lang w:bidi="ar"/>
              </w:rPr>
            </w:pPr>
          </w:p>
        </w:tc>
        <w:tc>
          <w:tcPr>
            <w:tcW w:w="1418" w:type="dxa"/>
            <w:vMerge w:val="continue"/>
            <w:shd w:val="clear" w:color="auto" w:fill="D1D1D1" w:themeFill="background2" w:themeFillShade="E6"/>
            <w:vAlign w:val="center"/>
          </w:tcPr>
          <w:p w14:paraId="6987A617">
            <w:pPr>
              <w:jc w:val="center"/>
              <w:rPr>
                <w:rFonts w:cs="Times New Roman"/>
                <w:szCs w:val="24"/>
                <w:lang w:bidi="ar"/>
              </w:rPr>
            </w:pPr>
          </w:p>
        </w:tc>
        <w:tc>
          <w:tcPr>
            <w:tcW w:w="11486" w:type="dxa"/>
            <w:gridSpan w:val="4"/>
            <w:shd w:val="clear" w:color="auto" w:fill="D1D1D1" w:themeFill="background2" w:themeFillShade="E6"/>
            <w:vAlign w:val="center"/>
          </w:tcPr>
          <w:p w14:paraId="13FB9D1F">
            <w:pPr>
              <w:jc w:val="left"/>
              <w:rPr>
                <w:rFonts w:cs="Times New Roman"/>
                <w:szCs w:val="24"/>
              </w:rPr>
            </w:pPr>
            <w:r>
              <w:rPr>
                <w:rFonts w:cs="Times New Roman"/>
                <w:szCs w:val="24"/>
                <w:lang w:bidi="ar"/>
              </w:rPr>
              <w:t>4.2.2 技术：用力呼气技术、主动循环呼吸技术（ACBT）、呼气正压（PEP）技术等。</w:t>
            </w:r>
          </w:p>
        </w:tc>
      </w:tr>
      <w:tr w14:paraId="40D0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193FA9DF">
            <w:pPr>
              <w:jc w:val="center"/>
              <w:rPr>
                <w:rFonts w:cs="Times New Roman"/>
                <w:szCs w:val="24"/>
                <w:lang w:bidi="ar"/>
              </w:rPr>
            </w:pPr>
          </w:p>
        </w:tc>
        <w:tc>
          <w:tcPr>
            <w:tcW w:w="1418" w:type="dxa"/>
            <w:vMerge w:val="restart"/>
            <w:shd w:val="clear" w:color="auto" w:fill="D1D1D1" w:themeFill="background2" w:themeFillShade="E6"/>
            <w:vAlign w:val="center"/>
          </w:tcPr>
          <w:p w14:paraId="3D881EE9">
            <w:pPr>
              <w:jc w:val="center"/>
              <w:rPr>
                <w:rFonts w:cs="Times New Roman"/>
                <w:szCs w:val="24"/>
                <w:lang w:bidi="ar"/>
              </w:rPr>
            </w:pPr>
            <w:r>
              <w:rPr>
                <w:rFonts w:cs="Times New Roman"/>
                <w:szCs w:val="24"/>
                <w:lang w:bidi="ar"/>
              </w:rPr>
              <w:t>4.3 营养指导</w:t>
            </w:r>
          </w:p>
        </w:tc>
        <w:tc>
          <w:tcPr>
            <w:tcW w:w="11486" w:type="dxa"/>
            <w:gridSpan w:val="4"/>
            <w:shd w:val="clear" w:color="auto" w:fill="D1D1D1" w:themeFill="background2" w:themeFillShade="E6"/>
            <w:vAlign w:val="center"/>
          </w:tcPr>
          <w:p w14:paraId="2A169EA6">
            <w:pPr>
              <w:jc w:val="left"/>
              <w:rPr>
                <w:rFonts w:cs="Times New Roman"/>
                <w:szCs w:val="24"/>
              </w:rPr>
            </w:pPr>
            <w:r>
              <w:rPr>
                <w:rFonts w:cs="Times New Roman"/>
                <w:szCs w:val="24"/>
                <w:lang w:bidi="ar"/>
              </w:rPr>
              <w:t>4.3.1 根据心功能分级实施差异化能量支持：稳定期（WHO-FC I-II级）患者每日提供30-35 kcal/kg（理想体重），重度及心衰期（WHO-FC III-IV级）患者提高至35-40 kcal/kg，以对抗高代谢状态并预防营养不良。（可借助营养计算类应用程序进行估算）</w:t>
            </w:r>
          </w:p>
        </w:tc>
      </w:tr>
      <w:tr w14:paraId="26B5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2C8C9983">
            <w:pPr>
              <w:jc w:val="center"/>
              <w:rPr>
                <w:rFonts w:cs="Times New Roman"/>
                <w:szCs w:val="24"/>
                <w:lang w:bidi="ar"/>
              </w:rPr>
            </w:pPr>
          </w:p>
        </w:tc>
        <w:tc>
          <w:tcPr>
            <w:tcW w:w="1418" w:type="dxa"/>
            <w:vMerge w:val="continue"/>
            <w:shd w:val="clear" w:color="auto" w:fill="D1D1D1" w:themeFill="background2" w:themeFillShade="E6"/>
            <w:vAlign w:val="center"/>
          </w:tcPr>
          <w:p w14:paraId="28E9EFFD">
            <w:pPr>
              <w:jc w:val="center"/>
              <w:rPr>
                <w:rFonts w:cs="Times New Roman"/>
                <w:szCs w:val="24"/>
                <w:lang w:bidi="ar"/>
              </w:rPr>
            </w:pPr>
          </w:p>
        </w:tc>
        <w:tc>
          <w:tcPr>
            <w:tcW w:w="11486" w:type="dxa"/>
            <w:gridSpan w:val="4"/>
            <w:shd w:val="clear" w:color="auto" w:fill="D1D1D1" w:themeFill="background2" w:themeFillShade="E6"/>
            <w:vAlign w:val="center"/>
          </w:tcPr>
          <w:p w14:paraId="31A875A2">
            <w:pPr>
              <w:jc w:val="left"/>
              <w:rPr>
                <w:rFonts w:cs="Times New Roman"/>
                <w:szCs w:val="24"/>
              </w:rPr>
            </w:pPr>
            <w:r>
              <w:rPr>
                <w:rFonts w:cs="Times New Roman"/>
                <w:szCs w:val="24"/>
                <w:lang w:bidi="ar"/>
              </w:rPr>
              <w:t>4.3.2每日蛋白质摄入1.2-1.5 g/kg （理想体重），优先选择优质蛋白（鱼、肉、蛋、奶、豆制品等）。</w:t>
            </w:r>
          </w:p>
        </w:tc>
      </w:tr>
      <w:tr w14:paraId="5B15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1E2BD5F4">
            <w:pPr>
              <w:jc w:val="center"/>
              <w:rPr>
                <w:rFonts w:cs="Times New Roman"/>
                <w:szCs w:val="24"/>
                <w:lang w:bidi="ar"/>
              </w:rPr>
            </w:pPr>
          </w:p>
        </w:tc>
        <w:tc>
          <w:tcPr>
            <w:tcW w:w="1418" w:type="dxa"/>
            <w:vMerge w:val="continue"/>
            <w:shd w:val="clear" w:color="auto" w:fill="D1D1D1" w:themeFill="background2" w:themeFillShade="E6"/>
            <w:vAlign w:val="center"/>
          </w:tcPr>
          <w:p w14:paraId="12BBB3BB">
            <w:pPr>
              <w:jc w:val="center"/>
              <w:rPr>
                <w:rFonts w:cs="Times New Roman"/>
                <w:szCs w:val="24"/>
                <w:lang w:bidi="ar"/>
              </w:rPr>
            </w:pPr>
          </w:p>
        </w:tc>
        <w:tc>
          <w:tcPr>
            <w:tcW w:w="11486" w:type="dxa"/>
            <w:gridSpan w:val="4"/>
            <w:shd w:val="clear" w:color="auto" w:fill="D1D1D1" w:themeFill="background2" w:themeFillShade="E6"/>
            <w:vAlign w:val="center"/>
          </w:tcPr>
          <w:p w14:paraId="45EAC85A">
            <w:pPr>
              <w:jc w:val="left"/>
              <w:rPr>
                <w:rFonts w:cs="Times New Roman"/>
                <w:szCs w:val="24"/>
              </w:rPr>
            </w:pPr>
            <w:r>
              <w:rPr>
                <w:rFonts w:cs="Times New Roman"/>
                <w:szCs w:val="24"/>
                <w:lang w:bidi="ar"/>
              </w:rPr>
              <w:t>4.3.3 少食多餐，以3~5餐/天为宜。</w:t>
            </w:r>
          </w:p>
        </w:tc>
      </w:tr>
      <w:tr w14:paraId="67B2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4FB1FCBA">
            <w:pPr>
              <w:jc w:val="center"/>
              <w:rPr>
                <w:rFonts w:cs="Times New Roman"/>
                <w:szCs w:val="24"/>
                <w:lang w:bidi="ar"/>
              </w:rPr>
            </w:pPr>
          </w:p>
        </w:tc>
        <w:tc>
          <w:tcPr>
            <w:tcW w:w="1418" w:type="dxa"/>
            <w:vMerge w:val="continue"/>
            <w:shd w:val="clear" w:color="auto" w:fill="D1D1D1" w:themeFill="background2" w:themeFillShade="E6"/>
            <w:vAlign w:val="center"/>
          </w:tcPr>
          <w:p w14:paraId="7A393B24">
            <w:pPr>
              <w:jc w:val="center"/>
              <w:rPr>
                <w:rFonts w:cs="Times New Roman"/>
                <w:szCs w:val="24"/>
                <w:lang w:bidi="ar"/>
              </w:rPr>
            </w:pPr>
          </w:p>
        </w:tc>
        <w:tc>
          <w:tcPr>
            <w:tcW w:w="11486" w:type="dxa"/>
            <w:gridSpan w:val="4"/>
            <w:shd w:val="clear" w:color="auto" w:fill="D1D1D1" w:themeFill="background2" w:themeFillShade="E6"/>
            <w:vAlign w:val="center"/>
          </w:tcPr>
          <w:p w14:paraId="009ED08A">
            <w:pPr>
              <w:jc w:val="left"/>
              <w:rPr>
                <w:rFonts w:cs="Times New Roman"/>
                <w:szCs w:val="24"/>
              </w:rPr>
            </w:pPr>
            <w:r>
              <w:rPr>
                <w:rFonts w:cs="Times New Roman"/>
                <w:szCs w:val="24"/>
                <w:lang w:bidi="ar"/>
              </w:rPr>
              <w:t>4.3.4合并糖尿病、高血压、肾病、肥胖等疾病的患者，需由主治医师和营养师根据病情变化进行动态调整。</w:t>
            </w:r>
          </w:p>
        </w:tc>
      </w:tr>
      <w:tr w14:paraId="6FF8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553C92BE">
            <w:pPr>
              <w:jc w:val="center"/>
              <w:rPr>
                <w:rFonts w:cs="Times New Roman"/>
                <w:szCs w:val="24"/>
                <w:lang w:bidi="ar"/>
              </w:rPr>
            </w:pPr>
          </w:p>
        </w:tc>
        <w:tc>
          <w:tcPr>
            <w:tcW w:w="1418" w:type="dxa"/>
            <w:vMerge w:val="restart"/>
            <w:shd w:val="clear" w:color="auto" w:fill="D1D1D1" w:themeFill="background2" w:themeFillShade="E6"/>
            <w:vAlign w:val="center"/>
          </w:tcPr>
          <w:p w14:paraId="0FD66C3A">
            <w:pPr>
              <w:jc w:val="center"/>
              <w:rPr>
                <w:rFonts w:cs="Times New Roman"/>
                <w:szCs w:val="24"/>
                <w:lang w:bidi="ar"/>
              </w:rPr>
            </w:pPr>
            <w:r>
              <w:rPr>
                <w:rFonts w:cs="Times New Roman"/>
                <w:szCs w:val="24"/>
                <w:lang w:bidi="ar"/>
              </w:rPr>
              <w:t>4.4 药物管理与依从性教育</w:t>
            </w:r>
          </w:p>
        </w:tc>
        <w:tc>
          <w:tcPr>
            <w:tcW w:w="11486" w:type="dxa"/>
            <w:gridSpan w:val="4"/>
            <w:shd w:val="clear" w:color="auto" w:fill="D1D1D1" w:themeFill="background2" w:themeFillShade="E6"/>
            <w:vAlign w:val="center"/>
          </w:tcPr>
          <w:p w14:paraId="3002A172">
            <w:pPr>
              <w:jc w:val="left"/>
              <w:rPr>
                <w:rFonts w:cs="Times New Roman"/>
                <w:szCs w:val="24"/>
              </w:rPr>
            </w:pPr>
            <w:r>
              <w:rPr>
                <w:rFonts w:cs="Times New Roman"/>
                <w:szCs w:val="24"/>
                <w:lang w:bidi="ar"/>
              </w:rPr>
              <w:t>4.4.1教育患者遵循 “定时、定量、定法、定疗程” 的服药原则，严禁自行停药或改量，所有药物调整必须由医生在随访评估后决定。</w:t>
            </w:r>
          </w:p>
        </w:tc>
      </w:tr>
      <w:tr w14:paraId="3BEA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282CED7C">
            <w:pPr>
              <w:jc w:val="center"/>
              <w:rPr>
                <w:rFonts w:cs="Times New Roman"/>
                <w:szCs w:val="24"/>
                <w:lang w:bidi="ar"/>
              </w:rPr>
            </w:pPr>
          </w:p>
        </w:tc>
        <w:tc>
          <w:tcPr>
            <w:tcW w:w="1418" w:type="dxa"/>
            <w:vMerge w:val="continue"/>
            <w:shd w:val="clear" w:color="auto" w:fill="D1D1D1" w:themeFill="background2" w:themeFillShade="E6"/>
            <w:vAlign w:val="center"/>
          </w:tcPr>
          <w:p w14:paraId="5E9F80D7">
            <w:pPr>
              <w:jc w:val="center"/>
              <w:rPr>
                <w:rFonts w:cs="Times New Roman"/>
                <w:szCs w:val="24"/>
                <w:lang w:bidi="ar"/>
              </w:rPr>
            </w:pPr>
          </w:p>
        </w:tc>
        <w:tc>
          <w:tcPr>
            <w:tcW w:w="11486" w:type="dxa"/>
            <w:gridSpan w:val="4"/>
            <w:shd w:val="clear" w:color="auto" w:fill="D1D1D1" w:themeFill="background2" w:themeFillShade="E6"/>
            <w:vAlign w:val="center"/>
          </w:tcPr>
          <w:p w14:paraId="281EAD4C">
            <w:pPr>
              <w:jc w:val="left"/>
              <w:rPr>
                <w:rFonts w:cs="Times New Roman"/>
                <w:szCs w:val="24"/>
              </w:rPr>
            </w:pPr>
            <w:r>
              <w:rPr>
                <w:rFonts w:cs="Times New Roman"/>
                <w:szCs w:val="24"/>
                <w:lang w:bidi="ar"/>
              </w:rPr>
              <w:t>4.4.2告知患者药物常见副作用及需要立即就医的严重副作用指征（如晕厥、严重低血压等）。</w:t>
            </w:r>
          </w:p>
        </w:tc>
      </w:tr>
      <w:tr w14:paraId="5320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3F87C7F9">
            <w:pPr>
              <w:jc w:val="center"/>
              <w:rPr>
                <w:rFonts w:cs="Times New Roman"/>
                <w:szCs w:val="24"/>
                <w:lang w:bidi="ar"/>
              </w:rPr>
            </w:pPr>
          </w:p>
        </w:tc>
        <w:tc>
          <w:tcPr>
            <w:tcW w:w="1418" w:type="dxa"/>
            <w:vMerge w:val="continue"/>
            <w:shd w:val="clear" w:color="auto" w:fill="D1D1D1" w:themeFill="background2" w:themeFillShade="E6"/>
            <w:vAlign w:val="center"/>
          </w:tcPr>
          <w:p w14:paraId="570F7F56">
            <w:pPr>
              <w:jc w:val="center"/>
              <w:rPr>
                <w:rFonts w:cs="Times New Roman"/>
                <w:szCs w:val="24"/>
                <w:lang w:bidi="ar"/>
              </w:rPr>
            </w:pPr>
          </w:p>
        </w:tc>
        <w:tc>
          <w:tcPr>
            <w:tcW w:w="11486" w:type="dxa"/>
            <w:gridSpan w:val="4"/>
            <w:shd w:val="clear" w:color="auto" w:fill="D1D1D1" w:themeFill="background2" w:themeFillShade="E6"/>
            <w:vAlign w:val="center"/>
          </w:tcPr>
          <w:p w14:paraId="0894E4F5">
            <w:pPr>
              <w:jc w:val="left"/>
              <w:rPr>
                <w:rFonts w:cs="Times New Roman"/>
                <w:szCs w:val="24"/>
              </w:rPr>
            </w:pPr>
            <w:r>
              <w:rPr>
                <w:rFonts w:cs="Times New Roman"/>
                <w:szCs w:val="24"/>
                <w:lang w:bidi="ar"/>
              </w:rPr>
              <w:t>4.4.3提醒患者在服用任何新药前，需咨询医生或药师，避免药物相互作用。</w:t>
            </w:r>
          </w:p>
        </w:tc>
      </w:tr>
      <w:tr w14:paraId="5F9B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14B3E142">
            <w:pPr>
              <w:jc w:val="center"/>
              <w:rPr>
                <w:rFonts w:cs="Times New Roman"/>
                <w:szCs w:val="24"/>
                <w:lang w:bidi="ar"/>
              </w:rPr>
            </w:pPr>
          </w:p>
        </w:tc>
        <w:tc>
          <w:tcPr>
            <w:tcW w:w="1418" w:type="dxa"/>
            <w:vMerge w:val="restart"/>
            <w:shd w:val="clear" w:color="auto" w:fill="D1D1D1" w:themeFill="background2" w:themeFillShade="E6"/>
            <w:vAlign w:val="center"/>
          </w:tcPr>
          <w:p w14:paraId="3BFE61D4">
            <w:pPr>
              <w:jc w:val="center"/>
              <w:rPr>
                <w:rFonts w:cs="Times New Roman"/>
                <w:szCs w:val="24"/>
                <w:lang w:bidi="ar"/>
              </w:rPr>
            </w:pPr>
            <w:r>
              <w:rPr>
                <w:rFonts w:cs="Times New Roman"/>
                <w:szCs w:val="24"/>
                <w:lang w:bidi="ar"/>
              </w:rPr>
              <w:t>4.5生活方式指导</w:t>
            </w:r>
          </w:p>
        </w:tc>
        <w:tc>
          <w:tcPr>
            <w:tcW w:w="11486" w:type="dxa"/>
            <w:gridSpan w:val="4"/>
            <w:shd w:val="clear" w:color="auto" w:fill="D1D1D1" w:themeFill="background2" w:themeFillShade="E6"/>
            <w:vAlign w:val="center"/>
          </w:tcPr>
          <w:p w14:paraId="28FBD15E">
            <w:pPr>
              <w:jc w:val="left"/>
              <w:rPr>
                <w:rFonts w:cs="Times New Roman"/>
                <w:szCs w:val="24"/>
              </w:rPr>
            </w:pPr>
            <w:r>
              <w:rPr>
                <w:rFonts w:cs="Times New Roman"/>
                <w:szCs w:val="24"/>
                <w:lang w:bidi="ar"/>
              </w:rPr>
              <w:t>4.5.1指导患者规律作息，改善睡眠质量，在日间合理分配体力，避免过度疲劳。</w:t>
            </w:r>
          </w:p>
        </w:tc>
      </w:tr>
      <w:tr w14:paraId="35E8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75C7F221">
            <w:pPr>
              <w:jc w:val="center"/>
              <w:rPr>
                <w:rFonts w:cs="Times New Roman"/>
                <w:szCs w:val="24"/>
                <w:lang w:bidi="ar"/>
              </w:rPr>
            </w:pPr>
          </w:p>
        </w:tc>
        <w:tc>
          <w:tcPr>
            <w:tcW w:w="1418" w:type="dxa"/>
            <w:vMerge w:val="continue"/>
            <w:shd w:val="clear" w:color="auto" w:fill="D1D1D1" w:themeFill="background2" w:themeFillShade="E6"/>
            <w:vAlign w:val="center"/>
          </w:tcPr>
          <w:p w14:paraId="12A0C27E">
            <w:pPr>
              <w:jc w:val="center"/>
              <w:rPr>
                <w:rFonts w:cs="Times New Roman"/>
                <w:szCs w:val="24"/>
                <w:lang w:bidi="ar"/>
              </w:rPr>
            </w:pPr>
          </w:p>
        </w:tc>
        <w:tc>
          <w:tcPr>
            <w:tcW w:w="11486" w:type="dxa"/>
            <w:gridSpan w:val="4"/>
            <w:shd w:val="clear" w:color="auto" w:fill="D1D1D1" w:themeFill="background2" w:themeFillShade="E6"/>
            <w:vAlign w:val="center"/>
          </w:tcPr>
          <w:p w14:paraId="3C5221D5">
            <w:pPr>
              <w:jc w:val="left"/>
              <w:rPr>
                <w:rFonts w:cs="Times New Roman"/>
                <w:szCs w:val="24"/>
              </w:rPr>
            </w:pPr>
            <w:r>
              <w:rPr>
                <w:rFonts w:cs="Times New Roman"/>
                <w:szCs w:val="24"/>
                <w:lang w:bidi="ar"/>
              </w:rPr>
              <w:t>4.5.2鼓励患者在身体允许的条件下，逐步恢复适度的社交活动与兴趣爱好，促进心理健康与社会角色再适应。</w:t>
            </w:r>
          </w:p>
        </w:tc>
      </w:tr>
      <w:tr w14:paraId="6494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3C7B5B02">
            <w:pPr>
              <w:jc w:val="center"/>
              <w:rPr>
                <w:rFonts w:cs="Times New Roman"/>
                <w:szCs w:val="24"/>
                <w:lang w:bidi="ar"/>
              </w:rPr>
            </w:pPr>
          </w:p>
        </w:tc>
        <w:tc>
          <w:tcPr>
            <w:tcW w:w="1418" w:type="dxa"/>
            <w:vMerge w:val="restart"/>
            <w:shd w:val="clear" w:color="auto" w:fill="D1D1D1" w:themeFill="background2" w:themeFillShade="E6"/>
            <w:vAlign w:val="center"/>
          </w:tcPr>
          <w:p w14:paraId="57462575">
            <w:pPr>
              <w:jc w:val="center"/>
              <w:rPr>
                <w:rFonts w:cs="Times New Roman"/>
                <w:szCs w:val="24"/>
                <w:lang w:bidi="ar"/>
              </w:rPr>
            </w:pPr>
            <w:r>
              <w:rPr>
                <w:rFonts w:cs="Times New Roman"/>
                <w:szCs w:val="24"/>
                <w:lang w:bidi="ar"/>
              </w:rPr>
              <w:t>4.6实施方式</w:t>
            </w:r>
          </w:p>
        </w:tc>
        <w:tc>
          <w:tcPr>
            <w:tcW w:w="11486" w:type="dxa"/>
            <w:gridSpan w:val="4"/>
            <w:shd w:val="clear" w:color="auto" w:fill="D1D1D1" w:themeFill="background2" w:themeFillShade="E6"/>
            <w:vAlign w:val="center"/>
          </w:tcPr>
          <w:p w14:paraId="3917E40D">
            <w:pPr>
              <w:jc w:val="left"/>
              <w:rPr>
                <w:rFonts w:cs="Times New Roman"/>
                <w:szCs w:val="24"/>
              </w:rPr>
            </w:pPr>
            <w:r>
              <w:rPr>
                <w:rFonts w:cs="Times New Roman"/>
                <w:szCs w:val="24"/>
                <w:lang w:bidi="ar"/>
              </w:rPr>
              <w:t>4.6.1通过面对面指导或者借助宣教手册、线上平台（微信群、短视频平台、小程序等）、社区活动，定期家访等多元化渠道进行健康指导。</w:t>
            </w:r>
          </w:p>
        </w:tc>
      </w:tr>
      <w:tr w14:paraId="4683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D1D1D1" w:themeFill="background2" w:themeFillShade="E6"/>
            <w:vAlign w:val="center"/>
          </w:tcPr>
          <w:p w14:paraId="368FB296">
            <w:pPr>
              <w:jc w:val="center"/>
              <w:rPr>
                <w:rFonts w:cs="Times New Roman"/>
                <w:szCs w:val="24"/>
                <w:lang w:bidi="ar"/>
              </w:rPr>
            </w:pPr>
          </w:p>
        </w:tc>
        <w:tc>
          <w:tcPr>
            <w:tcW w:w="1418" w:type="dxa"/>
            <w:vMerge w:val="continue"/>
            <w:shd w:val="clear" w:color="auto" w:fill="D1D1D1" w:themeFill="background2" w:themeFillShade="E6"/>
            <w:vAlign w:val="center"/>
          </w:tcPr>
          <w:p w14:paraId="41C2F989">
            <w:pPr>
              <w:jc w:val="center"/>
              <w:rPr>
                <w:rFonts w:cs="Times New Roman"/>
                <w:szCs w:val="24"/>
                <w:lang w:bidi="ar"/>
              </w:rPr>
            </w:pPr>
          </w:p>
        </w:tc>
        <w:tc>
          <w:tcPr>
            <w:tcW w:w="11486" w:type="dxa"/>
            <w:gridSpan w:val="4"/>
            <w:shd w:val="clear" w:color="auto" w:fill="D1D1D1" w:themeFill="background2" w:themeFillShade="E6"/>
            <w:vAlign w:val="center"/>
          </w:tcPr>
          <w:p w14:paraId="6FEBDCD3">
            <w:pPr>
              <w:jc w:val="left"/>
              <w:rPr>
                <w:rFonts w:cs="Times New Roman"/>
                <w:szCs w:val="24"/>
              </w:rPr>
            </w:pPr>
            <w:r>
              <w:rPr>
                <w:rFonts w:cs="Times New Roman"/>
                <w:szCs w:val="24"/>
                <w:lang w:bidi="ar"/>
              </w:rPr>
              <w:t>4.6.2教育方式需因地制宜、因人而异，综合考量患者的居住地环境、知识接受能力、家庭支持情况及文化背景，确保指导的可行性与有效性。</w:t>
            </w:r>
          </w:p>
        </w:tc>
      </w:tr>
      <w:tr w14:paraId="75A0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F4EDAE"/>
            <w:vAlign w:val="center"/>
          </w:tcPr>
          <w:p w14:paraId="09C72D5A">
            <w:pPr>
              <w:jc w:val="center"/>
              <w:rPr>
                <w:rFonts w:cs="Times New Roman"/>
                <w:szCs w:val="24"/>
                <w:lang w:bidi="ar"/>
              </w:rPr>
            </w:pPr>
            <w:r>
              <w:rPr>
                <w:rFonts w:cs="Times New Roman"/>
                <w:szCs w:val="24"/>
                <w:lang w:bidi="ar"/>
              </w:rPr>
              <w:t>5 心理支持</w:t>
            </w:r>
          </w:p>
        </w:tc>
        <w:tc>
          <w:tcPr>
            <w:tcW w:w="1418" w:type="dxa"/>
            <w:shd w:val="clear" w:color="auto" w:fill="F4EDAE"/>
            <w:vAlign w:val="center"/>
          </w:tcPr>
          <w:p w14:paraId="39238593">
            <w:pPr>
              <w:jc w:val="center"/>
              <w:rPr>
                <w:rFonts w:cs="Times New Roman"/>
                <w:szCs w:val="24"/>
                <w:lang w:bidi="ar"/>
              </w:rPr>
            </w:pPr>
            <w:r>
              <w:rPr>
                <w:rFonts w:cs="Times New Roman"/>
                <w:szCs w:val="24"/>
                <w:lang w:bidi="ar"/>
              </w:rPr>
              <w:t>5.1 心理状态评估</w:t>
            </w:r>
          </w:p>
        </w:tc>
        <w:tc>
          <w:tcPr>
            <w:tcW w:w="11486" w:type="dxa"/>
            <w:gridSpan w:val="4"/>
            <w:shd w:val="clear" w:color="auto" w:fill="F4EDAE"/>
            <w:vAlign w:val="center"/>
          </w:tcPr>
          <w:p w14:paraId="22C834DE">
            <w:pPr>
              <w:jc w:val="left"/>
              <w:rPr>
                <w:rFonts w:cs="Times New Roman"/>
                <w:szCs w:val="24"/>
                <w:lang w:bidi="ar"/>
              </w:rPr>
            </w:pPr>
            <w:r>
              <w:rPr>
                <w:rFonts w:cs="Times New Roman"/>
                <w:szCs w:val="24"/>
                <w:lang w:bidi="ar"/>
              </w:rPr>
              <w:t>5.1.1评估患者心理状态，对评估中存在中重度焦虑、抑郁的患者由心理咨询师进行专业干预。</w:t>
            </w:r>
          </w:p>
        </w:tc>
      </w:tr>
      <w:tr w14:paraId="103E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4EDAE"/>
            <w:vAlign w:val="center"/>
          </w:tcPr>
          <w:p w14:paraId="37FE3FBA">
            <w:pPr>
              <w:jc w:val="center"/>
              <w:rPr>
                <w:rFonts w:cs="Times New Roman"/>
                <w:szCs w:val="24"/>
                <w:lang w:bidi="ar"/>
              </w:rPr>
            </w:pPr>
          </w:p>
        </w:tc>
        <w:tc>
          <w:tcPr>
            <w:tcW w:w="1418" w:type="dxa"/>
            <w:vMerge w:val="restart"/>
            <w:shd w:val="clear" w:color="auto" w:fill="F4EDAE"/>
            <w:vAlign w:val="center"/>
          </w:tcPr>
          <w:p w14:paraId="30B9B73B">
            <w:pPr>
              <w:jc w:val="center"/>
              <w:rPr>
                <w:rFonts w:cs="Times New Roman"/>
                <w:szCs w:val="24"/>
                <w:lang w:bidi="ar"/>
              </w:rPr>
            </w:pPr>
            <w:r>
              <w:rPr>
                <w:rFonts w:cs="Times New Roman"/>
                <w:szCs w:val="24"/>
                <w:lang w:bidi="ar"/>
              </w:rPr>
              <w:t>5.2心理赋能</w:t>
            </w:r>
          </w:p>
        </w:tc>
        <w:tc>
          <w:tcPr>
            <w:tcW w:w="11486" w:type="dxa"/>
            <w:gridSpan w:val="4"/>
            <w:shd w:val="clear" w:color="auto" w:fill="F4EDAE"/>
            <w:vAlign w:val="center"/>
          </w:tcPr>
          <w:p w14:paraId="5FB72620">
            <w:pPr>
              <w:jc w:val="left"/>
              <w:rPr>
                <w:rFonts w:cs="Times New Roman"/>
                <w:szCs w:val="24"/>
              </w:rPr>
            </w:pPr>
            <w:r>
              <w:rPr>
                <w:rFonts w:cs="Times New Roman"/>
                <w:szCs w:val="24"/>
                <w:lang w:bidi="ar"/>
              </w:rPr>
              <w:t>5.2.1正向激励：对完成阶段性目标的患者给予表扬，对未完成的患者探讨障碍并给予鼓励，增强患者的依从性。</w:t>
            </w:r>
          </w:p>
        </w:tc>
      </w:tr>
      <w:tr w14:paraId="2B45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4EDAE"/>
            <w:vAlign w:val="center"/>
          </w:tcPr>
          <w:p w14:paraId="4C0212CD">
            <w:pPr>
              <w:jc w:val="center"/>
              <w:rPr>
                <w:rFonts w:cs="Times New Roman"/>
                <w:szCs w:val="24"/>
                <w:lang w:bidi="ar"/>
              </w:rPr>
            </w:pPr>
          </w:p>
        </w:tc>
        <w:tc>
          <w:tcPr>
            <w:tcW w:w="1418" w:type="dxa"/>
            <w:vMerge w:val="continue"/>
            <w:shd w:val="clear" w:color="auto" w:fill="F4EDAE"/>
            <w:vAlign w:val="center"/>
          </w:tcPr>
          <w:p w14:paraId="06981858">
            <w:pPr>
              <w:jc w:val="center"/>
              <w:rPr>
                <w:rFonts w:cs="Times New Roman"/>
                <w:szCs w:val="24"/>
                <w:lang w:bidi="ar"/>
              </w:rPr>
            </w:pPr>
          </w:p>
        </w:tc>
        <w:tc>
          <w:tcPr>
            <w:tcW w:w="11486" w:type="dxa"/>
            <w:gridSpan w:val="4"/>
            <w:shd w:val="clear" w:color="auto" w:fill="F4EDAE"/>
            <w:vAlign w:val="center"/>
          </w:tcPr>
          <w:p w14:paraId="13EAA197">
            <w:pPr>
              <w:jc w:val="left"/>
              <w:rPr>
                <w:rFonts w:cs="Times New Roman"/>
                <w:szCs w:val="24"/>
              </w:rPr>
            </w:pPr>
            <w:r>
              <w:rPr>
                <w:rFonts w:cs="Times New Roman"/>
                <w:szCs w:val="24"/>
                <w:lang w:bidi="ar"/>
              </w:rPr>
              <w:t>5.2.2同伴教育：鼓励患者之间相互交流，分享个人肺康复体验。</w:t>
            </w:r>
          </w:p>
        </w:tc>
      </w:tr>
      <w:tr w14:paraId="61F3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4EDAE"/>
            <w:vAlign w:val="center"/>
          </w:tcPr>
          <w:p w14:paraId="3467AE6B">
            <w:pPr>
              <w:jc w:val="center"/>
              <w:rPr>
                <w:rFonts w:cs="Times New Roman"/>
                <w:szCs w:val="24"/>
                <w:lang w:bidi="ar"/>
              </w:rPr>
            </w:pPr>
          </w:p>
        </w:tc>
        <w:tc>
          <w:tcPr>
            <w:tcW w:w="1418" w:type="dxa"/>
            <w:vMerge w:val="continue"/>
            <w:shd w:val="clear" w:color="auto" w:fill="F4EDAE"/>
            <w:vAlign w:val="center"/>
          </w:tcPr>
          <w:p w14:paraId="089B0575">
            <w:pPr>
              <w:jc w:val="center"/>
              <w:rPr>
                <w:rFonts w:cs="Times New Roman"/>
                <w:szCs w:val="24"/>
                <w:lang w:bidi="ar"/>
              </w:rPr>
            </w:pPr>
          </w:p>
        </w:tc>
        <w:tc>
          <w:tcPr>
            <w:tcW w:w="11486" w:type="dxa"/>
            <w:gridSpan w:val="4"/>
            <w:shd w:val="clear" w:color="auto" w:fill="F4EDAE"/>
            <w:vAlign w:val="center"/>
          </w:tcPr>
          <w:p w14:paraId="3E2D1107">
            <w:pPr>
              <w:jc w:val="left"/>
              <w:rPr>
                <w:rFonts w:cs="Times New Roman"/>
                <w:szCs w:val="24"/>
              </w:rPr>
            </w:pPr>
            <w:r>
              <w:rPr>
                <w:rFonts w:cs="Times New Roman"/>
                <w:szCs w:val="24"/>
                <w:lang w:bidi="ar"/>
              </w:rPr>
              <w:t>5.2.3家属支持：鼓励并指导家属给予患者有效的情感支持和心理关怀。</w:t>
            </w:r>
          </w:p>
        </w:tc>
      </w:tr>
      <w:tr w14:paraId="55C5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4EDAE"/>
            <w:vAlign w:val="center"/>
          </w:tcPr>
          <w:p w14:paraId="42E8630B">
            <w:pPr>
              <w:jc w:val="center"/>
              <w:rPr>
                <w:rFonts w:cs="Times New Roman"/>
                <w:szCs w:val="24"/>
                <w:lang w:bidi="ar"/>
              </w:rPr>
            </w:pPr>
          </w:p>
        </w:tc>
        <w:tc>
          <w:tcPr>
            <w:tcW w:w="1418" w:type="dxa"/>
            <w:shd w:val="clear" w:color="auto" w:fill="F4EDAE"/>
            <w:vAlign w:val="center"/>
          </w:tcPr>
          <w:p w14:paraId="682C7F73">
            <w:pPr>
              <w:jc w:val="center"/>
              <w:rPr>
                <w:rFonts w:cs="Times New Roman"/>
                <w:szCs w:val="24"/>
                <w:lang w:bidi="ar"/>
              </w:rPr>
            </w:pPr>
            <w:r>
              <w:rPr>
                <w:rFonts w:cs="Times New Roman"/>
                <w:szCs w:val="24"/>
                <w:lang w:bidi="ar"/>
              </w:rPr>
              <w:t>5.3 应对策略训练</w:t>
            </w:r>
          </w:p>
        </w:tc>
        <w:tc>
          <w:tcPr>
            <w:tcW w:w="11486" w:type="dxa"/>
            <w:gridSpan w:val="4"/>
            <w:shd w:val="clear" w:color="auto" w:fill="F4EDAE"/>
            <w:vAlign w:val="center"/>
          </w:tcPr>
          <w:p w14:paraId="0E22528B">
            <w:pPr>
              <w:jc w:val="left"/>
              <w:rPr>
                <w:rFonts w:cs="Times New Roman"/>
                <w:szCs w:val="24"/>
              </w:rPr>
            </w:pPr>
            <w:r>
              <w:rPr>
                <w:rFonts w:cs="Times New Roman"/>
                <w:szCs w:val="24"/>
                <w:lang w:bidi="ar"/>
              </w:rPr>
              <w:t>5.3.1教授患者简易应对技巧，如放松训练（例如腹式呼吸放松法、渐进式肌肉放松），注意力转移（例如听音乐、简单手工）等用于缓解急性焦虑、紧张等不适感。</w:t>
            </w:r>
          </w:p>
        </w:tc>
      </w:tr>
      <w:tr w14:paraId="074C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shd w:val="clear" w:color="auto" w:fill="FAE2D5" w:themeFill="accent2" w:themeFillTint="33"/>
            <w:vAlign w:val="center"/>
          </w:tcPr>
          <w:p w14:paraId="118CC51A">
            <w:pPr>
              <w:jc w:val="center"/>
              <w:rPr>
                <w:rFonts w:cs="Times New Roman"/>
                <w:szCs w:val="24"/>
                <w:lang w:bidi="ar"/>
              </w:rPr>
            </w:pPr>
            <w:r>
              <w:rPr>
                <w:rFonts w:cs="Times New Roman"/>
                <w:szCs w:val="24"/>
                <w:lang w:bidi="ar"/>
              </w:rPr>
              <w:t>6随访管理</w:t>
            </w:r>
          </w:p>
        </w:tc>
        <w:tc>
          <w:tcPr>
            <w:tcW w:w="1418" w:type="dxa"/>
            <w:vMerge w:val="restart"/>
            <w:shd w:val="clear" w:color="auto" w:fill="FAE2D5" w:themeFill="accent2" w:themeFillTint="33"/>
            <w:vAlign w:val="center"/>
          </w:tcPr>
          <w:p w14:paraId="172F2F5E">
            <w:pPr>
              <w:jc w:val="center"/>
              <w:rPr>
                <w:rFonts w:cs="Times New Roman"/>
                <w:szCs w:val="24"/>
                <w:lang w:bidi="ar"/>
              </w:rPr>
            </w:pPr>
            <w:r>
              <w:rPr>
                <w:rFonts w:cs="Times New Roman"/>
                <w:szCs w:val="24"/>
                <w:lang w:bidi="ar"/>
              </w:rPr>
              <w:t>6.1随访内容</w:t>
            </w:r>
          </w:p>
        </w:tc>
        <w:tc>
          <w:tcPr>
            <w:tcW w:w="11486" w:type="dxa"/>
            <w:gridSpan w:val="4"/>
            <w:shd w:val="clear" w:color="auto" w:fill="FAE2D5" w:themeFill="accent2" w:themeFillTint="33"/>
            <w:vAlign w:val="center"/>
          </w:tcPr>
          <w:p w14:paraId="0838D4E9">
            <w:pPr>
              <w:jc w:val="left"/>
              <w:rPr>
                <w:rFonts w:cs="Times New Roman"/>
                <w:szCs w:val="24"/>
                <w:lang w:bidi="ar"/>
              </w:rPr>
            </w:pPr>
            <w:r>
              <w:rPr>
                <w:rFonts w:cs="Times New Roman"/>
                <w:szCs w:val="24"/>
                <w:lang w:bidi="ar"/>
              </w:rPr>
              <w:t>6.1.1 必查项目：</w:t>
            </w:r>
            <w:r>
              <w:rPr>
                <w:rFonts w:ascii="Cambria Math" w:hAnsi="Cambria Math" w:cs="Cambria Math"/>
                <w:szCs w:val="24"/>
                <w:lang w:bidi="ar"/>
              </w:rPr>
              <w:t>①</w:t>
            </w:r>
            <w:r>
              <w:rPr>
                <w:rFonts w:cs="Times New Roman"/>
                <w:szCs w:val="24"/>
                <w:lang w:bidi="ar"/>
              </w:rPr>
              <w:t xml:space="preserve"> 功能与症状：6分钟步行距离、呼吸困难评分、心功能分级、日常生活活动能力、焦虑抑郁评分</w:t>
            </w:r>
            <w:r>
              <w:rPr>
                <w:rFonts w:hint="eastAsia" w:cs="Times New Roman"/>
                <w:szCs w:val="24"/>
                <w:lang w:bidi="ar"/>
              </w:rPr>
              <w:t>、营养状态</w:t>
            </w:r>
            <w:r>
              <w:rPr>
                <w:rFonts w:cs="Times New Roman"/>
                <w:szCs w:val="24"/>
                <w:lang w:bidi="ar"/>
              </w:rPr>
              <w:t>。</w:t>
            </w:r>
            <w:r>
              <w:rPr>
                <w:rFonts w:ascii="Cambria Math" w:hAnsi="Cambria Math" w:cs="Cambria Math"/>
                <w:szCs w:val="24"/>
                <w:lang w:bidi="ar"/>
              </w:rPr>
              <w:t>②</w:t>
            </w:r>
            <w:r>
              <w:rPr>
                <w:rFonts w:cs="Times New Roman"/>
                <w:szCs w:val="24"/>
                <w:lang w:bidi="ar"/>
              </w:rPr>
              <w:t xml:space="preserve"> 生理指标：静息及运动后血氧饱和度（SpO₂）、心率、血压、体重。</w:t>
            </w:r>
            <w:r>
              <w:rPr>
                <w:rFonts w:ascii="Cambria Math" w:hAnsi="Cambria Math" w:cs="Cambria Math"/>
                <w:szCs w:val="24"/>
                <w:lang w:bidi="ar"/>
              </w:rPr>
              <w:t>③</w:t>
            </w:r>
            <w:r>
              <w:rPr>
                <w:rFonts w:cs="Times New Roman"/>
                <w:szCs w:val="24"/>
                <w:lang w:bidi="ar"/>
              </w:rPr>
              <w:t xml:space="preserve"> 自我管理：药物依从性、家庭氧疗执行情况、症状变化情况、康复训练完成率。</w:t>
            </w:r>
            <w:r>
              <w:rPr>
                <w:rFonts w:ascii="Cambria Math" w:hAnsi="Cambria Math" w:cs="Cambria Math"/>
                <w:szCs w:val="24"/>
                <w:lang w:bidi="ar"/>
              </w:rPr>
              <w:t>④</w:t>
            </w:r>
            <w:r>
              <w:rPr>
                <w:rFonts w:cs="Times New Roman"/>
                <w:szCs w:val="24"/>
                <w:lang w:bidi="ar"/>
              </w:rPr>
              <w:t> 生活质量：生活质量调查量表。</w:t>
            </w:r>
            <w:r>
              <w:rPr>
                <w:rFonts w:ascii="Cambria Math" w:hAnsi="Cambria Math" w:cs="Cambria Math"/>
                <w:szCs w:val="24"/>
                <w:lang w:bidi="ar"/>
              </w:rPr>
              <w:t>⑤</w:t>
            </w:r>
            <w:r>
              <w:rPr>
                <w:rFonts w:cs="Times New Roman"/>
                <w:szCs w:val="24"/>
                <w:lang w:bidi="ar"/>
              </w:rPr>
              <w:t xml:space="preserve"> 满意度反馈。（综合患者自身情况选择性评估）</w:t>
            </w:r>
          </w:p>
        </w:tc>
      </w:tr>
      <w:tr w14:paraId="2FA0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AE2D5" w:themeFill="accent2" w:themeFillTint="33"/>
            <w:vAlign w:val="center"/>
          </w:tcPr>
          <w:p w14:paraId="22674BC3">
            <w:pPr>
              <w:jc w:val="center"/>
              <w:rPr>
                <w:rFonts w:cs="Times New Roman"/>
                <w:szCs w:val="24"/>
                <w:lang w:bidi="ar"/>
              </w:rPr>
            </w:pPr>
          </w:p>
        </w:tc>
        <w:tc>
          <w:tcPr>
            <w:tcW w:w="1418" w:type="dxa"/>
            <w:vMerge w:val="continue"/>
            <w:shd w:val="clear" w:color="auto" w:fill="FAE2D5" w:themeFill="accent2" w:themeFillTint="33"/>
            <w:vAlign w:val="center"/>
          </w:tcPr>
          <w:p w14:paraId="6FD245D6">
            <w:pPr>
              <w:jc w:val="center"/>
              <w:rPr>
                <w:rFonts w:cs="Times New Roman"/>
                <w:szCs w:val="24"/>
                <w:lang w:bidi="ar"/>
              </w:rPr>
            </w:pPr>
          </w:p>
        </w:tc>
        <w:tc>
          <w:tcPr>
            <w:tcW w:w="11486" w:type="dxa"/>
            <w:gridSpan w:val="4"/>
            <w:shd w:val="clear" w:color="auto" w:fill="FAE2D5" w:themeFill="accent2" w:themeFillTint="33"/>
            <w:vAlign w:val="center"/>
          </w:tcPr>
          <w:p w14:paraId="70CE2650">
            <w:pPr>
              <w:jc w:val="left"/>
              <w:rPr>
                <w:rFonts w:cs="Times New Roman"/>
                <w:szCs w:val="24"/>
                <w:lang w:bidi="ar"/>
              </w:rPr>
            </w:pPr>
            <w:r>
              <w:rPr>
                <w:rFonts w:cs="Times New Roman"/>
                <w:szCs w:val="24"/>
                <w:lang w:bidi="ar"/>
              </w:rPr>
              <w:t>6.1.2 推荐选查项目（根据临床需要在医院复查时选择进行）：超声心动图、心肺运动试验、实验室检查（</w:t>
            </w:r>
            <w:r>
              <w:rPr>
                <w:rFonts w:hint="eastAsia" w:cs="Times New Roman"/>
                <w:szCs w:val="24"/>
                <w:lang w:bidi="ar"/>
              </w:rPr>
              <w:t>BNP或NT-proBNP、</w:t>
            </w:r>
            <w:r>
              <w:rPr>
                <w:rFonts w:cs="Times New Roman"/>
                <w:szCs w:val="24"/>
                <w:lang w:bidi="ar"/>
              </w:rPr>
              <w:t>血常规、血生化、生物标志物等）、</w:t>
            </w:r>
            <w:r>
              <w:rPr>
                <w:rFonts w:hint="eastAsia" w:cs="Times New Roman"/>
                <w:szCs w:val="24"/>
                <w:lang w:bidi="ar"/>
              </w:rPr>
              <w:t>右心导管检查、</w:t>
            </w:r>
            <w:r>
              <w:rPr>
                <w:rFonts w:cs="Times New Roman"/>
                <w:szCs w:val="24"/>
                <w:lang w:bidi="ar"/>
              </w:rPr>
              <w:t>外周肌肉力量等。</w:t>
            </w:r>
          </w:p>
        </w:tc>
      </w:tr>
      <w:tr w14:paraId="5559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AE2D5" w:themeFill="accent2" w:themeFillTint="33"/>
            <w:vAlign w:val="center"/>
          </w:tcPr>
          <w:p w14:paraId="46694409">
            <w:pPr>
              <w:jc w:val="center"/>
              <w:rPr>
                <w:rFonts w:cs="Times New Roman"/>
                <w:szCs w:val="24"/>
                <w:lang w:bidi="ar"/>
              </w:rPr>
            </w:pPr>
          </w:p>
        </w:tc>
        <w:tc>
          <w:tcPr>
            <w:tcW w:w="1418" w:type="dxa"/>
            <w:vMerge w:val="restart"/>
            <w:shd w:val="clear" w:color="auto" w:fill="FAE2D5" w:themeFill="accent2" w:themeFillTint="33"/>
            <w:vAlign w:val="center"/>
          </w:tcPr>
          <w:p w14:paraId="487A79C3">
            <w:pPr>
              <w:jc w:val="center"/>
              <w:rPr>
                <w:rFonts w:cs="Times New Roman"/>
                <w:szCs w:val="24"/>
                <w:lang w:bidi="ar"/>
              </w:rPr>
            </w:pPr>
            <w:r>
              <w:rPr>
                <w:rFonts w:cs="Times New Roman"/>
                <w:szCs w:val="24"/>
                <w:lang w:bidi="ar"/>
              </w:rPr>
              <w:t>6.2随访频次</w:t>
            </w:r>
          </w:p>
        </w:tc>
        <w:tc>
          <w:tcPr>
            <w:tcW w:w="11486" w:type="dxa"/>
            <w:gridSpan w:val="4"/>
            <w:shd w:val="clear" w:color="auto" w:fill="FAE2D5" w:themeFill="accent2" w:themeFillTint="33"/>
            <w:vAlign w:val="center"/>
          </w:tcPr>
          <w:p w14:paraId="1D9E1A0A">
            <w:pPr>
              <w:jc w:val="left"/>
              <w:rPr>
                <w:rFonts w:cs="Times New Roman"/>
                <w:szCs w:val="24"/>
                <w:lang w:bidi="ar"/>
              </w:rPr>
            </w:pPr>
            <w:r>
              <w:rPr>
                <w:rFonts w:cs="Times New Roman"/>
                <w:szCs w:val="24"/>
                <w:lang w:bidi="ar"/>
              </w:rPr>
              <w:t>6.2.1每 3~6 个月随访评估1次。</w:t>
            </w:r>
          </w:p>
        </w:tc>
      </w:tr>
      <w:tr w14:paraId="0671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AE2D5" w:themeFill="accent2" w:themeFillTint="33"/>
            <w:vAlign w:val="center"/>
          </w:tcPr>
          <w:p w14:paraId="6CC961B3">
            <w:pPr>
              <w:jc w:val="center"/>
              <w:rPr>
                <w:rFonts w:cs="Times New Roman"/>
                <w:szCs w:val="24"/>
                <w:lang w:bidi="ar"/>
              </w:rPr>
            </w:pPr>
          </w:p>
        </w:tc>
        <w:tc>
          <w:tcPr>
            <w:tcW w:w="1418" w:type="dxa"/>
            <w:vMerge w:val="continue"/>
            <w:shd w:val="clear" w:color="auto" w:fill="FAE2D5" w:themeFill="accent2" w:themeFillTint="33"/>
            <w:vAlign w:val="center"/>
          </w:tcPr>
          <w:p w14:paraId="04B613AE">
            <w:pPr>
              <w:jc w:val="center"/>
              <w:rPr>
                <w:rFonts w:cs="Times New Roman"/>
                <w:szCs w:val="24"/>
                <w:lang w:bidi="ar"/>
              </w:rPr>
            </w:pPr>
          </w:p>
        </w:tc>
        <w:tc>
          <w:tcPr>
            <w:tcW w:w="11486" w:type="dxa"/>
            <w:gridSpan w:val="4"/>
            <w:shd w:val="clear" w:color="auto" w:fill="FAE2D5" w:themeFill="accent2" w:themeFillTint="33"/>
            <w:vAlign w:val="center"/>
          </w:tcPr>
          <w:p w14:paraId="581DB33B">
            <w:pPr>
              <w:jc w:val="left"/>
              <w:rPr>
                <w:rFonts w:cs="Times New Roman"/>
                <w:szCs w:val="24"/>
                <w:lang w:bidi="ar"/>
              </w:rPr>
            </w:pPr>
            <w:r>
              <w:rPr>
                <w:rFonts w:cs="Times New Roman"/>
                <w:szCs w:val="24"/>
                <w:lang w:bidi="ar"/>
              </w:rPr>
              <w:t>6.2.2病情不稳定或出现新发/加重症状，立即前往医院复诊。</w:t>
            </w:r>
          </w:p>
        </w:tc>
      </w:tr>
      <w:tr w14:paraId="7447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AE2D5" w:themeFill="accent2" w:themeFillTint="33"/>
            <w:vAlign w:val="center"/>
          </w:tcPr>
          <w:p w14:paraId="550777F8">
            <w:pPr>
              <w:jc w:val="center"/>
              <w:rPr>
                <w:rFonts w:cs="Times New Roman"/>
                <w:szCs w:val="24"/>
                <w:lang w:bidi="ar"/>
              </w:rPr>
            </w:pPr>
          </w:p>
        </w:tc>
        <w:tc>
          <w:tcPr>
            <w:tcW w:w="1418" w:type="dxa"/>
            <w:vMerge w:val="restart"/>
            <w:shd w:val="clear" w:color="auto" w:fill="FAE2D5" w:themeFill="accent2" w:themeFillTint="33"/>
            <w:vAlign w:val="center"/>
          </w:tcPr>
          <w:p w14:paraId="79EF2CB0">
            <w:pPr>
              <w:jc w:val="center"/>
              <w:rPr>
                <w:rFonts w:cs="Times New Roman"/>
                <w:szCs w:val="24"/>
                <w:lang w:bidi="ar"/>
              </w:rPr>
            </w:pPr>
            <w:r>
              <w:rPr>
                <w:rFonts w:cs="Times New Roman"/>
                <w:szCs w:val="24"/>
                <w:lang w:bidi="ar"/>
              </w:rPr>
              <w:t>6.3随访方式</w:t>
            </w:r>
          </w:p>
        </w:tc>
        <w:tc>
          <w:tcPr>
            <w:tcW w:w="11486" w:type="dxa"/>
            <w:gridSpan w:val="4"/>
            <w:shd w:val="clear" w:color="auto" w:fill="FAE2D5" w:themeFill="accent2" w:themeFillTint="33"/>
            <w:vAlign w:val="center"/>
          </w:tcPr>
          <w:p w14:paraId="67925804">
            <w:pPr>
              <w:jc w:val="left"/>
              <w:rPr>
                <w:rFonts w:cs="Times New Roman"/>
                <w:szCs w:val="24"/>
                <w:lang w:bidi="ar"/>
              </w:rPr>
            </w:pPr>
            <w:r>
              <w:rPr>
                <w:rFonts w:cs="Times New Roman"/>
                <w:szCs w:val="24"/>
                <w:lang w:bidi="ar"/>
              </w:rPr>
              <w:t>6.3.1高危/不稳定患者：以“医院复查”为核心，“社区/家庭随访”提供紧密支持，“线上随访” 进行日常监测。</w:t>
            </w:r>
          </w:p>
        </w:tc>
      </w:tr>
      <w:tr w14:paraId="4E95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AE2D5" w:themeFill="accent2" w:themeFillTint="33"/>
            <w:vAlign w:val="center"/>
          </w:tcPr>
          <w:p w14:paraId="7780B926">
            <w:pPr>
              <w:jc w:val="center"/>
              <w:rPr>
                <w:rFonts w:cs="Times New Roman"/>
                <w:szCs w:val="24"/>
                <w:lang w:bidi="ar"/>
              </w:rPr>
            </w:pPr>
          </w:p>
        </w:tc>
        <w:tc>
          <w:tcPr>
            <w:tcW w:w="1418" w:type="dxa"/>
            <w:vMerge w:val="continue"/>
            <w:shd w:val="clear" w:color="auto" w:fill="FAE2D5" w:themeFill="accent2" w:themeFillTint="33"/>
            <w:vAlign w:val="center"/>
          </w:tcPr>
          <w:p w14:paraId="204BED4E">
            <w:pPr>
              <w:jc w:val="center"/>
              <w:rPr>
                <w:rFonts w:cs="Times New Roman"/>
                <w:szCs w:val="24"/>
                <w:lang w:bidi="ar"/>
              </w:rPr>
            </w:pPr>
          </w:p>
        </w:tc>
        <w:tc>
          <w:tcPr>
            <w:tcW w:w="11486" w:type="dxa"/>
            <w:gridSpan w:val="4"/>
            <w:shd w:val="clear" w:color="auto" w:fill="FAE2D5" w:themeFill="accent2" w:themeFillTint="33"/>
            <w:vAlign w:val="center"/>
          </w:tcPr>
          <w:p w14:paraId="1BDB7E9D">
            <w:pPr>
              <w:jc w:val="left"/>
              <w:rPr>
                <w:rFonts w:cs="Times New Roman"/>
                <w:szCs w:val="24"/>
                <w:lang w:bidi="ar"/>
              </w:rPr>
            </w:pPr>
            <w:r>
              <w:rPr>
                <w:rFonts w:cs="Times New Roman"/>
                <w:szCs w:val="24"/>
                <w:lang w:bidi="ar"/>
              </w:rPr>
              <w:t>6.3.2 稳定期居住偏远/老年患者：“线上随访”进行日常管理，定期结合 “社区随访” 或 “医院复查” 完成指标检查。</w:t>
            </w:r>
          </w:p>
        </w:tc>
      </w:tr>
      <w:tr w14:paraId="462D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AE2D5" w:themeFill="accent2" w:themeFillTint="33"/>
            <w:vAlign w:val="center"/>
          </w:tcPr>
          <w:p w14:paraId="46190990">
            <w:pPr>
              <w:jc w:val="center"/>
              <w:rPr>
                <w:rFonts w:cs="Times New Roman"/>
                <w:szCs w:val="24"/>
                <w:lang w:bidi="ar"/>
              </w:rPr>
            </w:pPr>
          </w:p>
        </w:tc>
        <w:tc>
          <w:tcPr>
            <w:tcW w:w="1418" w:type="dxa"/>
            <w:vMerge w:val="restart"/>
            <w:shd w:val="clear" w:color="auto" w:fill="FAE2D5" w:themeFill="accent2" w:themeFillTint="33"/>
            <w:vAlign w:val="center"/>
          </w:tcPr>
          <w:p w14:paraId="4990B087">
            <w:pPr>
              <w:jc w:val="center"/>
              <w:rPr>
                <w:rFonts w:cs="Times New Roman"/>
                <w:szCs w:val="24"/>
                <w:lang w:bidi="ar"/>
              </w:rPr>
            </w:pPr>
            <w:r>
              <w:rPr>
                <w:rFonts w:cs="Times New Roman"/>
                <w:szCs w:val="24"/>
                <w:lang w:bidi="ar"/>
              </w:rPr>
              <w:t>6.4康复目标的动态管理</w:t>
            </w:r>
          </w:p>
        </w:tc>
        <w:tc>
          <w:tcPr>
            <w:tcW w:w="11486" w:type="dxa"/>
            <w:gridSpan w:val="4"/>
            <w:shd w:val="clear" w:color="auto" w:fill="FAE2D5" w:themeFill="accent2" w:themeFillTint="33"/>
            <w:vAlign w:val="center"/>
          </w:tcPr>
          <w:p w14:paraId="4ED1155E">
            <w:pPr>
              <w:jc w:val="left"/>
              <w:rPr>
                <w:rFonts w:cs="Times New Roman"/>
                <w:szCs w:val="24"/>
                <w:lang w:bidi="ar"/>
              </w:rPr>
            </w:pPr>
            <w:r>
              <w:rPr>
                <w:rFonts w:cs="Times New Roman"/>
                <w:szCs w:val="24"/>
              </w:rPr>
              <w:t>6.4.1康复目标：基于阶段性评估结果，由医患共同商定，应明确、可量化、有时限（如：在3个月内，将6分钟步行距离稳定提升≥×米，Borg评分控制在×分之间</w:t>
            </w:r>
            <w:r>
              <w:rPr>
                <w:rFonts w:hint="eastAsia" w:cs="Times New Roman"/>
                <w:szCs w:val="24"/>
              </w:rPr>
              <w:t>。</w:t>
            </w:r>
            <w:r>
              <w:rPr>
                <w:rFonts w:cs="Times New Roman"/>
                <w:szCs w:val="24"/>
              </w:rPr>
              <w:t>具体数值应根据患者的实际状况进行个性化调整）。</w:t>
            </w:r>
          </w:p>
        </w:tc>
      </w:tr>
      <w:tr w14:paraId="3FF0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shd w:val="clear" w:color="auto" w:fill="FAE2D5" w:themeFill="accent2" w:themeFillTint="33"/>
            <w:vAlign w:val="center"/>
          </w:tcPr>
          <w:p w14:paraId="5BAD3C43">
            <w:pPr>
              <w:jc w:val="center"/>
              <w:rPr>
                <w:rFonts w:cs="Times New Roman"/>
                <w:szCs w:val="24"/>
                <w:lang w:bidi="ar"/>
              </w:rPr>
            </w:pPr>
          </w:p>
        </w:tc>
        <w:tc>
          <w:tcPr>
            <w:tcW w:w="1418" w:type="dxa"/>
            <w:vMerge w:val="continue"/>
            <w:shd w:val="clear" w:color="auto" w:fill="FAE2D5" w:themeFill="accent2" w:themeFillTint="33"/>
            <w:vAlign w:val="center"/>
          </w:tcPr>
          <w:p w14:paraId="1FEDD0A0">
            <w:pPr>
              <w:jc w:val="center"/>
              <w:rPr>
                <w:rFonts w:cs="Times New Roman"/>
                <w:szCs w:val="24"/>
                <w:lang w:bidi="ar"/>
              </w:rPr>
            </w:pPr>
          </w:p>
        </w:tc>
        <w:tc>
          <w:tcPr>
            <w:tcW w:w="11486" w:type="dxa"/>
            <w:gridSpan w:val="4"/>
            <w:shd w:val="clear" w:color="auto" w:fill="FAE2D5" w:themeFill="accent2" w:themeFillTint="33"/>
            <w:vAlign w:val="center"/>
          </w:tcPr>
          <w:p w14:paraId="01694E64">
            <w:pPr>
              <w:jc w:val="left"/>
              <w:rPr>
                <w:rFonts w:cs="Times New Roman"/>
                <w:szCs w:val="24"/>
                <w:lang w:bidi="ar"/>
              </w:rPr>
            </w:pPr>
            <w:r>
              <w:rPr>
                <w:rFonts w:cs="Times New Roman"/>
                <w:szCs w:val="24"/>
                <w:lang w:bidi="ar"/>
              </w:rPr>
              <w:t>6.4.2 效果评估与方案调整：对比患者当前指标与上一阶段指标，评估其功能、症状等方面的改善情况，判断肺康复计划的有效性，并以此为依据适时调整个体化康复方案。</w:t>
            </w:r>
          </w:p>
        </w:tc>
      </w:tr>
    </w:tbl>
    <w:p w14:paraId="51C1F5EA"/>
    <w:sectPr>
      <w:pgSz w:w="16838" w:h="11906" w:orient="landscape"/>
      <w:pgMar w:top="1797" w:right="1440" w:bottom="1797" w:left="1440"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6639054"/>
      <w:docPartObj>
        <w:docPartGallery w:val="autotext"/>
      </w:docPartObj>
    </w:sdtPr>
    <w:sdtEndPr>
      <w:rPr>
        <w:rFonts w:cs="Times New Roman"/>
        <w:sz w:val="24"/>
        <w:szCs w:val="24"/>
      </w:rPr>
    </w:sdtEndPr>
    <w:sdtContent>
      <w:p w14:paraId="5518C8B0">
        <w:pPr>
          <w:pStyle w:val="12"/>
          <w:jc w:val="center"/>
          <w:rPr>
            <w:rFonts w:cs="Times New Roman"/>
            <w:sz w:val="24"/>
            <w:szCs w:val="24"/>
          </w:rPr>
        </w:pPr>
        <w:r>
          <w:rPr>
            <w:rFonts w:cs="Times New Roman"/>
            <w:sz w:val="24"/>
            <w:szCs w:val="24"/>
          </w:rPr>
          <w:fldChar w:fldCharType="begin"/>
        </w:r>
        <w:r>
          <w:rPr>
            <w:rFonts w:cs="Times New Roman"/>
            <w:sz w:val="24"/>
            <w:szCs w:val="24"/>
          </w:rPr>
          <w:instrText xml:space="preserve">PAGE   \* MERGEFORMAT</w:instrText>
        </w:r>
        <w:r>
          <w:rPr>
            <w:rFonts w:cs="Times New Roman"/>
            <w:sz w:val="24"/>
            <w:szCs w:val="24"/>
          </w:rPr>
          <w:fldChar w:fldCharType="separate"/>
        </w:r>
        <w:r>
          <w:rPr>
            <w:rFonts w:cs="Times New Roman"/>
            <w:sz w:val="24"/>
            <w:szCs w:val="24"/>
            <w:lang w:val="zh-CN"/>
          </w:rPr>
          <w:t>2</w:t>
        </w:r>
        <w:r>
          <w:rPr>
            <w:rFonts w:cs="Times New Roman"/>
            <w:sz w:val="24"/>
            <w:szCs w:val="24"/>
          </w:rPr>
          <w:fldChar w:fldCharType="end"/>
        </w:r>
      </w:p>
    </w:sdtContent>
  </w:sdt>
  <w:p w14:paraId="1ED27DBB">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ayo Clinic Proceeding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xsx9s06e2xemedses5dadyvd9zzszvep5d&quot;&gt;My EndNote Library&lt;record-ids&gt;&lt;item&gt;6791&lt;/item&gt;&lt;item&gt;7626&lt;/item&gt;&lt;item&gt;7919&lt;/item&gt;&lt;item&gt;8676&lt;/item&gt;&lt;item&gt;8925&lt;/item&gt;&lt;item&gt;9240&lt;/item&gt;&lt;item&gt;9520&lt;/item&gt;&lt;item&gt;10968&lt;/item&gt;&lt;item&gt;11065&lt;/item&gt;&lt;item&gt;11328&lt;/item&gt;&lt;item&gt;11988&lt;/item&gt;&lt;item&gt;11989&lt;/item&gt;&lt;item&gt;11996&lt;/item&gt;&lt;item&gt;11997&lt;/item&gt;&lt;/record-ids&gt;&lt;/item&gt;&lt;/Libraries&gt;"/>
  </w:docVars>
  <w:rsids>
    <w:rsidRoot w:val="001E3E4E"/>
    <w:rsid w:val="00027169"/>
    <w:rsid w:val="00061321"/>
    <w:rsid w:val="0008092A"/>
    <w:rsid w:val="00080F29"/>
    <w:rsid w:val="00084A4F"/>
    <w:rsid w:val="00095E5E"/>
    <w:rsid w:val="000C6D81"/>
    <w:rsid w:val="000D6450"/>
    <w:rsid w:val="000F2EAD"/>
    <w:rsid w:val="000F327F"/>
    <w:rsid w:val="000F5B28"/>
    <w:rsid w:val="000F78B4"/>
    <w:rsid w:val="00105068"/>
    <w:rsid w:val="00111715"/>
    <w:rsid w:val="0014561E"/>
    <w:rsid w:val="00146C9E"/>
    <w:rsid w:val="00165108"/>
    <w:rsid w:val="00182D19"/>
    <w:rsid w:val="001919C2"/>
    <w:rsid w:val="001938C8"/>
    <w:rsid w:val="00195E35"/>
    <w:rsid w:val="001B55F7"/>
    <w:rsid w:val="001C3DDF"/>
    <w:rsid w:val="001D3907"/>
    <w:rsid w:val="001E3E4E"/>
    <w:rsid w:val="001E585D"/>
    <w:rsid w:val="002132A4"/>
    <w:rsid w:val="002203C7"/>
    <w:rsid w:val="00221D12"/>
    <w:rsid w:val="002413AE"/>
    <w:rsid w:val="00250EF4"/>
    <w:rsid w:val="00266FAE"/>
    <w:rsid w:val="00270BA0"/>
    <w:rsid w:val="00277210"/>
    <w:rsid w:val="0028294B"/>
    <w:rsid w:val="0029709C"/>
    <w:rsid w:val="002A525C"/>
    <w:rsid w:val="002A5F8E"/>
    <w:rsid w:val="002B13D0"/>
    <w:rsid w:val="002B5FD7"/>
    <w:rsid w:val="002B71AE"/>
    <w:rsid w:val="002B7D02"/>
    <w:rsid w:val="002C064C"/>
    <w:rsid w:val="002D7299"/>
    <w:rsid w:val="002D7847"/>
    <w:rsid w:val="002E551D"/>
    <w:rsid w:val="002F1838"/>
    <w:rsid w:val="00304B94"/>
    <w:rsid w:val="003053FB"/>
    <w:rsid w:val="00307AC7"/>
    <w:rsid w:val="00310334"/>
    <w:rsid w:val="0031073A"/>
    <w:rsid w:val="003261A1"/>
    <w:rsid w:val="0034317B"/>
    <w:rsid w:val="00343782"/>
    <w:rsid w:val="003446F2"/>
    <w:rsid w:val="00357912"/>
    <w:rsid w:val="0037686C"/>
    <w:rsid w:val="003869FC"/>
    <w:rsid w:val="00394AF6"/>
    <w:rsid w:val="003A06C3"/>
    <w:rsid w:val="003A4E1C"/>
    <w:rsid w:val="003C0BC5"/>
    <w:rsid w:val="003E23F5"/>
    <w:rsid w:val="003E748C"/>
    <w:rsid w:val="003F1756"/>
    <w:rsid w:val="003F2863"/>
    <w:rsid w:val="00404763"/>
    <w:rsid w:val="004222F8"/>
    <w:rsid w:val="004328AA"/>
    <w:rsid w:val="00442747"/>
    <w:rsid w:val="00452850"/>
    <w:rsid w:val="00455FFE"/>
    <w:rsid w:val="00464B8F"/>
    <w:rsid w:val="004658C4"/>
    <w:rsid w:val="0047142A"/>
    <w:rsid w:val="00472B9B"/>
    <w:rsid w:val="00477FC8"/>
    <w:rsid w:val="004828F8"/>
    <w:rsid w:val="00493DEB"/>
    <w:rsid w:val="004953AC"/>
    <w:rsid w:val="004B3971"/>
    <w:rsid w:val="004B5BEA"/>
    <w:rsid w:val="004B60C8"/>
    <w:rsid w:val="004B7E49"/>
    <w:rsid w:val="004D1C7D"/>
    <w:rsid w:val="004D5982"/>
    <w:rsid w:val="004E032C"/>
    <w:rsid w:val="004E0453"/>
    <w:rsid w:val="004E0CF8"/>
    <w:rsid w:val="004E77A3"/>
    <w:rsid w:val="004E7BCE"/>
    <w:rsid w:val="004F0256"/>
    <w:rsid w:val="004F2E21"/>
    <w:rsid w:val="004F783D"/>
    <w:rsid w:val="00502166"/>
    <w:rsid w:val="00504880"/>
    <w:rsid w:val="00505380"/>
    <w:rsid w:val="00505FDA"/>
    <w:rsid w:val="005066F6"/>
    <w:rsid w:val="00513496"/>
    <w:rsid w:val="00514B6C"/>
    <w:rsid w:val="00522072"/>
    <w:rsid w:val="0052501B"/>
    <w:rsid w:val="00525275"/>
    <w:rsid w:val="00535122"/>
    <w:rsid w:val="005521A9"/>
    <w:rsid w:val="00585C30"/>
    <w:rsid w:val="005A00C8"/>
    <w:rsid w:val="005A2C61"/>
    <w:rsid w:val="005C40E9"/>
    <w:rsid w:val="005C4ACC"/>
    <w:rsid w:val="005D7F87"/>
    <w:rsid w:val="00612829"/>
    <w:rsid w:val="00624A23"/>
    <w:rsid w:val="00624A9D"/>
    <w:rsid w:val="00626E23"/>
    <w:rsid w:val="00633590"/>
    <w:rsid w:val="006359E5"/>
    <w:rsid w:val="0063676D"/>
    <w:rsid w:val="006453E1"/>
    <w:rsid w:val="00654552"/>
    <w:rsid w:val="0067440B"/>
    <w:rsid w:val="00684153"/>
    <w:rsid w:val="0069039E"/>
    <w:rsid w:val="006B560B"/>
    <w:rsid w:val="006C0FF0"/>
    <w:rsid w:val="006D5F9B"/>
    <w:rsid w:val="006D64DF"/>
    <w:rsid w:val="006E0852"/>
    <w:rsid w:val="006E3133"/>
    <w:rsid w:val="006F4A1D"/>
    <w:rsid w:val="00702465"/>
    <w:rsid w:val="00712D16"/>
    <w:rsid w:val="00724D9A"/>
    <w:rsid w:val="00730B4E"/>
    <w:rsid w:val="00732157"/>
    <w:rsid w:val="0073662F"/>
    <w:rsid w:val="00752CC5"/>
    <w:rsid w:val="007553A1"/>
    <w:rsid w:val="0076396F"/>
    <w:rsid w:val="00777C1F"/>
    <w:rsid w:val="00792084"/>
    <w:rsid w:val="00793F68"/>
    <w:rsid w:val="007962C8"/>
    <w:rsid w:val="007A380F"/>
    <w:rsid w:val="007C7BEC"/>
    <w:rsid w:val="007C7E45"/>
    <w:rsid w:val="007E4FDE"/>
    <w:rsid w:val="007E7C4A"/>
    <w:rsid w:val="007F1D69"/>
    <w:rsid w:val="007F5605"/>
    <w:rsid w:val="00806249"/>
    <w:rsid w:val="00807B60"/>
    <w:rsid w:val="00826076"/>
    <w:rsid w:val="00826EA4"/>
    <w:rsid w:val="00826F16"/>
    <w:rsid w:val="00830821"/>
    <w:rsid w:val="00837C93"/>
    <w:rsid w:val="0084092F"/>
    <w:rsid w:val="0084721B"/>
    <w:rsid w:val="00857053"/>
    <w:rsid w:val="00863418"/>
    <w:rsid w:val="008706D2"/>
    <w:rsid w:val="008801EA"/>
    <w:rsid w:val="008A370F"/>
    <w:rsid w:val="008B3EAF"/>
    <w:rsid w:val="008C49D4"/>
    <w:rsid w:val="008D2360"/>
    <w:rsid w:val="008F18E4"/>
    <w:rsid w:val="009051BF"/>
    <w:rsid w:val="0091589C"/>
    <w:rsid w:val="009158DF"/>
    <w:rsid w:val="00924923"/>
    <w:rsid w:val="00931A8E"/>
    <w:rsid w:val="00933C64"/>
    <w:rsid w:val="00950D67"/>
    <w:rsid w:val="00955873"/>
    <w:rsid w:val="0098077A"/>
    <w:rsid w:val="00980CB7"/>
    <w:rsid w:val="00985FA1"/>
    <w:rsid w:val="009A2802"/>
    <w:rsid w:val="009A393E"/>
    <w:rsid w:val="009B4E6F"/>
    <w:rsid w:val="009D0FF0"/>
    <w:rsid w:val="009D522F"/>
    <w:rsid w:val="009D67AC"/>
    <w:rsid w:val="009F1288"/>
    <w:rsid w:val="009F3757"/>
    <w:rsid w:val="00A00B4D"/>
    <w:rsid w:val="00A11056"/>
    <w:rsid w:val="00A154B3"/>
    <w:rsid w:val="00A17649"/>
    <w:rsid w:val="00A277F0"/>
    <w:rsid w:val="00A31540"/>
    <w:rsid w:val="00A420E9"/>
    <w:rsid w:val="00A47482"/>
    <w:rsid w:val="00A577C0"/>
    <w:rsid w:val="00A6387C"/>
    <w:rsid w:val="00A66A56"/>
    <w:rsid w:val="00A92CB4"/>
    <w:rsid w:val="00AC32B8"/>
    <w:rsid w:val="00AD4B0E"/>
    <w:rsid w:val="00AE2EC0"/>
    <w:rsid w:val="00AE7D0F"/>
    <w:rsid w:val="00B011A9"/>
    <w:rsid w:val="00B0319D"/>
    <w:rsid w:val="00B27935"/>
    <w:rsid w:val="00B343E7"/>
    <w:rsid w:val="00B37CE4"/>
    <w:rsid w:val="00B5247C"/>
    <w:rsid w:val="00B6747B"/>
    <w:rsid w:val="00B71B73"/>
    <w:rsid w:val="00BA1EC0"/>
    <w:rsid w:val="00BA3F0B"/>
    <w:rsid w:val="00BB564A"/>
    <w:rsid w:val="00C127C3"/>
    <w:rsid w:val="00C133C1"/>
    <w:rsid w:val="00C17E2C"/>
    <w:rsid w:val="00C41A2E"/>
    <w:rsid w:val="00C42A6F"/>
    <w:rsid w:val="00C53963"/>
    <w:rsid w:val="00C60BC3"/>
    <w:rsid w:val="00C829A5"/>
    <w:rsid w:val="00C878E6"/>
    <w:rsid w:val="00C975DE"/>
    <w:rsid w:val="00CB12B3"/>
    <w:rsid w:val="00CB6E41"/>
    <w:rsid w:val="00CB77ED"/>
    <w:rsid w:val="00CC0211"/>
    <w:rsid w:val="00CD32A6"/>
    <w:rsid w:val="00CD73CE"/>
    <w:rsid w:val="00CE61A0"/>
    <w:rsid w:val="00CE6475"/>
    <w:rsid w:val="00CF3B96"/>
    <w:rsid w:val="00D032DF"/>
    <w:rsid w:val="00D07859"/>
    <w:rsid w:val="00D11931"/>
    <w:rsid w:val="00D2106A"/>
    <w:rsid w:val="00D50544"/>
    <w:rsid w:val="00D61A97"/>
    <w:rsid w:val="00D65DBC"/>
    <w:rsid w:val="00D7660C"/>
    <w:rsid w:val="00D86361"/>
    <w:rsid w:val="00D93554"/>
    <w:rsid w:val="00DA7680"/>
    <w:rsid w:val="00DB156F"/>
    <w:rsid w:val="00DB556D"/>
    <w:rsid w:val="00DC38F9"/>
    <w:rsid w:val="00DC54C7"/>
    <w:rsid w:val="00DE7CD2"/>
    <w:rsid w:val="00DF226C"/>
    <w:rsid w:val="00DF28BD"/>
    <w:rsid w:val="00E0347E"/>
    <w:rsid w:val="00E0400E"/>
    <w:rsid w:val="00E11E32"/>
    <w:rsid w:val="00E352F1"/>
    <w:rsid w:val="00E56DB2"/>
    <w:rsid w:val="00E769EB"/>
    <w:rsid w:val="00E76AE7"/>
    <w:rsid w:val="00E84204"/>
    <w:rsid w:val="00E90F51"/>
    <w:rsid w:val="00E93D6C"/>
    <w:rsid w:val="00EA3BB8"/>
    <w:rsid w:val="00EA47CC"/>
    <w:rsid w:val="00EB07C5"/>
    <w:rsid w:val="00EB0E98"/>
    <w:rsid w:val="00EB4FFC"/>
    <w:rsid w:val="00EC0202"/>
    <w:rsid w:val="00EC7869"/>
    <w:rsid w:val="00EE78FC"/>
    <w:rsid w:val="00EF47E2"/>
    <w:rsid w:val="00F16578"/>
    <w:rsid w:val="00F34073"/>
    <w:rsid w:val="00F43B32"/>
    <w:rsid w:val="00F51072"/>
    <w:rsid w:val="00F52EDC"/>
    <w:rsid w:val="00F874F0"/>
    <w:rsid w:val="00FB4B9D"/>
    <w:rsid w:val="00FC456C"/>
    <w:rsid w:val="00FC70E6"/>
    <w:rsid w:val="00FE03B3"/>
    <w:rsid w:val="00FF229A"/>
    <w:rsid w:val="00FF5617"/>
    <w:rsid w:val="0EBC3D26"/>
    <w:rsid w:val="15B32BA9"/>
    <w:rsid w:val="194B4807"/>
    <w:rsid w:val="2020147D"/>
    <w:rsid w:val="2272638E"/>
    <w:rsid w:val="25891872"/>
    <w:rsid w:val="28C978B9"/>
    <w:rsid w:val="31E04EAA"/>
    <w:rsid w:val="350D711A"/>
    <w:rsid w:val="3CD11D42"/>
    <w:rsid w:val="41397742"/>
    <w:rsid w:val="463C0171"/>
    <w:rsid w:val="48D72771"/>
    <w:rsid w:val="4FBD1F95"/>
    <w:rsid w:val="5D470907"/>
    <w:rsid w:val="61FC3BE3"/>
    <w:rsid w:val="65837CF3"/>
    <w:rsid w:val="6AB91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24"/>
    <w:qFormat/>
    <w:uiPriority w:val="9"/>
    <w:pPr>
      <w:keepNext/>
      <w:keepLines/>
      <w:spacing w:before="50" w:beforeLines="50" w:after="50" w:afterLines="50"/>
      <w:outlineLvl w:val="0"/>
    </w:pPr>
    <w:rPr>
      <w:rFonts w:eastAsia="Times New Roman" w:asciiTheme="majorHAnsi" w:hAnsiTheme="majorHAnsi" w:cstheme="majorBidi"/>
      <w:sz w:val="32"/>
      <w:szCs w:val="48"/>
    </w:rPr>
  </w:style>
  <w:style w:type="paragraph" w:styleId="3">
    <w:name w:val="heading 2"/>
    <w:basedOn w:val="1"/>
    <w:next w:val="1"/>
    <w:link w:val="23"/>
    <w:unhideWhenUsed/>
    <w:qFormat/>
    <w:uiPriority w:val="9"/>
    <w:pPr>
      <w:keepNext/>
      <w:keepLines/>
      <w:spacing w:before="50" w:beforeLines="50" w:after="50" w:afterLines="50"/>
      <w:jc w:val="center"/>
      <w:outlineLvl w:val="1"/>
    </w:pPr>
    <w:rPr>
      <w:rFonts w:cs="Times New Roman"/>
      <w:b/>
      <w:sz w:val="32"/>
      <w:szCs w:val="24"/>
    </w:rPr>
  </w:style>
  <w:style w:type="paragraph" w:styleId="4">
    <w:name w:val="heading 3"/>
    <w:basedOn w:val="1"/>
    <w:next w:val="1"/>
    <w:link w:val="25"/>
    <w:semiHidden/>
    <w:unhideWhenUsed/>
    <w:qFormat/>
    <w:uiPriority w:val="9"/>
    <w:pPr>
      <w:keepNext/>
      <w:keepLines/>
      <w:outlineLvl w:val="2"/>
    </w:pPr>
    <w:rPr>
      <w:rFonts w:cs="Times New Roman"/>
      <w:szCs w:val="24"/>
    </w:rPr>
  </w:style>
  <w:style w:type="paragraph" w:styleId="5">
    <w:name w:val="heading 4"/>
    <w:basedOn w:val="1"/>
    <w:next w:val="1"/>
    <w:link w:val="26"/>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Cs w:val="24"/>
    </w:rPr>
  </w:style>
  <w:style w:type="paragraph" w:styleId="7">
    <w:name w:val="heading 6"/>
    <w:basedOn w:val="1"/>
    <w:next w:val="1"/>
    <w:link w:val="28"/>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pPr>
      <w:adjustRightInd/>
      <w:snapToGrid/>
      <w:spacing w:line="240" w:lineRule="auto"/>
    </w:pPr>
    <w:rPr>
      <w:rFonts w:eastAsia="黑体" w:asciiTheme="majorHAnsi" w:hAnsiTheme="majorHAnsi" w:cstheme="majorBidi"/>
      <w:sz w:val="20"/>
      <w:szCs w:val="20"/>
    </w:rPr>
  </w:style>
  <w:style w:type="paragraph" w:styleId="12">
    <w:name w:val="footer"/>
    <w:basedOn w:val="1"/>
    <w:link w:val="42"/>
    <w:unhideWhenUsed/>
    <w:qFormat/>
    <w:uiPriority w:val="99"/>
    <w:pPr>
      <w:tabs>
        <w:tab w:val="center" w:pos="4153"/>
        <w:tab w:val="right" w:pos="8306"/>
      </w:tabs>
      <w:spacing w:line="240" w:lineRule="auto"/>
      <w:jc w:val="left"/>
    </w:pPr>
    <w:rPr>
      <w:sz w:val="18"/>
      <w:szCs w:val="18"/>
    </w:rPr>
  </w:style>
  <w:style w:type="paragraph" w:styleId="13">
    <w:name w:val="header"/>
    <w:basedOn w:val="1"/>
    <w:link w:val="41"/>
    <w:unhideWhenUsed/>
    <w:qFormat/>
    <w:uiPriority w:val="99"/>
    <w:pPr>
      <w:tabs>
        <w:tab w:val="center" w:pos="4153"/>
        <w:tab w:val="right" w:pos="8306"/>
      </w:tabs>
      <w:spacing w:line="240" w:lineRule="auto"/>
      <w:jc w:val="center"/>
    </w:pPr>
    <w:rPr>
      <w:sz w:val="18"/>
      <w:szCs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oc 2"/>
    <w:basedOn w:val="1"/>
    <w:next w:val="1"/>
    <w:autoRedefine/>
    <w:unhideWhenUsed/>
    <w:qFormat/>
    <w:uiPriority w:val="39"/>
    <w:pPr>
      <w:ind w:left="420" w:leftChars="200"/>
    </w:pPr>
  </w:style>
  <w:style w:type="paragraph" w:styleId="16">
    <w:name w:val="Normal (Web)"/>
    <w:basedOn w:val="1"/>
    <w:semiHidden/>
    <w:unhideWhenUsed/>
    <w:qFormat/>
    <w:uiPriority w:val="99"/>
    <w:pPr>
      <w:widowControl/>
      <w:adjustRightInd/>
      <w:snapToGrid/>
      <w:spacing w:before="100" w:beforeAutospacing="1" w:after="100" w:afterAutospacing="1" w:line="240" w:lineRule="auto"/>
      <w:jc w:val="left"/>
    </w:pPr>
    <w:rPr>
      <w:rFonts w:ascii="宋体" w:hAnsi="宋体" w:cs="宋体"/>
      <w:kern w:val="0"/>
      <w:szCs w:val="24"/>
    </w:rPr>
  </w:style>
  <w:style w:type="paragraph" w:styleId="17">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qFormat/>
    <w:uiPriority w:val="99"/>
    <w:rPr>
      <w:color w:val="96607D"/>
      <w:u w:val="single"/>
    </w:rPr>
  </w:style>
  <w:style w:type="character" w:styleId="22">
    <w:name w:val="Hyperlink"/>
    <w:basedOn w:val="20"/>
    <w:unhideWhenUsed/>
    <w:qFormat/>
    <w:uiPriority w:val="99"/>
    <w:rPr>
      <w:color w:val="467886"/>
      <w:u w:val="single"/>
    </w:rPr>
  </w:style>
  <w:style w:type="character" w:customStyle="1" w:styleId="23">
    <w:name w:val="标题 2 字符"/>
    <w:basedOn w:val="20"/>
    <w:link w:val="3"/>
    <w:qFormat/>
    <w:uiPriority w:val="9"/>
    <w:rPr>
      <w:b/>
      <w:kern w:val="2"/>
      <w:sz w:val="32"/>
      <w:szCs w:val="24"/>
    </w:rPr>
  </w:style>
  <w:style w:type="character" w:customStyle="1" w:styleId="24">
    <w:name w:val="标题 1 字符"/>
    <w:basedOn w:val="20"/>
    <w:link w:val="2"/>
    <w:qFormat/>
    <w:uiPriority w:val="9"/>
    <w:rPr>
      <w:rFonts w:eastAsia="Times New Roman" w:asciiTheme="majorHAnsi" w:hAnsiTheme="majorHAnsi" w:cstheme="majorBidi"/>
      <w:kern w:val="2"/>
      <w:sz w:val="32"/>
      <w:szCs w:val="48"/>
    </w:rPr>
  </w:style>
  <w:style w:type="character" w:customStyle="1" w:styleId="25">
    <w:name w:val="标题 3 字符"/>
    <w:basedOn w:val="20"/>
    <w:link w:val="4"/>
    <w:semiHidden/>
    <w:qFormat/>
    <w:uiPriority w:val="9"/>
    <w:rPr>
      <w:rFonts w:ascii="Times New Roman" w:hAnsi="Times New Roman" w:eastAsia="Times New Roman" w:cs="Times New Roman"/>
      <w:sz w:val="24"/>
      <w:szCs w:val="24"/>
    </w:rPr>
  </w:style>
  <w:style w:type="character" w:customStyle="1" w:styleId="26">
    <w:name w:val="标题 4 字符"/>
    <w:basedOn w:val="20"/>
    <w:link w:val="5"/>
    <w:qFormat/>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szCs w:val="24"/>
    </w:rPr>
  </w:style>
  <w:style w:type="character" w:customStyle="1" w:styleId="28">
    <w:name w:val="标题 6 字符"/>
    <w:basedOn w:val="20"/>
    <w:link w:val="7"/>
    <w:semiHidden/>
    <w:qFormat/>
    <w:uiPriority w:val="9"/>
    <w:rPr>
      <w:rFonts w:cstheme="majorBidi"/>
      <w:b/>
      <w:bCs/>
      <w:color w:val="104862" w:themeColor="accent1" w:themeShade="BF"/>
      <w:sz w:val="24"/>
    </w:rPr>
  </w:style>
  <w:style w:type="character" w:customStyle="1" w:styleId="29">
    <w:name w:val="标题 7 字符"/>
    <w:basedOn w:val="20"/>
    <w:link w:val="8"/>
    <w:semiHidden/>
    <w:qFormat/>
    <w:uiPriority w:val="9"/>
    <w:rPr>
      <w:rFonts w:cstheme="majorBidi"/>
      <w:b/>
      <w:bCs/>
      <w:color w:val="595959" w:themeColor="text1" w:themeTint="A6"/>
      <w:sz w:val="24"/>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sz w:val="24"/>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sz w:val="24"/>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rFonts w:ascii="Times New Roman" w:hAnsi="Times New Roman" w:eastAsia="宋体"/>
      <w:i/>
      <w:iCs/>
      <w:color w:val="404040" w:themeColor="text1" w:themeTint="BF"/>
      <w:sz w:val="24"/>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rFonts w:ascii="Times New Roman" w:hAnsi="Times New Roman" w:eastAsia="宋体"/>
      <w:i/>
      <w:iCs/>
      <w:color w:val="104862" w:themeColor="accent1" w:themeShade="BF"/>
      <w:sz w:val="24"/>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3"/>
    <w:qFormat/>
    <w:uiPriority w:val="99"/>
    <w:rPr>
      <w:rFonts w:ascii="Times New Roman" w:hAnsi="Times New Roman" w:eastAsia="宋体"/>
      <w:sz w:val="18"/>
      <w:szCs w:val="18"/>
    </w:rPr>
  </w:style>
  <w:style w:type="character" w:customStyle="1" w:styleId="42">
    <w:name w:val="页脚 字符"/>
    <w:basedOn w:val="20"/>
    <w:link w:val="12"/>
    <w:qFormat/>
    <w:uiPriority w:val="99"/>
    <w:rPr>
      <w:rFonts w:ascii="Times New Roman" w:hAnsi="Times New Roman" w:eastAsia="宋体"/>
      <w:sz w:val="18"/>
      <w:szCs w:val="18"/>
    </w:rPr>
  </w:style>
  <w:style w:type="paragraph" w:customStyle="1" w:styleId="43">
    <w:name w:val="EndNote Bibliography Title"/>
    <w:basedOn w:val="1"/>
    <w:link w:val="44"/>
    <w:qFormat/>
    <w:uiPriority w:val="0"/>
    <w:pPr>
      <w:jc w:val="center"/>
    </w:pPr>
    <w:rPr>
      <w:rFonts w:cs="Times New Roman"/>
    </w:rPr>
  </w:style>
  <w:style w:type="character" w:customStyle="1" w:styleId="44">
    <w:name w:val="EndNote Bibliography Title 字符"/>
    <w:basedOn w:val="20"/>
    <w:link w:val="43"/>
    <w:qFormat/>
    <w:uiPriority w:val="0"/>
    <w:rPr>
      <w:rFonts w:ascii="Times New Roman" w:hAnsi="Times New Roman" w:eastAsia="宋体" w:cs="Times New Roman"/>
      <w:sz w:val="24"/>
    </w:rPr>
  </w:style>
  <w:style w:type="paragraph" w:customStyle="1" w:styleId="45">
    <w:name w:val="EndNote Bibliography"/>
    <w:basedOn w:val="1"/>
    <w:link w:val="46"/>
    <w:qFormat/>
    <w:uiPriority w:val="0"/>
    <w:pPr>
      <w:spacing w:line="240" w:lineRule="auto"/>
    </w:pPr>
    <w:rPr>
      <w:rFonts w:cs="Times New Roman"/>
    </w:rPr>
  </w:style>
  <w:style w:type="character" w:customStyle="1" w:styleId="46">
    <w:name w:val="EndNote Bibliography 字符"/>
    <w:basedOn w:val="20"/>
    <w:link w:val="45"/>
    <w:qFormat/>
    <w:uiPriority w:val="0"/>
    <w:rPr>
      <w:rFonts w:ascii="Times New Roman" w:hAnsi="Times New Roman" w:eastAsia="宋体" w:cs="Times New Roman"/>
      <w:sz w:val="24"/>
    </w:rPr>
  </w:style>
  <w:style w:type="character" w:customStyle="1" w:styleId="47">
    <w:name w:val="明显强调11"/>
    <w:basedOn w:val="20"/>
    <w:qFormat/>
    <w:uiPriority w:val="21"/>
    <w:rPr>
      <w:i/>
      <w:iCs/>
      <w:color w:val="104862" w:themeColor="accent1" w:themeShade="BF"/>
    </w:rPr>
  </w:style>
  <w:style w:type="character" w:customStyle="1" w:styleId="48">
    <w:name w:val="明显参考11"/>
    <w:basedOn w:val="20"/>
    <w:qFormat/>
    <w:uiPriority w:val="32"/>
    <w:rPr>
      <w:b/>
      <w:bCs/>
      <w:smallCaps/>
      <w:color w:val="104862" w:themeColor="accent1" w:themeShade="BF"/>
      <w:spacing w:val="5"/>
    </w:rPr>
  </w:style>
  <w:style w:type="character" w:customStyle="1" w:styleId="49">
    <w:name w:val="msointenseemphasis"/>
    <w:basedOn w:val="20"/>
    <w:qFormat/>
    <w:uiPriority w:val="0"/>
    <w:rPr>
      <w:i/>
      <w:iCs/>
      <w:color w:val="0F4761"/>
    </w:rPr>
  </w:style>
  <w:style w:type="character" w:customStyle="1" w:styleId="50">
    <w:name w:val="msointensereference"/>
    <w:basedOn w:val="20"/>
    <w:qFormat/>
    <w:uiPriority w:val="0"/>
    <w:rPr>
      <w:b/>
      <w:bCs/>
      <w:smallCaps/>
      <w:color w:val="0F4761"/>
      <w:spacing w:val="5"/>
    </w:rPr>
  </w:style>
  <w:style w:type="character" w:customStyle="1" w:styleId="51">
    <w:name w:val="EndNote Bibliography Title 字符1"/>
    <w:basedOn w:val="20"/>
    <w:qFormat/>
    <w:uiPriority w:val="0"/>
    <w:rPr>
      <w:rFonts w:ascii="等线" w:hAnsi="等线" w:eastAsia="等线" w:cstheme="minorBidi"/>
      <w:kern w:val="2"/>
      <w:szCs w:val="22"/>
    </w:rPr>
  </w:style>
  <w:style w:type="character" w:customStyle="1" w:styleId="52">
    <w:name w:val="EndNote Bibliography 字符1"/>
    <w:basedOn w:val="20"/>
    <w:qFormat/>
    <w:uiPriority w:val="0"/>
    <w:rPr>
      <w:rFonts w:ascii="等线" w:hAnsi="等线" w:eastAsia="等线" w:cstheme="minorBidi"/>
      <w:kern w:val="2"/>
      <w:szCs w:val="22"/>
    </w:rPr>
  </w:style>
  <w:style w:type="character" w:customStyle="1" w:styleId="53">
    <w:name w:val="未处理的提及1"/>
    <w:basedOn w:val="20"/>
    <w:semiHidden/>
    <w:unhideWhenUsed/>
    <w:qFormat/>
    <w:uiPriority w:val="99"/>
    <w:rPr>
      <w:color w:val="605E5C"/>
      <w:shd w:val="clear" w:color="auto" w:fill="E1DFDD"/>
    </w:rPr>
  </w:style>
  <w:style w:type="paragraph" w:customStyle="1" w:styleId="54">
    <w:name w:val="[Normal]"/>
    <w:unhideWhenUsed/>
    <w:qFormat/>
    <w:uiPriority w:val="99"/>
    <w:pPr>
      <w:widowControl w:val="0"/>
      <w:autoSpaceDE w:val="0"/>
      <w:autoSpaceDN w:val="0"/>
      <w:adjustRightInd w:val="0"/>
    </w:pPr>
    <w:rPr>
      <w:rFonts w:hint="eastAsia" w:ascii="宋体" w:hAnsi="宋体" w:eastAsia="宋体" w:cs="等线"/>
      <w:sz w:val="24"/>
      <w:szCs w:val="24"/>
      <w:lang w:val="en-US" w:eastAsia="zh-CN" w:bidi="ar-SA"/>
    </w:rPr>
  </w:style>
  <w:style w:type="paragraph" w:customStyle="1" w:styleId="55">
    <w:name w:val="TOC Heading"/>
    <w:basedOn w:val="2"/>
    <w:next w:val="1"/>
    <w:unhideWhenUsed/>
    <w:qFormat/>
    <w:uiPriority w:val="39"/>
    <w:pPr>
      <w:widowControl/>
      <w:adjustRightInd/>
      <w:snapToGrid/>
      <w:spacing w:before="240" w:beforeLines="0" w:after="0" w:afterLines="0" w:line="259" w:lineRule="auto"/>
      <w:jc w:val="left"/>
      <w:outlineLvl w:val="9"/>
    </w:pPr>
    <w:rPr>
      <w:rFonts w:eastAsiaTheme="majorEastAsia"/>
      <w:color w:val="104862" w:themeColor="accent1" w:themeShade="BF"/>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63B0E-EFC9-423D-ABA2-5CD2E17353D0}">
  <ds:schemaRefs/>
</ds:datastoreItem>
</file>

<file path=docProps/app.xml><?xml version="1.0" encoding="utf-8"?>
<Properties xmlns="http://schemas.openxmlformats.org/officeDocument/2006/extended-properties" xmlns:vt="http://schemas.openxmlformats.org/officeDocument/2006/docPropsVTypes">
  <Template>Normal</Template>
  <Pages>18</Pages>
  <Words>2078</Words>
  <Characters>13698</Characters>
  <Lines>478</Lines>
  <Paragraphs>134</Paragraphs>
  <TotalTime>1</TotalTime>
  <ScaleCrop>false</ScaleCrop>
  <LinksUpToDate>false</LinksUpToDate>
  <CharactersWithSpaces>15631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2026-03-16T14:05:00Z</dcterms:created>
  <dc:creator>L 李文瑞</dc:creator>
  <cp:lastModifiedBy>李文瑞</cp:lastModifiedBy>
  <cp:lastPrinted>2026-03-30T10:15:00Z</cp:lastPrinted>
  <dcterms:modified xsi:type="dcterms:W3CDTF">2026-06-23T09:17:13Z</dcterms:modified>
  <cp:revision>236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eyJoZGlkIjoiYjA3NTk5N2Y4ODYwOTRmMjNmZGQ5N2VjMzAyZWQyYzYiLCJ1c2VySWQiOiIxNTg0NDU1ODg3In0=</vt:lpwstr>
  </property>
  <property fmtid="{D5CDD505-2E9C-101B-9397-08002B2CF9AE}" pid="3" name="KSOProductBuildVer">
    <vt:lpwstr>2052-12.1.0.26895</vt:lpwstr>
  </property>
  <property fmtid="{D5CDD505-2E9C-101B-9397-08002B2CF9AE}" pid="4" name="ICV">
    <vt:lpwstr>C0B6C711267A4863B1F2E0EFBE3FBCA7_12</vt:lpwstr>
  </property>
</Properties>
</file>