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A6E3A">
      <w:pPr>
        <w:spacing w:before="312" w:beforeLines="100" w:after="312" w:afterLines="100"/>
        <w:jc w:val="center"/>
        <w:rPr>
          <w:rFonts w:hint="eastAsia"/>
          <w:b/>
          <w:bCs/>
          <w:sz w:val="36"/>
          <w:szCs w:val="36"/>
        </w:rPr>
      </w:pPr>
      <w:r>
        <w:rPr>
          <w:b/>
          <w:bCs/>
          <w:sz w:val="36"/>
          <w:szCs w:val="36"/>
        </w:rPr>
        <w:t>Supplementary Material</w:t>
      </w:r>
      <w:r>
        <w:rPr>
          <w:rFonts w:hint="eastAsia"/>
          <w:b/>
          <w:bCs/>
          <w:sz w:val="36"/>
          <w:szCs w:val="36"/>
        </w:rPr>
        <w:t xml:space="preserve"> 1</w:t>
      </w:r>
    </w:p>
    <w:sdt>
      <w:sdtPr>
        <w:rPr>
          <w:rFonts w:ascii="Times New Roman" w:hAnsi="Times New Roman" w:eastAsia="宋体" w:cstheme="minorBidi"/>
          <w:color w:val="auto"/>
          <w:kern w:val="2"/>
          <w:sz w:val="24"/>
          <w:szCs w:val="22"/>
          <w:lang w:val="zh-CN"/>
        </w:rPr>
        <w:id w:val="-658536418"/>
        <w:docPartObj>
          <w:docPartGallery w:val="Table of Contents"/>
          <w:docPartUnique/>
        </w:docPartObj>
      </w:sdtPr>
      <w:sdtEndPr>
        <w:rPr>
          <w:rFonts w:ascii="Times New Roman" w:hAnsi="Times New Roman" w:eastAsia="宋体" w:cstheme="minorBidi"/>
          <w:b/>
          <w:bCs/>
          <w:color w:val="auto"/>
          <w:kern w:val="2"/>
          <w:sz w:val="24"/>
          <w:szCs w:val="22"/>
          <w:lang w:val="zh-CN"/>
        </w:rPr>
      </w:sdtEndPr>
      <w:sdtContent>
        <w:p w14:paraId="7FE3973C">
          <w:pPr>
            <w:pStyle w:val="55"/>
            <w:rPr>
              <w:rFonts w:ascii="Times New Roman" w:hAnsi="Times New Roman" w:cs="Times New Roman"/>
              <w:b/>
              <w:bCs/>
              <w:color w:val="auto"/>
              <w:sz w:val="28"/>
              <w:szCs w:val="28"/>
              <w:lang w:val="zh-CN"/>
            </w:rPr>
          </w:pPr>
          <w:r>
            <w:rPr>
              <w:rFonts w:ascii="Times New Roman" w:hAnsi="Times New Roman" w:cs="Times New Roman"/>
              <w:b/>
              <w:bCs/>
              <w:color w:val="auto"/>
              <w:sz w:val="28"/>
              <w:szCs w:val="28"/>
              <w:lang w:val="zh-CN"/>
            </w:rPr>
            <w:t>Contents</w:t>
          </w:r>
        </w:p>
        <w:p w14:paraId="592DD5DA">
          <w:pPr>
            <w:pStyle w:val="15"/>
            <w:tabs>
              <w:tab w:val="right" w:leader="dot" w:pos="8296"/>
            </w:tabs>
            <w:ind w:left="0" w:leftChars="0"/>
            <w:jc w:val="left"/>
            <w:rPr>
              <w:rFonts w:cs="Times New Roman"/>
              <w:szCs w:val="24"/>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r>
            <w:fldChar w:fldCharType="begin"/>
          </w:r>
          <w:r>
            <w:instrText xml:space="preserve"> HYPERLINK \l "_Toc225442459" </w:instrText>
          </w:r>
          <w:r>
            <w:fldChar w:fldCharType="separate"/>
          </w:r>
          <w:r>
            <w:rPr>
              <w:rStyle w:val="22"/>
              <w:rFonts w:cs="Times New Roman"/>
              <w:color w:val="auto"/>
              <w:szCs w:val="24"/>
            </w:rPr>
            <w:t>S1</w:t>
          </w:r>
          <w:r>
            <w:rPr>
              <w:rFonts w:cs="Times New Roman"/>
              <w:szCs w:val="24"/>
            </w:rPr>
            <w:tab/>
          </w:r>
          <w:r>
            <w:rPr>
              <w:rFonts w:cs="Times New Roman"/>
              <w:szCs w:val="24"/>
            </w:rPr>
            <w:fldChar w:fldCharType="begin"/>
          </w:r>
          <w:r>
            <w:rPr>
              <w:rFonts w:cs="Times New Roman"/>
              <w:szCs w:val="24"/>
            </w:rPr>
            <w:instrText xml:space="preserve"> PAGEREF _Toc225442459 \h </w:instrText>
          </w:r>
          <w:r>
            <w:rPr>
              <w:rFonts w:cs="Times New Roman"/>
              <w:szCs w:val="24"/>
            </w:rPr>
            <w:fldChar w:fldCharType="separate"/>
          </w:r>
          <w:r>
            <w:rPr>
              <w:rFonts w:cs="Times New Roman"/>
              <w:szCs w:val="24"/>
            </w:rPr>
            <w:t>1</w:t>
          </w:r>
          <w:r>
            <w:rPr>
              <w:rFonts w:cs="Times New Roman"/>
              <w:szCs w:val="24"/>
            </w:rPr>
            <w:fldChar w:fldCharType="end"/>
          </w:r>
          <w:r>
            <w:rPr>
              <w:rFonts w:cs="Times New Roman"/>
              <w:szCs w:val="24"/>
            </w:rPr>
            <w:fldChar w:fldCharType="end"/>
          </w:r>
        </w:p>
        <w:p w14:paraId="4E71EC2E">
          <w:pPr>
            <w:pStyle w:val="15"/>
            <w:tabs>
              <w:tab w:val="right" w:leader="dot" w:pos="8296"/>
            </w:tabs>
            <w:ind w:left="0" w:leftChars="0"/>
            <w:jc w:val="left"/>
            <w:rPr>
              <w:rFonts w:cs="Times New Roman"/>
              <w:szCs w:val="24"/>
            </w:rPr>
          </w:pPr>
          <w:r>
            <w:fldChar w:fldCharType="begin"/>
          </w:r>
          <w:r>
            <w:instrText xml:space="preserve"> HYPERLINK \l "_Toc225442460" </w:instrText>
          </w:r>
          <w:r>
            <w:fldChar w:fldCharType="separate"/>
          </w:r>
          <w:r>
            <w:rPr>
              <w:rStyle w:val="22"/>
              <w:rFonts w:cs="Times New Roman"/>
              <w:color w:val="auto"/>
              <w:szCs w:val="24"/>
            </w:rPr>
            <w:t>S2</w:t>
          </w:r>
          <w:r>
            <w:rPr>
              <w:rFonts w:cs="Times New Roman"/>
              <w:szCs w:val="24"/>
            </w:rPr>
            <w:tab/>
          </w:r>
          <w:r>
            <w:rPr>
              <w:rFonts w:cs="Times New Roman"/>
              <w:szCs w:val="24"/>
            </w:rPr>
            <w:fldChar w:fldCharType="begin"/>
          </w:r>
          <w:r>
            <w:rPr>
              <w:rFonts w:cs="Times New Roman"/>
              <w:szCs w:val="24"/>
            </w:rPr>
            <w:instrText xml:space="preserve"> PAGEREF _Toc225442460 \h </w:instrText>
          </w:r>
          <w:r>
            <w:rPr>
              <w:rFonts w:cs="Times New Roman"/>
              <w:szCs w:val="24"/>
            </w:rPr>
            <w:fldChar w:fldCharType="separate"/>
          </w:r>
          <w:r>
            <w:rPr>
              <w:rFonts w:cs="Times New Roman"/>
              <w:szCs w:val="24"/>
            </w:rPr>
            <w:t>5</w:t>
          </w:r>
          <w:r>
            <w:rPr>
              <w:rFonts w:cs="Times New Roman"/>
              <w:szCs w:val="24"/>
            </w:rPr>
            <w:fldChar w:fldCharType="end"/>
          </w:r>
          <w:r>
            <w:rPr>
              <w:rFonts w:cs="Times New Roman"/>
              <w:szCs w:val="24"/>
            </w:rPr>
            <w:fldChar w:fldCharType="end"/>
          </w:r>
        </w:p>
        <w:p w14:paraId="037E6E57">
          <w:pPr>
            <w:pStyle w:val="15"/>
            <w:tabs>
              <w:tab w:val="right" w:leader="dot" w:pos="8296"/>
            </w:tabs>
            <w:ind w:left="0" w:leftChars="0"/>
            <w:jc w:val="left"/>
            <w:rPr>
              <w:rFonts w:cs="Times New Roman"/>
              <w:szCs w:val="24"/>
            </w:rPr>
          </w:pPr>
          <w:r>
            <w:fldChar w:fldCharType="begin"/>
          </w:r>
          <w:r>
            <w:instrText xml:space="preserve"> HYPERLINK \l "_Toc225442461" </w:instrText>
          </w:r>
          <w:r>
            <w:fldChar w:fldCharType="separate"/>
          </w:r>
          <w:r>
            <w:rPr>
              <w:rStyle w:val="22"/>
              <w:rFonts w:cs="Times New Roman"/>
              <w:color w:val="auto"/>
              <w:szCs w:val="24"/>
            </w:rPr>
            <w:t>S3</w:t>
          </w:r>
          <w:r>
            <w:rPr>
              <w:rFonts w:cs="Times New Roman"/>
              <w:szCs w:val="24"/>
            </w:rPr>
            <w:tab/>
          </w:r>
          <w:r>
            <w:rPr>
              <w:rFonts w:cs="Times New Roman"/>
              <w:szCs w:val="24"/>
            </w:rPr>
            <w:fldChar w:fldCharType="begin"/>
          </w:r>
          <w:r>
            <w:rPr>
              <w:rFonts w:cs="Times New Roman"/>
              <w:szCs w:val="24"/>
            </w:rPr>
            <w:instrText xml:space="preserve"> PAGEREF _Toc225442461 \h </w:instrText>
          </w:r>
          <w:r>
            <w:rPr>
              <w:rFonts w:cs="Times New Roman"/>
              <w:szCs w:val="24"/>
            </w:rPr>
            <w:fldChar w:fldCharType="separate"/>
          </w:r>
          <w:r>
            <w:rPr>
              <w:rFonts w:cs="Times New Roman"/>
              <w:szCs w:val="24"/>
            </w:rPr>
            <w:t>13</w:t>
          </w:r>
          <w:r>
            <w:rPr>
              <w:rFonts w:cs="Times New Roman"/>
              <w:szCs w:val="24"/>
            </w:rPr>
            <w:fldChar w:fldCharType="end"/>
          </w:r>
          <w:r>
            <w:rPr>
              <w:rFonts w:cs="Times New Roman"/>
              <w:szCs w:val="24"/>
            </w:rPr>
            <w:fldChar w:fldCharType="end"/>
          </w:r>
        </w:p>
        <w:p w14:paraId="245BB9FA">
          <w:pPr>
            <w:pStyle w:val="15"/>
            <w:tabs>
              <w:tab w:val="right" w:leader="dot" w:pos="8296"/>
            </w:tabs>
            <w:ind w:left="0" w:leftChars="0"/>
            <w:jc w:val="left"/>
            <w:rPr>
              <w:rFonts w:cs="Times New Roman"/>
              <w:szCs w:val="24"/>
            </w:rPr>
          </w:pPr>
          <w:r>
            <w:fldChar w:fldCharType="begin"/>
          </w:r>
          <w:r>
            <w:instrText xml:space="preserve"> HYPERLINK \l "_Toc225442462" </w:instrText>
          </w:r>
          <w:r>
            <w:fldChar w:fldCharType="separate"/>
          </w:r>
          <w:r>
            <w:rPr>
              <w:rStyle w:val="22"/>
              <w:rFonts w:cs="Times New Roman"/>
              <w:color w:val="auto"/>
              <w:szCs w:val="24"/>
            </w:rPr>
            <w:t>S4</w:t>
          </w:r>
          <w:r>
            <w:rPr>
              <w:rFonts w:cs="Times New Roman"/>
              <w:szCs w:val="24"/>
            </w:rPr>
            <w:tab/>
          </w:r>
          <w:r>
            <w:rPr>
              <w:rFonts w:cs="Times New Roman"/>
              <w:szCs w:val="24"/>
            </w:rPr>
            <w:fldChar w:fldCharType="begin"/>
          </w:r>
          <w:r>
            <w:rPr>
              <w:rFonts w:cs="Times New Roman"/>
              <w:szCs w:val="24"/>
            </w:rPr>
            <w:instrText xml:space="preserve"> PAGEREF _Toc225442462 \h </w:instrText>
          </w:r>
          <w:r>
            <w:rPr>
              <w:rFonts w:cs="Times New Roman"/>
              <w:szCs w:val="24"/>
            </w:rPr>
            <w:fldChar w:fldCharType="separate"/>
          </w:r>
          <w:r>
            <w:rPr>
              <w:rFonts w:cs="Times New Roman"/>
              <w:szCs w:val="24"/>
            </w:rPr>
            <w:t>20</w:t>
          </w:r>
          <w:r>
            <w:rPr>
              <w:rFonts w:cs="Times New Roman"/>
              <w:szCs w:val="24"/>
            </w:rPr>
            <w:fldChar w:fldCharType="end"/>
          </w:r>
          <w:r>
            <w:rPr>
              <w:rFonts w:cs="Times New Roman"/>
              <w:szCs w:val="24"/>
            </w:rPr>
            <w:fldChar w:fldCharType="end"/>
          </w:r>
        </w:p>
        <w:p w14:paraId="6DFA7266">
          <w:pPr>
            <w:pStyle w:val="15"/>
            <w:tabs>
              <w:tab w:val="right" w:leader="dot" w:pos="8296"/>
            </w:tabs>
            <w:ind w:left="0" w:leftChars="0"/>
            <w:jc w:val="left"/>
            <w:rPr>
              <w:rFonts w:cs="Times New Roman"/>
              <w:szCs w:val="24"/>
            </w:rPr>
          </w:pPr>
          <w:r>
            <w:fldChar w:fldCharType="begin"/>
          </w:r>
          <w:r>
            <w:instrText xml:space="preserve"> HYPERLINK \l "_Toc225442463" </w:instrText>
          </w:r>
          <w:r>
            <w:fldChar w:fldCharType="separate"/>
          </w:r>
          <w:r>
            <w:rPr>
              <w:rStyle w:val="22"/>
              <w:rFonts w:cs="Times New Roman"/>
              <w:color w:val="auto"/>
              <w:szCs w:val="24"/>
            </w:rPr>
            <w:t>S5</w:t>
          </w:r>
          <w:r>
            <w:rPr>
              <w:rFonts w:cs="Times New Roman"/>
              <w:szCs w:val="24"/>
            </w:rPr>
            <w:tab/>
          </w:r>
          <w:r>
            <w:rPr>
              <w:rFonts w:cs="Times New Roman"/>
              <w:szCs w:val="24"/>
            </w:rPr>
            <w:fldChar w:fldCharType="begin"/>
          </w:r>
          <w:r>
            <w:rPr>
              <w:rFonts w:cs="Times New Roman"/>
              <w:szCs w:val="24"/>
            </w:rPr>
            <w:instrText xml:space="preserve"> PAGEREF _Toc225442463 \h </w:instrText>
          </w:r>
          <w:r>
            <w:rPr>
              <w:rFonts w:cs="Times New Roman"/>
              <w:szCs w:val="24"/>
            </w:rPr>
            <w:fldChar w:fldCharType="separate"/>
          </w:r>
          <w:r>
            <w:rPr>
              <w:rFonts w:cs="Times New Roman"/>
              <w:szCs w:val="24"/>
            </w:rPr>
            <w:t>30</w:t>
          </w:r>
          <w:r>
            <w:rPr>
              <w:rFonts w:cs="Times New Roman"/>
              <w:szCs w:val="24"/>
            </w:rPr>
            <w:fldChar w:fldCharType="end"/>
          </w:r>
          <w:r>
            <w:rPr>
              <w:rFonts w:cs="Times New Roman"/>
              <w:szCs w:val="24"/>
            </w:rPr>
            <w:fldChar w:fldCharType="end"/>
          </w:r>
        </w:p>
        <w:p w14:paraId="3C03B74E">
          <w:r>
            <w:rPr>
              <w:rFonts w:cs="Times New Roman"/>
              <w:b/>
              <w:bCs/>
              <w:szCs w:val="24"/>
              <w:lang w:val="zh-CN"/>
            </w:rPr>
            <w:fldChar w:fldCharType="end"/>
          </w:r>
        </w:p>
      </w:sdtContent>
    </w:sdt>
    <w:p w14:paraId="759BF5BD">
      <w:pPr>
        <w:rPr>
          <w:b/>
          <w:bCs/>
          <w:sz w:val="30"/>
          <w:szCs w:val="30"/>
        </w:rPr>
        <w:sectPr>
          <w:footerReference r:id="rId6" w:type="first"/>
          <w:footerReference r:id="rId5" w:type="default"/>
          <w:pgSz w:w="11906" w:h="16838"/>
          <w:pgMar w:top="1440" w:right="1800" w:bottom="1440" w:left="1800" w:header="851" w:footer="992" w:gutter="0"/>
          <w:cols w:space="425" w:num="1"/>
          <w:docGrid w:type="lines" w:linePitch="312" w:charSpace="0"/>
        </w:sectPr>
      </w:pPr>
      <w:bookmarkStart w:id="8" w:name="_GoBack"/>
      <w:bookmarkEnd w:id="8"/>
    </w:p>
    <w:p w14:paraId="7B2F3BA8">
      <w:pPr>
        <w:pStyle w:val="3"/>
        <w:spacing w:before="163" w:after="163"/>
      </w:pPr>
      <w:bookmarkStart w:id="0" w:name="_Toc225442459"/>
      <w:r>
        <w:t xml:space="preserve">S1: Literature </w:t>
      </w:r>
      <w:r>
        <w:rPr>
          <w:rFonts w:hint="eastAsia"/>
        </w:rPr>
        <w:t>R</w:t>
      </w:r>
      <w:r>
        <w:t>eview</w:t>
      </w:r>
      <w:bookmarkEnd w:id="0"/>
    </w:p>
    <w:p w14:paraId="5E10A0BA">
      <w:pPr>
        <w:pStyle w:val="36"/>
        <w:numPr>
          <w:ilvl w:val="0"/>
          <w:numId w:val="1"/>
        </w:numPr>
        <w:rPr>
          <w:b/>
          <w:bCs/>
        </w:rPr>
      </w:pPr>
      <w:r>
        <w:rPr>
          <w:b/>
          <w:bCs/>
        </w:rPr>
        <w:t xml:space="preserve">Databases </w:t>
      </w:r>
      <w:r>
        <w:rPr>
          <w:rFonts w:hint="eastAsia"/>
          <w:b/>
          <w:bCs/>
        </w:rPr>
        <w:t>s</w:t>
      </w:r>
      <w:r>
        <w:rPr>
          <w:b/>
          <w:bCs/>
        </w:rPr>
        <w:t>earched</w:t>
      </w:r>
    </w:p>
    <w:p w14:paraId="3EF2F3C9">
      <w:pPr>
        <w:ind w:firstLine="480" w:firstLineChars="200"/>
      </w:pPr>
      <w:r>
        <w:t>China National Knowledge Infrastructure, Wanfang Database, China Biomedical Literature Database, VIP Database, Chinese Medical Association Journals, PubMed, Web of Science, The Cochrane Library, Embase, CINAHL, BMJ Best Practice, China Clinical Guidelines Library</w:t>
      </w:r>
      <w:r>
        <w:rPr>
          <w:rFonts w:hint="eastAsia"/>
        </w:rPr>
        <w:t xml:space="preserve">, </w:t>
      </w:r>
      <w:r>
        <w:t>UpToDate, Yimaitong (Chinese Guidelines Platform), Scottish Intercollegiate Guidelines Network (SIGN), National Institute for Health and Care Excellence (NICE), New Zealand Guidelines Group (NZGG), Canadian Medical Association Clinical Practice Guidelines Database (CMA), Guidelines International Network (GIN), National Guideline Clearinghouse (NGC), American Thoracic Society (ATS), American College of Chest Physicians (ACCP) website, American Association for Respiratory Care (AARC) website, and European Respiratory Society (ERS) website.</w:t>
      </w:r>
    </w:p>
    <w:p w14:paraId="097F354C">
      <w:pPr>
        <w:pStyle w:val="36"/>
        <w:numPr>
          <w:ilvl w:val="0"/>
          <w:numId w:val="1"/>
        </w:numPr>
        <w:rPr>
          <w:b/>
          <w:bCs/>
        </w:rPr>
      </w:pPr>
      <w:r>
        <w:rPr>
          <w:rFonts w:hint="eastAsia"/>
          <w:b/>
          <w:bCs/>
        </w:rPr>
        <w:t>S</w:t>
      </w:r>
      <w:r>
        <w:rPr>
          <w:b/>
          <w:bCs/>
        </w:rPr>
        <w:t>earch terms</w:t>
      </w:r>
    </w:p>
    <w:p w14:paraId="702C5ED3">
      <w:pPr>
        <w:ind w:firstLine="480" w:firstLineChars="200"/>
      </w:pPr>
      <w:r>
        <w:t>search terms: pulmonary hypertension, pulmonary arterial hypertension, rehabilitation, breathing, respiration, respiratory, kinesiotherapy, exercise*, training, oxygen therapy, oxygen inhalation, nutrition, nutritional, health education, follow up, nursing, guideline, consensus, systematic review, meta-analysis, evidence summary, evidence synthesis, best practice, clinical decision</w:t>
      </w:r>
    </w:p>
    <w:p w14:paraId="10D92E4F">
      <w:pPr>
        <w:pStyle w:val="36"/>
        <w:numPr>
          <w:ilvl w:val="0"/>
          <w:numId w:val="1"/>
        </w:numPr>
        <w:rPr>
          <w:b/>
          <w:bCs/>
        </w:rPr>
      </w:pPr>
      <w:r>
        <w:rPr>
          <w:rFonts w:hint="eastAsia"/>
          <w:b/>
          <w:bCs/>
        </w:rPr>
        <w:t>S</w:t>
      </w:r>
      <w:r>
        <w:rPr>
          <w:b/>
          <w:bCs/>
        </w:rPr>
        <w:t>earch period</w:t>
      </w:r>
    </w:p>
    <w:p w14:paraId="76D2565A">
      <w:pPr>
        <w:ind w:firstLine="480" w:firstLineChars="200"/>
      </w:pPr>
      <w:r>
        <w:t>The search covered publications from January 2020 to July 2025.</w:t>
      </w:r>
    </w:p>
    <w:p w14:paraId="7E47A9BC">
      <w:pPr>
        <w:pStyle w:val="36"/>
        <w:numPr>
          <w:ilvl w:val="0"/>
          <w:numId w:val="1"/>
        </w:numPr>
        <w:rPr>
          <w:b/>
          <w:bCs/>
        </w:rPr>
      </w:pPr>
      <w:r>
        <w:rPr>
          <w:rFonts w:hint="eastAsia"/>
          <w:b/>
          <w:bCs/>
        </w:rPr>
        <w:t xml:space="preserve">Figure S1 </w:t>
      </w:r>
      <w:r>
        <w:rPr>
          <w:b/>
          <w:bCs/>
        </w:rPr>
        <w:t>Literature</w:t>
      </w:r>
      <w:r>
        <w:rPr>
          <w:rFonts w:hint="eastAsia"/>
          <w:b/>
          <w:bCs/>
        </w:rPr>
        <w:t xml:space="preserve"> s</w:t>
      </w:r>
      <w:r>
        <w:rPr>
          <w:b/>
          <w:bCs/>
        </w:rPr>
        <w:t xml:space="preserve">creening </w:t>
      </w:r>
      <w:r>
        <w:rPr>
          <w:rFonts w:hint="eastAsia"/>
          <w:b/>
          <w:bCs/>
        </w:rPr>
        <w:t>f</w:t>
      </w:r>
      <w:r>
        <w:rPr>
          <w:b/>
          <w:bCs/>
        </w:rPr>
        <w:t>lowchart</w:t>
      </w:r>
    </w:p>
    <w:p w14:paraId="1E4798FF">
      <w:pPr>
        <w:rPr>
          <w:b/>
          <w:bCs/>
        </w:rPr>
      </w:pPr>
      <w:r>
        <mc:AlternateContent>
          <mc:Choice Requires="wpg">
            <w:drawing>
              <wp:anchor distT="0" distB="0" distL="114300" distR="114300" simplePos="0" relativeHeight="251659264" behindDoc="0" locked="0" layoutInCell="1" allowOverlap="1">
                <wp:simplePos x="0" y="0"/>
                <wp:positionH relativeFrom="column">
                  <wp:posOffset>214630</wp:posOffset>
                </wp:positionH>
                <wp:positionV relativeFrom="paragraph">
                  <wp:posOffset>0</wp:posOffset>
                </wp:positionV>
                <wp:extent cx="4897755" cy="4184650"/>
                <wp:effectExtent l="0" t="0" r="17145" b="25400"/>
                <wp:wrapTopAndBottom/>
                <wp:docPr id="91" name="组合 2"/>
                <wp:cNvGraphicFramePr/>
                <a:graphic xmlns:a="http://schemas.openxmlformats.org/drawingml/2006/main">
                  <a:graphicData uri="http://schemas.microsoft.com/office/word/2010/wordprocessingGroup">
                    <wpg:wgp>
                      <wpg:cNvGrpSpPr/>
                      <wpg:grpSpPr>
                        <a:xfrm>
                          <a:off x="0" y="0"/>
                          <a:ext cx="4897755" cy="4184650"/>
                          <a:chOff x="1537849" y="887987"/>
                          <a:chExt cx="6092868" cy="4991149"/>
                        </a:xfrm>
                        <a:effectLst/>
                      </wpg:grpSpPr>
                      <wpg:grpSp>
                        <wpg:cNvPr id="2108242106" name="组合 2108242106"/>
                        <wpg:cNvGrpSpPr/>
                        <wpg:grpSpPr>
                          <a:xfrm>
                            <a:off x="1537849" y="887987"/>
                            <a:ext cx="6092868" cy="4991149"/>
                            <a:chOff x="2391" y="1205"/>
                            <a:chExt cx="9473" cy="6773"/>
                          </a:xfrm>
                          <a:effectLst/>
                        </wpg:grpSpPr>
                        <wpg:grpSp>
                          <wpg:cNvPr id="1026659945" name="Group 86"/>
                          <wpg:cNvGrpSpPr/>
                          <wpg:grpSpPr>
                            <a:xfrm>
                              <a:off x="2391" y="1205"/>
                              <a:ext cx="9473" cy="2331"/>
                              <a:chOff x="2391" y="1205"/>
                              <a:chExt cx="9473" cy="2331"/>
                            </a:xfrm>
                            <a:effectLst/>
                          </wpg:grpSpPr>
                          <wps:wsp>
                            <wps:cNvPr id="2112921394" name="Text Box 63"/>
                            <wps:cNvSpPr txBox="1">
                              <a:spLocks noChangeArrowheads="1"/>
                            </wps:cNvSpPr>
                            <wps:spPr bwMode="auto">
                              <a:xfrm>
                                <a:off x="2391" y="1205"/>
                                <a:ext cx="7486" cy="965"/>
                              </a:xfrm>
                              <a:prstGeom prst="rect">
                                <a:avLst/>
                              </a:prstGeom>
                              <a:solidFill>
                                <a:srgbClr val="FFFFFF"/>
                              </a:solidFill>
                              <a:ln w="9525">
                                <a:solidFill>
                                  <a:srgbClr val="000000"/>
                                </a:solidFill>
                                <a:miter lim="800000"/>
                              </a:ln>
                              <a:effectLst/>
                            </wps:spPr>
                            <wps:txbx>
                              <w:txbxContent>
                                <w:p w14:paraId="1CDDFB39">
                                  <w:pPr>
                                    <w:jc w:val="center"/>
                                    <w:rPr>
                                      <w:rFonts w:hint="eastAsia" w:hAnsi="等线" w:eastAsia="等线" w:cs="Times New Roman"/>
                                      <w:szCs w:val="21"/>
                                    </w:rPr>
                                  </w:pPr>
                                  <w:r>
                                    <w:rPr>
                                      <w:rFonts w:hAnsi="等线" w:eastAsia="等线" w:cs="Times New Roman"/>
                                      <w:szCs w:val="21"/>
                                    </w:rPr>
                                    <w:t>Records identified through database searching and authoritative websites</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3316</w:t>
                                  </w:r>
                                  <w:r>
                                    <w:rPr>
                                      <w:rFonts w:eastAsia="等线" w:cs="Times New Roman"/>
                                      <w:szCs w:val="21"/>
                                    </w:rPr>
                                    <w:t>)</w:t>
                                  </w:r>
                                </w:p>
                                <w:p w14:paraId="0AFB80E4">
                                  <w:pPr>
                                    <w:rPr>
                                      <w:rFonts w:eastAsia="等线" w:cs="Times New Roman"/>
                                      <w:szCs w:val="21"/>
                                    </w:rPr>
                                  </w:pPr>
                                </w:p>
                              </w:txbxContent>
                            </wps:txbx>
                            <wps:bodyPr rot="0" vert="horz" wrap="square" lIns="91440" tIns="45720" rIns="91440" bIns="45720" anchor="t" anchorCtr="0" upright="1">
                              <a:noAutofit/>
                            </wps:bodyPr>
                          </wps:wsp>
                          <wps:wsp>
                            <wps:cNvPr id="431403304" name="AutoShape 64"/>
                            <wps:cNvCnPr>
                              <a:cxnSpLocks noChangeShapeType="1"/>
                            </wps:cNvCnPr>
                            <wps:spPr bwMode="auto">
                              <a:xfrm>
                                <a:off x="6134" y="2170"/>
                                <a:ext cx="0" cy="1366"/>
                              </a:xfrm>
                              <a:prstGeom prst="straightConnector1">
                                <a:avLst/>
                              </a:prstGeom>
                              <a:noFill/>
                              <a:ln w="9525">
                                <a:solidFill>
                                  <a:srgbClr val="000000"/>
                                </a:solidFill>
                                <a:round/>
                                <a:tailEnd type="triangle" w="med" len="med"/>
                              </a:ln>
                              <a:effectLst/>
                            </wps:spPr>
                            <wps:bodyPr/>
                          </wps:wsp>
                          <wps:wsp>
                            <wps:cNvPr id="61287816" name="Text Box 67"/>
                            <wps:cNvSpPr txBox="1">
                              <a:spLocks noChangeArrowheads="1"/>
                            </wps:cNvSpPr>
                            <wps:spPr bwMode="auto">
                              <a:xfrm>
                                <a:off x="6520" y="2392"/>
                                <a:ext cx="5344" cy="916"/>
                              </a:xfrm>
                              <a:prstGeom prst="rect">
                                <a:avLst/>
                              </a:prstGeom>
                              <a:solidFill>
                                <a:srgbClr val="FFFFFF"/>
                              </a:solidFill>
                              <a:ln w="9525">
                                <a:solidFill>
                                  <a:srgbClr val="000000"/>
                                </a:solidFill>
                                <a:miter lim="800000"/>
                              </a:ln>
                              <a:effectLst/>
                            </wps:spPr>
                            <wps:txbx>
                              <w:txbxContent>
                                <w:p w14:paraId="4040C305">
                                  <w:pPr>
                                    <w:rPr>
                                      <w:rFonts w:eastAsia="等线" w:cs="Times New Roman"/>
                                      <w:szCs w:val="21"/>
                                    </w:rPr>
                                  </w:pPr>
                                  <w:r>
                                    <w:rPr>
                                      <w:rFonts w:eastAsia="等线" w:cs="Times New Roman"/>
                                      <w:szCs w:val="21"/>
                                    </w:rPr>
                                    <w:t>Duplicate records removed using EndNote (</w:t>
                                  </w:r>
                                  <w:r>
                                    <w:rPr>
                                      <w:rFonts w:eastAsia="等线" w:cs="Times New Roman"/>
                                      <w:i/>
                                      <w:iCs/>
                                      <w:szCs w:val="21"/>
                                    </w:rPr>
                                    <w:t>n</w:t>
                                  </w:r>
                                  <w:r>
                                    <w:rPr>
                                      <w:rFonts w:eastAsia="等线" w:cs="Times New Roman"/>
                                      <w:szCs w:val="21"/>
                                    </w:rPr>
                                    <w:t>=</w:t>
                                  </w:r>
                                  <w:r>
                                    <w:rPr>
                                      <w:rFonts w:hint="eastAsia" w:eastAsia="等线" w:cs="Times New Roman"/>
                                      <w:szCs w:val="21"/>
                                    </w:rPr>
                                    <w:t>796</w:t>
                                  </w:r>
                                  <w:r>
                                    <w:rPr>
                                      <w:rFonts w:eastAsia="等线" w:cs="Times New Roman"/>
                                      <w:szCs w:val="21"/>
                                    </w:rPr>
                                    <w:t>)</w:t>
                                  </w:r>
                                  <w:r>
                                    <w:rPr>
                                      <w:rFonts w:hint="eastAsia" w:eastAsia="等线" w:cs="Times New Roman"/>
                                      <w:szCs w:val="21"/>
                                    </w:rPr>
                                    <w:t xml:space="preserve">                                           </w:t>
                                  </w:r>
                                </w:p>
                              </w:txbxContent>
                            </wps:txbx>
                            <wps:bodyPr rot="0" vert="horz" wrap="square" lIns="91440" tIns="45720" rIns="91440" bIns="45720" anchor="t" anchorCtr="0" upright="1">
                              <a:noAutofit/>
                            </wps:bodyPr>
                          </wps:wsp>
                        </wpg:grpSp>
                        <wps:wsp>
                          <wps:cNvPr id="907458124" name="Text Box 72"/>
                          <wps:cNvSpPr txBox="1">
                            <a:spLocks noChangeArrowheads="1"/>
                          </wps:cNvSpPr>
                          <wps:spPr bwMode="auto">
                            <a:xfrm>
                              <a:off x="2487" y="3537"/>
                              <a:ext cx="7365" cy="563"/>
                            </a:xfrm>
                            <a:prstGeom prst="rect">
                              <a:avLst/>
                            </a:prstGeom>
                            <a:solidFill>
                              <a:srgbClr val="FFFFFF"/>
                            </a:solidFill>
                            <a:ln w="9525">
                              <a:solidFill>
                                <a:srgbClr val="000000"/>
                              </a:solidFill>
                              <a:miter lim="800000"/>
                            </a:ln>
                            <a:effectLst/>
                          </wps:spPr>
                          <wps:txbx>
                            <w:txbxContent>
                              <w:p w14:paraId="35239D1E">
                                <w:pPr>
                                  <w:jc w:val="center"/>
                                  <w:rPr>
                                    <w:rFonts w:hint="eastAsia" w:hAnsi="等线" w:eastAsia="等线" w:cs="Times New Roman"/>
                                    <w:szCs w:val="21"/>
                                  </w:rPr>
                                </w:pPr>
                                <w:r>
                                  <w:rPr>
                                    <w:rFonts w:hAnsi="等线" w:eastAsia="等线" w:cs="Times New Roman"/>
                                    <w:szCs w:val="21"/>
                                  </w:rPr>
                                  <w:t>Records after duplicates removed</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2520</w:t>
                                </w:r>
                                <w:r>
                                  <w:rPr>
                                    <w:rFonts w:eastAsia="等线" w:cs="Times New Roman"/>
                                    <w:szCs w:val="21"/>
                                  </w:rPr>
                                  <w:t>)</w:t>
                                </w:r>
                              </w:p>
                            </w:txbxContent>
                          </wps:txbx>
                          <wps:bodyPr rot="0" vert="horz" wrap="square" lIns="91440" tIns="45720" rIns="91440" bIns="45720" anchor="t" anchorCtr="0" upright="1">
                            <a:noAutofit/>
                          </wps:bodyPr>
                        </wps:wsp>
                        <wps:wsp>
                          <wps:cNvPr id="1426318836" name="AutoShape 74"/>
                          <wps:cNvCnPr>
                            <a:cxnSpLocks noChangeShapeType="1"/>
                          </wps:cNvCnPr>
                          <wps:spPr bwMode="auto">
                            <a:xfrm>
                              <a:off x="6130" y="4826"/>
                              <a:ext cx="390" cy="0"/>
                            </a:xfrm>
                            <a:prstGeom prst="straightConnector1">
                              <a:avLst/>
                            </a:prstGeom>
                            <a:noFill/>
                            <a:ln w="9525">
                              <a:solidFill>
                                <a:srgbClr val="000000"/>
                              </a:solidFill>
                              <a:round/>
                              <a:tailEnd type="triangle" w="med" len="med"/>
                            </a:ln>
                            <a:effectLst/>
                          </wps:spPr>
                          <wps:bodyPr/>
                        </wps:wsp>
                        <wps:wsp>
                          <wps:cNvPr id="302614441" name="Text Box 75"/>
                          <wps:cNvSpPr txBox="1">
                            <a:spLocks noChangeArrowheads="1"/>
                          </wps:cNvSpPr>
                          <wps:spPr bwMode="auto">
                            <a:xfrm>
                              <a:off x="6533" y="4346"/>
                              <a:ext cx="5314" cy="937"/>
                            </a:xfrm>
                            <a:prstGeom prst="rect">
                              <a:avLst/>
                            </a:prstGeom>
                            <a:solidFill>
                              <a:srgbClr val="FFFFFF"/>
                            </a:solidFill>
                            <a:ln w="9525">
                              <a:solidFill>
                                <a:srgbClr val="000000"/>
                              </a:solidFill>
                              <a:miter lim="800000"/>
                            </a:ln>
                            <a:effectLst/>
                          </wps:spPr>
                          <wps:txbx>
                            <w:txbxContent>
                              <w:p w14:paraId="26D34A76">
                                <w:pPr>
                                  <w:rPr>
                                    <w:rFonts w:hint="eastAsia" w:hAnsi="等线" w:eastAsia="等线" w:cs="Times New Roman"/>
                                    <w:szCs w:val="21"/>
                                  </w:rPr>
                                </w:pPr>
                                <w:r>
                                  <w:rPr>
                                    <w:rFonts w:hAnsi="等线" w:eastAsia="等线" w:cs="Times New Roman"/>
                                    <w:szCs w:val="21"/>
                                  </w:rPr>
                                  <w:t>Records excluded after title and abstract screening</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2352</w:t>
                                </w:r>
                                <w:r>
                                  <w:rPr>
                                    <w:rFonts w:eastAsia="等线" w:cs="Times New Roman"/>
                                    <w:szCs w:val="21"/>
                                  </w:rPr>
                                  <w:t>)</w:t>
                                </w:r>
                              </w:p>
                            </w:txbxContent>
                          </wps:txbx>
                          <wps:bodyPr rot="0" vert="horz" wrap="square" lIns="91440" tIns="45720" rIns="91440" bIns="45720" anchor="t" anchorCtr="0" upright="1">
                            <a:noAutofit/>
                          </wps:bodyPr>
                        </wps:wsp>
                        <wpg:grpSp>
                          <wpg:cNvPr id="467235067" name="Group 84"/>
                          <wpg:cNvGrpSpPr/>
                          <wpg:grpSpPr>
                            <a:xfrm>
                              <a:off x="2560" y="4100"/>
                              <a:ext cx="9278" cy="3878"/>
                              <a:chOff x="2560" y="4100"/>
                              <a:chExt cx="9278" cy="3878"/>
                            </a:xfrm>
                            <a:effectLst/>
                          </wpg:grpSpPr>
                          <wps:wsp>
                            <wps:cNvPr id="507575760" name="Text Box 76"/>
                            <wps:cNvSpPr txBox="1">
                              <a:spLocks noChangeArrowheads="1"/>
                            </wps:cNvSpPr>
                            <wps:spPr bwMode="auto">
                              <a:xfrm>
                                <a:off x="2560" y="5502"/>
                                <a:ext cx="7271" cy="863"/>
                              </a:xfrm>
                              <a:prstGeom prst="rect">
                                <a:avLst/>
                              </a:prstGeom>
                              <a:solidFill>
                                <a:srgbClr val="FFFFFF"/>
                              </a:solidFill>
                              <a:ln w="9525">
                                <a:solidFill>
                                  <a:srgbClr val="000000"/>
                                </a:solidFill>
                                <a:miter lim="800000"/>
                              </a:ln>
                              <a:effectLst/>
                            </wps:spPr>
                            <wps:txbx>
                              <w:txbxContent>
                                <w:p w14:paraId="28112BD0">
                                  <w:pPr>
                                    <w:jc w:val="center"/>
                                    <w:rPr>
                                      <w:rFonts w:hint="eastAsia" w:hAnsi="等线" w:eastAsia="等线" w:cs="Times New Roman"/>
                                      <w:szCs w:val="21"/>
                                    </w:rPr>
                                  </w:pPr>
                                  <w:r>
                                    <w:rPr>
                                      <w:rFonts w:hAnsi="等线" w:eastAsia="等线" w:cs="Times New Roman"/>
                                      <w:szCs w:val="21"/>
                                    </w:rPr>
                                    <w:t>Records remaining after title and abstract screening</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=1</w:t>
                                  </w:r>
                                  <w:r>
                                    <w:rPr>
                                      <w:rFonts w:hint="eastAsia" w:eastAsia="等线" w:cs="Times New Roman"/>
                                      <w:szCs w:val="21"/>
                                    </w:rPr>
                                    <w:t>68</w:t>
                                  </w:r>
                                  <w:r>
                                    <w:rPr>
                                      <w:rFonts w:eastAsia="等线" w:cs="Times New Roman"/>
                                      <w:szCs w:val="21"/>
                                    </w:rPr>
                                    <w:t>)</w:t>
                                  </w:r>
                                </w:p>
                              </w:txbxContent>
                            </wps:txbx>
                            <wps:bodyPr rot="0" vert="horz" wrap="square" lIns="91440" tIns="45720" rIns="91440" bIns="45720" anchor="t" anchorCtr="0" upright="1">
                              <a:noAutofit/>
                            </wps:bodyPr>
                          </wps:wsp>
                          <wps:wsp>
                            <wps:cNvPr id="21814988" name="AutoShape 77"/>
                            <wps:cNvCnPr>
                              <a:cxnSpLocks noChangeShapeType="1"/>
                            </wps:cNvCnPr>
                            <wps:spPr bwMode="auto">
                              <a:xfrm>
                                <a:off x="6169" y="6898"/>
                                <a:ext cx="390" cy="0"/>
                              </a:xfrm>
                              <a:prstGeom prst="straightConnector1">
                                <a:avLst/>
                              </a:prstGeom>
                              <a:noFill/>
                              <a:ln w="9525">
                                <a:solidFill>
                                  <a:srgbClr val="000000"/>
                                </a:solidFill>
                                <a:round/>
                                <a:tailEnd type="triangle" w="med" len="med"/>
                              </a:ln>
                              <a:effectLst/>
                            </wps:spPr>
                            <wps:bodyPr/>
                          </wps:wsp>
                          <wps:wsp>
                            <wps:cNvPr id="1644547717" name="Text Box 78"/>
                            <wps:cNvSpPr txBox="1">
                              <a:spLocks noChangeArrowheads="1"/>
                            </wps:cNvSpPr>
                            <wps:spPr bwMode="auto">
                              <a:xfrm>
                                <a:off x="6559" y="6630"/>
                                <a:ext cx="5279" cy="530"/>
                              </a:xfrm>
                              <a:prstGeom prst="rect">
                                <a:avLst/>
                              </a:prstGeom>
                              <a:solidFill>
                                <a:srgbClr val="FFFFFF"/>
                              </a:solidFill>
                              <a:ln w="9525">
                                <a:solidFill>
                                  <a:srgbClr val="000000"/>
                                </a:solidFill>
                                <a:miter lim="800000"/>
                              </a:ln>
                              <a:effectLst/>
                            </wps:spPr>
                            <wps:txbx>
                              <w:txbxContent>
                                <w:p w14:paraId="390F20BB">
                                  <w:pPr>
                                    <w:spacing w:line="240" w:lineRule="auto"/>
                                    <w:rPr>
                                      <w:rFonts w:hint="eastAsia" w:hAnsi="等线" w:eastAsia="等线" w:cs="Times New Roman"/>
                                      <w:szCs w:val="21"/>
                                    </w:rPr>
                                  </w:pPr>
                                  <w:r>
                                    <w:rPr>
                                      <w:rFonts w:hAnsi="等线" w:eastAsia="等线" w:cs="Times New Roman"/>
                                      <w:szCs w:val="21"/>
                                    </w:rPr>
                                    <w:t>Full-text articles excluded</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=1</w:t>
                                  </w:r>
                                  <w:r>
                                    <w:rPr>
                                      <w:rFonts w:hint="eastAsia" w:eastAsia="等线" w:cs="Times New Roman"/>
                                      <w:szCs w:val="21"/>
                                    </w:rPr>
                                    <w:t>54</w:t>
                                  </w:r>
                                  <w:r>
                                    <w:rPr>
                                      <w:rFonts w:eastAsia="等线" w:cs="Times New Roman"/>
                                      <w:szCs w:val="21"/>
                                    </w:rPr>
                                    <w:t>)</w:t>
                                  </w:r>
                                </w:p>
                              </w:txbxContent>
                            </wps:txbx>
                            <wps:bodyPr rot="0" vert="horz" wrap="square" lIns="91440" tIns="45720" rIns="91440" bIns="45720" anchor="t" anchorCtr="0" upright="1">
                              <a:noAutofit/>
                            </wps:bodyPr>
                          </wps:wsp>
                          <wps:wsp>
                            <wps:cNvPr id="1398895365" name="AutoShape 79"/>
                            <wps:cNvCnPr>
                              <a:cxnSpLocks noChangeShapeType="1"/>
                            </wps:cNvCnPr>
                            <wps:spPr bwMode="auto">
                              <a:xfrm>
                                <a:off x="6143" y="4100"/>
                                <a:ext cx="0" cy="1402"/>
                              </a:xfrm>
                              <a:prstGeom prst="straightConnector1">
                                <a:avLst/>
                              </a:prstGeom>
                              <a:noFill/>
                              <a:ln w="9525">
                                <a:solidFill>
                                  <a:srgbClr val="000000"/>
                                </a:solidFill>
                                <a:round/>
                                <a:tailEnd type="triangle" w="med" len="med"/>
                              </a:ln>
                              <a:effectLst/>
                            </wps:spPr>
                            <wps:bodyPr/>
                          </wps:wsp>
                          <wpg:grpSp>
                            <wpg:cNvPr id="1808264462" name="Group 83"/>
                            <wpg:cNvGrpSpPr/>
                            <wpg:grpSpPr>
                              <a:xfrm>
                                <a:off x="2560" y="6365"/>
                                <a:ext cx="7317" cy="1613"/>
                                <a:chOff x="2560" y="6365"/>
                                <a:chExt cx="7317" cy="1613"/>
                              </a:xfrm>
                              <a:effectLst/>
                            </wpg:grpSpPr>
                            <wps:wsp>
                              <wps:cNvPr id="1083340969" name="AutoShape 81"/>
                              <wps:cNvCnPr>
                                <a:cxnSpLocks noChangeShapeType="1"/>
                              </wps:cNvCnPr>
                              <wps:spPr bwMode="auto">
                                <a:xfrm>
                                  <a:off x="6169" y="6365"/>
                                  <a:ext cx="0" cy="1145"/>
                                </a:xfrm>
                                <a:prstGeom prst="straightConnector1">
                                  <a:avLst/>
                                </a:prstGeom>
                                <a:noFill/>
                                <a:ln w="9525">
                                  <a:solidFill>
                                    <a:srgbClr val="000000"/>
                                  </a:solidFill>
                                  <a:round/>
                                  <a:tailEnd type="triangle" w="med" len="med"/>
                                </a:ln>
                                <a:effectLst/>
                              </wps:spPr>
                              <wps:bodyPr/>
                            </wps:wsp>
                            <wps:wsp>
                              <wps:cNvPr id="276790537" name="Text Box 82"/>
                              <wps:cNvSpPr txBox="1">
                                <a:spLocks noChangeArrowheads="1"/>
                              </wps:cNvSpPr>
                              <wps:spPr bwMode="auto">
                                <a:xfrm>
                                  <a:off x="2560" y="7510"/>
                                  <a:ext cx="7317" cy="468"/>
                                </a:xfrm>
                                <a:prstGeom prst="rect">
                                  <a:avLst/>
                                </a:prstGeom>
                                <a:solidFill>
                                  <a:srgbClr val="FFFFFF"/>
                                </a:solidFill>
                                <a:ln w="9525">
                                  <a:solidFill>
                                    <a:srgbClr val="000000"/>
                                  </a:solidFill>
                                  <a:miter lim="800000"/>
                                </a:ln>
                                <a:effectLst/>
                              </wps:spPr>
                              <wps:txbx>
                                <w:txbxContent>
                                  <w:p w14:paraId="5FA3B75C">
                                    <w:pPr>
                                      <w:jc w:val="center"/>
                                      <w:rPr>
                                        <w:rFonts w:hint="eastAsia" w:hAnsi="等线" w:eastAsia="等线" w:cs="Times New Roman"/>
                                        <w:szCs w:val="21"/>
                                      </w:rPr>
                                    </w:pPr>
                                    <w:r>
                                      <w:rPr>
                                        <w:rFonts w:hAnsi="等线" w:eastAsia="等线" w:cs="Times New Roman"/>
                                        <w:szCs w:val="21"/>
                                      </w:rPr>
                                      <w:t>Studies included in final synthesis</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14</w:t>
                                    </w:r>
                                    <w:r>
                                      <w:rPr>
                                        <w:rFonts w:eastAsia="等线" w:cs="Times New Roman"/>
                                        <w:szCs w:val="21"/>
                                      </w:rPr>
                                      <w:t>)</w:t>
                                    </w:r>
                                  </w:p>
                                </w:txbxContent>
                              </wps:txbx>
                              <wps:bodyPr rot="0" vert="horz" wrap="square" lIns="91440" tIns="45720" rIns="91440" bIns="45720" anchor="t" anchorCtr="0" upright="1">
                                <a:noAutofit/>
                              </wps:bodyPr>
                            </wps:wsp>
                          </wpg:grpSp>
                        </wpg:grpSp>
                      </wpg:grpSp>
                      <wps:wsp>
                        <wps:cNvPr id="1156667032" name="AutoShape 74"/>
                        <wps:cNvCnPr>
                          <a:cxnSpLocks noChangeShapeType="1"/>
                        </wps:cNvCnPr>
                        <wps:spPr bwMode="auto">
                          <a:xfrm>
                            <a:off x="3951070" y="2110872"/>
                            <a:ext cx="250840" cy="0"/>
                          </a:xfrm>
                          <a:prstGeom prst="straightConnector1">
                            <a:avLst/>
                          </a:prstGeom>
                          <a:noFill/>
                          <a:ln w="9525">
                            <a:solidFill>
                              <a:srgbClr val="000000"/>
                            </a:solidFill>
                            <a:round/>
                            <a:tailEnd type="triangle" w="med" len="med"/>
                          </a:ln>
                          <a:effectLst/>
                        </wps:spPr>
                        <wps:bodyPr/>
                      </wps:wsp>
                    </wpg:wgp>
                  </a:graphicData>
                </a:graphic>
              </wp:anchor>
            </w:drawing>
          </mc:Choice>
          <mc:Fallback>
            <w:pict>
              <v:group id="组合 2" o:spid="_x0000_s1026" o:spt="203" style="position:absolute;left:0pt;margin-left:16.9pt;margin-top:0pt;height:329.5pt;width:385.65pt;mso-wrap-distance-bottom:0pt;mso-wrap-distance-top:0pt;z-index:251659264;mso-width-relative:page;mso-height-relative:page;" coordorigin="1537849,887987" coordsize="6092868,4991149" o:gfxdata="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">
                <o:lock v:ext="edit" aspectratio="f"/>
                <v:group id="_x0000_s1026" o:spid="_x0000_s1026" o:spt="203" style="position:absolute;left:1537849;top:887987;height:4991149;width:6092868;" coordorigin="2391,1205" coordsize="9473,6773" o:gfxdata="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Jwt1qwgAAAOMAAAAPAAAAAAAAAAEAIAAAACIAAABkcnMvZG93bnJl&#10;di54bWxQSwECFAAUAAAACACHTuJAMy8FnjsAAAA5AAAAFQAAAAAAAAABACAAAAARAQAAZHJzL2dy&#10;b3Vwc2hhcGV4bWwueG1sUEsFBgAAAAAGAAYAYAEAAM4DAAAAAA==&#10;">
                  <o:lock v:ext="edit" aspectratio="f"/>
                  <v:group id="Group 86" o:spid="_x0000_s1026" o:spt="203" style="position:absolute;left:2391;top:1205;height:2331;width:9473;" coordorigin="2391,1205" coordsize="9473,2331" o:gfxdata="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k2deewgAAAOMAAAAPAAAAAAAAAAEAIAAAACIAAABkcnMvZG93bnJl&#10;di54bWxQSwECFAAUAAAACACHTuJAMy8FnjsAAAA5AAAAFQAAAAAAAAABACAAAAARAQAAZHJzL2dy&#10;b3Vwc2hhcGV4bWwueG1sUEsFBgAAAAAGAAYAYAEAAM4DAAAAAA==&#10;">
                    <o:lock v:ext="edit" aspectratio="f"/>
                    <v:shape id="Text Box 63" o:spid="_x0000_s1026" o:spt="202" type="#_x0000_t202" style="position:absolute;left:2391;top:1205;height:965;width:7486;" fillcolor="#FFFFFF" filled="t" stroked="t" coordsize="21600,21600" o:gfxdata="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4dgSXFAAAA4wAAAA8AAAAAAAAAAQAgAAAAIgAAAGRycy9kb3ducmV2LnhtbFBLAQIUABQAAAAI&#10;AIdO4kAzLwWeOwAAADkAAAAQAAAAAAAAAAEAIAAAABQBAABkcnMvc2hhcGV4bWwueG1sUEsFBgAA&#10;AAAGAAYAWwEAAL4DAAAAAA==&#10;">
                      <v:fill on="t" focussize="0,0"/>
                      <v:stroke color="#000000" miterlimit="8" joinstyle="miter"/>
                      <v:imagedata o:title=""/>
                      <o:lock v:ext="edit" aspectratio="f"/>
                      <v:textbox>
                        <w:txbxContent>
                          <w:p w14:paraId="1CDDFB39">
                            <w:pPr>
                              <w:jc w:val="center"/>
                              <w:rPr>
                                <w:rFonts w:hint="eastAsia" w:hAnsi="等线" w:eastAsia="等线" w:cs="Times New Roman"/>
                                <w:szCs w:val="21"/>
                              </w:rPr>
                            </w:pPr>
                            <w:r>
                              <w:rPr>
                                <w:rFonts w:hAnsi="等线" w:eastAsia="等线" w:cs="Times New Roman"/>
                                <w:szCs w:val="21"/>
                              </w:rPr>
                              <w:t>Records identified through database searching and authoritative websites</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3316</w:t>
                            </w:r>
                            <w:r>
                              <w:rPr>
                                <w:rFonts w:eastAsia="等线" w:cs="Times New Roman"/>
                                <w:szCs w:val="21"/>
                              </w:rPr>
                              <w:t>)</w:t>
                            </w:r>
                          </w:p>
                          <w:p w14:paraId="0AFB80E4">
                            <w:pPr>
                              <w:rPr>
                                <w:rFonts w:eastAsia="等线" w:cs="Times New Roman"/>
                                <w:szCs w:val="21"/>
                              </w:rPr>
                            </w:pPr>
                          </w:p>
                        </w:txbxContent>
                      </v:textbox>
                    </v:shape>
                    <v:shape id="AutoShape 64" o:spid="_x0000_s1026" o:spt="32" type="#_x0000_t32" style="position:absolute;left:6134;top:2170;height:1366;width:0;" filled="f" stroked="t" coordsize="21600,21600" o:gfxdata="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adpFcQAAADiAAAADwAAAAAAAAABACAAAAAiAAAAZHJzL2Rvd25yZXYueG1sUEsBAhQAFAAAAAgA&#10;h07iQDMvBZ47AAAAOQAAABAAAAAAAAAAAQAgAAAAEwEAAGRycy9zaGFwZXhtbC54bWxQSwUGAAAA&#10;AAYABgBbAQAAvQMAAAAA&#10;">
                      <v:fill on="f" focussize="0,0"/>
                      <v:stroke color="#000000" joinstyle="round" endarrow="block"/>
                      <v:imagedata o:title=""/>
                      <o:lock v:ext="edit" aspectratio="f"/>
                    </v:shape>
                    <v:shape id="Text Box 67" o:spid="_x0000_s1026" o:spt="202" type="#_x0000_t202" style="position:absolute;left:6520;top:2392;height:916;width:5344;" fillcolor="#FFFFFF" filled="t" stroked="t" coordsize="21600,21600" o:gfxdata="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KY&#10;PAbCAAAA4Q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w:txbxContent>
                          <w:p w14:paraId="4040C305">
                            <w:pPr>
                              <w:rPr>
                                <w:rFonts w:eastAsia="等线" w:cs="Times New Roman"/>
                                <w:szCs w:val="21"/>
                              </w:rPr>
                            </w:pPr>
                            <w:r>
                              <w:rPr>
                                <w:rFonts w:eastAsia="等线" w:cs="Times New Roman"/>
                                <w:szCs w:val="21"/>
                              </w:rPr>
                              <w:t>Duplicate records removed using EndNote (</w:t>
                            </w:r>
                            <w:r>
                              <w:rPr>
                                <w:rFonts w:eastAsia="等线" w:cs="Times New Roman"/>
                                <w:i/>
                                <w:iCs/>
                                <w:szCs w:val="21"/>
                              </w:rPr>
                              <w:t>n</w:t>
                            </w:r>
                            <w:r>
                              <w:rPr>
                                <w:rFonts w:eastAsia="等线" w:cs="Times New Roman"/>
                                <w:szCs w:val="21"/>
                              </w:rPr>
                              <w:t>=</w:t>
                            </w:r>
                            <w:r>
                              <w:rPr>
                                <w:rFonts w:hint="eastAsia" w:eastAsia="等线" w:cs="Times New Roman"/>
                                <w:szCs w:val="21"/>
                              </w:rPr>
                              <w:t>796</w:t>
                            </w:r>
                            <w:r>
                              <w:rPr>
                                <w:rFonts w:eastAsia="等线" w:cs="Times New Roman"/>
                                <w:szCs w:val="21"/>
                              </w:rPr>
                              <w:t>)</w:t>
                            </w:r>
                            <w:r>
                              <w:rPr>
                                <w:rFonts w:hint="eastAsia" w:eastAsia="等线" w:cs="Times New Roman"/>
                                <w:szCs w:val="21"/>
                              </w:rPr>
                              <w:t xml:space="preserve">                                           </w:t>
                            </w:r>
                          </w:p>
                        </w:txbxContent>
                      </v:textbox>
                    </v:shape>
                  </v:group>
                  <v:shape id="Text Box 72" o:spid="_x0000_s1026" o:spt="202" type="#_x0000_t202" style="position:absolute;left:2487;top:3537;height:563;width:7365;" fillcolor="#FFFFFF" filled="t" stroked="t" coordsize="21600,21600" o:gfxdata="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fjm2osQAAADi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35239D1E">
                          <w:pPr>
                            <w:jc w:val="center"/>
                            <w:rPr>
                              <w:rFonts w:hint="eastAsia" w:hAnsi="等线" w:eastAsia="等线" w:cs="Times New Roman"/>
                              <w:szCs w:val="21"/>
                            </w:rPr>
                          </w:pPr>
                          <w:r>
                            <w:rPr>
                              <w:rFonts w:hAnsi="等线" w:eastAsia="等线" w:cs="Times New Roman"/>
                              <w:szCs w:val="21"/>
                            </w:rPr>
                            <w:t>Records after duplicates removed</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2520</w:t>
                          </w:r>
                          <w:r>
                            <w:rPr>
                              <w:rFonts w:eastAsia="等线" w:cs="Times New Roman"/>
                              <w:szCs w:val="21"/>
                            </w:rPr>
                            <w:t>)</w:t>
                          </w:r>
                        </w:p>
                      </w:txbxContent>
                    </v:textbox>
                  </v:shape>
                  <v:shape id="AutoShape 74" o:spid="_x0000_s1026" o:spt="32" type="#_x0000_t32" style="position:absolute;left:6130;top:4826;height:0;width:390;" filled="f" stroked="t" coordsize="21600,21600" o:gfxdata="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WgV&#10;lMEAAADj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shape>
                  <v:shape id="Text Box 75" o:spid="_x0000_s1026" o:spt="202" type="#_x0000_t202" style="position:absolute;left:6533;top:4346;height:937;width:5314;" fillcolor="#FFFFFF" filled="t" stroked="t" coordsize="21600,21600" o:gfxdata="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0tE6MQAAADi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26D34A76">
                          <w:pPr>
                            <w:rPr>
                              <w:rFonts w:hint="eastAsia" w:hAnsi="等线" w:eastAsia="等线" w:cs="Times New Roman"/>
                              <w:szCs w:val="21"/>
                            </w:rPr>
                          </w:pPr>
                          <w:r>
                            <w:rPr>
                              <w:rFonts w:hAnsi="等线" w:eastAsia="等线" w:cs="Times New Roman"/>
                              <w:szCs w:val="21"/>
                            </w:rPr>
                            <w:t>Records excluded after title and abstract screening</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2352</w:t>
                          </w:r>
                          <w:r>
                            <w:rPr>
                              <w:rFonts w:eastAsia="等线" w:cs="Times New Roman"/>
                              <w:szCs w:val="21"/>
                            </w:rPr>
                            <w:t>)</w:t>
                          </w:r>
                        </w:p>
                      </w:txbxContent>
                    </v:textbox>
                  </v:shape>
                  <v:group id="Group 84" o:spid="_x0000_s1026" o:spt="203" style="position:absolute;left:2560;top:4100;height:3878;width:9278;" coordorigin="2560,4100" coordsize="9278,3878" o:gfxdata="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Ck4TJUxQAAAOIAAAAPAAAAAAAAAAEAIAAAACIAAABkcnMvZG93&#10;bnJldi54bWxQSwECFAAUAAAACACHTuJAMy8FnjsAAAA5AAAAFQAAAAAAAAABACAAAAAUAQAAZHJz&#10;L2dyb3Vwc2hhcGV4bWwueG1sUEsFBgAAAAAGAAYAYAEAANEDAAAAAA==&#10;">
                    <o:lock v:ext="edit" aspectratio="f"/>
                    <v:shape id="Text Box 76" o:spid="_x0000_s1026" o:spt="202" type="#_x0000_t202" style="position:absolute;left:2560;top:5502;height:863;width:7271;" fillcolor="#FFFFFF" filled="t" stroked="t" coordsize="21600,21600" o:gfxdata="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m&#10;gvW2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28112BD0">
                            <w:pPr>
                              <w:jc w:val="center"/>
                              <w:rPr>
                                <w:rFonts w:hint="eastAsia" w:hAnsi="等线" w:eastAsia="等线" w:cs="Times New Roman"/>
                                <w:szCs w:val="21"/>
                              </w:rPr>
                            </w:pPr>
                            <w:r>
                              <w:rPr>
                                <w:rFonts w:hAnsi="等线" w:eastAsia="等线" w:cs="Times New Roman"/>
                                <w:szCs w:val="21"/>
                              </w:rPr>
                              <w:t>Records remaining after title and abstract screening</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=1</w:t>
                            </w:r>
                            <w:r>
                              <w:rPr>
                                <w:rFonts w:hint="eastAsia" w:eastAsia="等线" w:cs="Times New Roman"/>
                                <w:szCs w:val="21"/>
                              </w:rPr>
                              <w:t>68</w:t>
                            </w:r>
                            <w:r>
                              <w:rPr>
                                <w:rFonts w:eastAsia="等线" w:cs="Times New Roman"/>
                                <w:szCs w:val="21"/>
                              </w:rPr>
                              <w:t>)</w:t>
                            </w:r>
                          </w:p>
                        </w:txbxContent>
                      </v:textbox>
                    </v:shape>
                    <v:shape id="AutoShape 77" o:spid="_x0000_s1026" o:spt="32" type="#_x0000_t32" style="position:absolute;left:6169;top:6898;height:0;width:390;" filled="f" stroked="t" coordsize="21600,21600" o:gfxdata="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BlYK&#10;wAAAAOE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Text Box 78" o:spid="_x0000_s1026" o:spt="202" type="#_x0000_t202" style="position:absolute;left:6559;top:6630;height:530;width:5279;" fillcolor="#FFFFFF" filled="t" stroked="t" coordsize="21600,21600" o:gfxdata="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BT&#10;b1/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w:txbxContent>
                          <w:p w14:paraId="390F20BB">
                            <w:pPr>
                              <w:spacing w:line="240" w:lineRule="auto"/>
                              <w:rPr>
                                <w:rFonts w:hint="eastAsia" w:hAnsi="等线" w:eastAsia="等线" w:cs="Times New Roman"/>
                                <w:szCs w:val="21"/>
                              </w:rPr>
                            </w:pPr>
                            <w:r>
                              <w:rPr>
                                <w:rFonts w:hAnsi="等线" w:eastAsia="等线" w:cs="Times New Roman"/>
                                <w:szCs w:val="21"/>
                              </w:rPr>
                              <w:t>Full-text articles excluded</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=1</w:t>
                            </w:r>
                            <w:r>
                              <w:rPr>
                                <w:rFonts w:hint="eastAsia" w:eastAsia="等线" w:cs="Times New Roman"/>
                                <w:szCs w:val="21"/>
                              </w:rPr>
                              <w:t>54</w:t>
                            </w:r>
                            <w:r>
                              <w:rPr>
                                <w:rFonts w:eastAsia="等线" w:cs="Times New Roman"/>
                                <w:szCs w:val="21"/>
                              </w:rPr>
                              <w:t>)</w:t>
                            </w:r>
                          </w:p>
                        </w:txbxContent>
                      </v:textbox>
                    </v:shape>
                    <v:shape id="AutoShape 79" o:spid="_x0000_s1026" o:spt="32" type="#_x0000_t32" style="position:absolute;left:6143;top:4100;height:1402;width:0;" filled="f" stroked="t" coordsize="21600,21600" o:gfxdata="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jk&#10;ldnCAAAA4wAAAA8AAAAAAAAAAQAgAAAAIgAAAGRycy9kb3ducmV2LnhtbFBLAQIUABQAAAAIAIdO&#10;4kAzLwWeOwAAADkAAAAQAAAAAAAAAAEAIAAAABEBAABkcnMvc2hhcGV4bWwueG1sUEsFBgAAAAAG&#10;AAYAWwEAALsDAAAAAA==&#10;">
                      <v:fill on="f" focussize="0,0"/>
                      <v:stroke color="#000000" joinstyle="round" endarrow="block"/>
                      <v:imagedata o:title=""/>
                      <o:lock v:ext="edit" aspectratio="f"/>
                    </v:shape>
                    <v:group id="Group 83" o:spid="_x0000_s1026" o:spt="203" style="position:absolute;left:2560;top:6365;height:1613;width:7317;" coordorigin="2560,6365" coordsize="7317,1613" o:gfxdata="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A1mVrwgAAAOMAAAAPAAAAAAAAAAEAIAAAACIAAABkcnMvZG93bnJl&#10;di54bWxQSwECFAAUAAAACACHTuJAMy8FnjsAAAA5AAAAFQAAAAAAAAABACAAAAARAQAAZHJzL2dy&#10;b3Vwc2hhcGV4bWwueG1sUEsFBgAAAAAGAAYAYAEAAM4DAAAAAA==&#10;">
                      <o:lock v:ext="edit" aspectratio="f"/>
                      <v:shape id="AutoShape 81" o:spid="_x0000_s1026" o:spt="32" type="#_x0000_t32" style="position:absolute;left:6169;top:6365;height:1145;width:0;" filled="f" stroked="t" coordsize="21600,21600" o:gfxdata="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Yl&#10;cwTCAAAA4wAAAA8AAAAAAAAAAQAgAAAAIgAAAGRycy9kb3ducmV2LnhtbFBLAQIUABQAAAAIAIdO&#10;4kAzLwWeOwAAADkAAAAQAAAAAAAAAAEAIAAAABEBAABkcnMvc2hhcGV4bWwueG1sUEsFBgAAAAAG&#10;AAYAWwEAALsDAAAAAA==&#10;">
                        <v:fill on="f" focussize="0,0"/>
                        <v:stroke color="#000000" joinstyle="round" endarrow="block"/>
                        <v:imagedata o:title=""/>
                        <o:lock v:ext="edit" aspectratio="f"/>
                      </v:shape>
                      <v:shape id="Text Box 82" o:spid="_x0000_s1026" o:spt="202" type="#_x0000_t202" style="position:absolute;left:2560;top:7510;height:468;width:7317;" fillcolor="#FFFFFF" filled="t" stroked="t" coordsize="21600,21600" o:gfxdata="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lfPb3FAAAA4gAAAA8AAAAAAAAAAQAgAAAAIgAAAGRycy9kb3ducmV2LnhtbFBLAQIUABQAAAAI&#10;AIdO4kAzLwWeOwAAADkAAAAQAAAAAAAAAAEAIAAAABQBAABkcnMvc2hhcGV4bWwueG1sUEsFBgAA&#10;AAAGAAYAWwEAAL4DAAAAAA==&#10;">
                        <v:fill on="t" focussize="0,0"/>
                        <v:stroke color="#000000" miterlimit="8" joinstyle="miter"/>
                        <v:imagedata o:title=""/>
                        <o:lock v:ext="edit" aspectratio="f"/>
                        <v:textbox>
                          <w:txbxContent>
                            <w:p w14:paraId="5FA3B75C">
                              <w:pPr>
                                <w:jc w:val="center"/>
                                <w:rPr>
                                  <w:rFonts w:hint="eastAsia" w:hAnsi="等线" w:eastAsia="等线" w:cs="Times New Roman"/>
                                  <w:szCs w:val="21"/>
                                </w:rPr>
                              </w:pPr>
                              <w:r>
                                <w:rPr>
                                  <w:rFonts w:hAnsi="等线" w:eastAsia="等线" w:cs="Times New Roman"/>
                                  <w:szCs w:val="21"/>
                                </w:rPr>
                                <w:t>Studies included in final synthesis</w:t>
                              </w:r>
                              <w:r>
                                <w:rPr>
                                  <w:rFonts w:hint="eastAsia" w:hAnsi="等线" w:eastAsia="等线" w:cs="Times New Roman"/>
                                  <w:szCs w:val="21"/>
                                </w:rPr>
                                <w:t xml:space="preserve"> (</w:t>
                              </w:r>
                              <w:r>
                                <w:rPr>
                                  <w:rFonts w:eastAsia="等线" w:cs="Times New Roman"/>
                                  <w:i/>
                                  <w:iCs/>
                                  <w:szCs w:val="21"/>
                                </w:rPr>
                                <w:t>n</w:t>
                              </w:r>
                              <w:r>
                                <w:rPr>
                                  <w:rFonts w:eastAsia="等线" w:cs="Times New Roman"/>
                                  <w:szCs w:val="21"/>
                                </w:rPr>
                                <w:t>=</w:t>
                              </w:r>
                              <w:r>
                                <w:rPr>
                                  <w:rFonts w:hint="eastAsia" w:eastAsia="等线" w:cs="Times New Roman"/>
                                  <w:szCs w:val="21"/>
                                </w:rPr>
                                <w:t>14</w:t>
                              </w:r>
                              <w:r>
                                <w:rPr>
                                  <w:rFonts w:eastAsia="等线" w:cs="Times New Roman"/>
                                  <w:szCs w:val="21"/>
                                </w:rPr>
                                <w:t>)</w:t>
                              </w:r>
                            </w:p>
                          </w:txbxContent>
                        </v:textbox>
                      </v:shape>
                    </v:group>
                  </v:group>
                </v:group>
                <v:shape id="AutoShape 74" o:spid="_x0000_s1026" o:spt="32" type="#_x0000_t32" style="position:absolute;left:3951070;top:2110872;height:0;width:250840;" filled="f" stroked="t" coordsize="21600,21600" o:gfxdata="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MEh&#10;mMEAAADj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shape>
                <w10:wrap type="topAndBottom"/>
              </v:group>
            </w:pict>
          </mc:Fallback>
        </mc:AlternateContent>
      </w:r>
    </w:p>
    <w:p w14:paraId="3BC52051">
      <w:pPr>
        <w:pStyle w:val="36"/>
        <w:numPr>
          <w:ilvl w:val="0"/>
          <w:numId w:val="1"/>
        </w:numPr>
      </w:pPr>
      <w:r>
        <w:rPr>
          <w:b/>
          <w:bCs/>
        </w:rPr>
        <w:t>Studies included in final synthesis</w:t>
      </w:r>
    </w:p>
    <w:p w14:paraId="14758750">
      <w:pPr>
        <w:pStyle w:val="45"/>
        <w:spacing w:line="360" w:lineRule="auto"/>
        <w:ind w:left="720" w:hanging="720"/>
      </w:pPr>
      <w:r>
        <w:fldChar w:fldCharType="begin"/>
      </w:r>
      <w:r>
        <w:instrText xml:space="preserve"> ADDIN EN.REFLIST </w:instrText>
      </w:r>
      <w:r>
        <w:fldChar w:fldCharType="separate"/>
      </w:r>
      <w:r>
        <w:rPr>
          <w:b/>
        </w:rPr>
        <w:t>1.</w:t>
      </w:r>
      <w:r>
        <w:tab/>
      </w:r>
      <w:r>
        <w:t>Conde-Camacho R, Orozco-Levi M, Londoño A, et al. Expert consensus on the stratification, management, and follow-up of patients with group 1 pulmonary hypertension at intermediate risk. Revista Colombiana de Cardiologia. 2023;30:95-107.</w:t>
      </w:r>
    </w:p>
    <w:p w14:paraId="7BD4D144">
      <w:pPr>
        <w:pStyle w:val="45"/>
        <w:spacing w:line="360" w:lineRule="auto"/>
        <w:ind w:left="720" w:hanging="720"/>
      </w:pPr>
      <w:r>
        <w:rPr>
          <w:b/>
        </w:rPr>
        <w:t>2.</w:t>
      </w:r>
      <w:r>
        <w:tab/>
      </w:r>
      <w:r>
        <w:t xml:space="preserve">Gutierrez-Arias R, Hinojosa-Riadi J, Sandoval-Cañío A, </w:t>
      </w:r>
      <w:r>
        <w:rPr>
          <w:rFonts w:hint="eastAsia"/>
          <w:lang w:val="en-US" w:eastAsia="zh-CN"/>
        </w:rPr>
        <w:t>et al</w:t>
      </w:r>
      <w:r>
        <w:t>. Effectiveness of Respiratory Muscle Training in Adults With Pulmonary Hypertension. A Systematic Review and Meta-Analysis. Heart, Lung &amp;amp; Circulation. 2023;32:315-329.</w:t>
      </w:r>
    </w:p>
    <w:p w14:paraId="2E6D094D">
      <w:pPr>
        <w:pStyle w:val="45"/>
        <w:spacing w:line="360" w:lineRule="auto"/>
        <w:ind w:left="720" w:hanging="720"/>
      </w:pPr>
      <w:r>
        <w:rPr>
          <w:b/>
        </w:rPr>
        <w:t>3.</w:t>
      </w:r>
      <w:r>
        <w:tab/>
      </w:r>
      <w:r>
        <w:t>Holland AE, Spathis A, Marsaa K, et al. European Respiratory Society clinical practice guideline on symptom management for adults with serious respiratory illness. Eur Respir J. 2024;63.</w:t>
      </w:r>
    </w:p>
    <w:p w14:paraId="280AA285">
      <w:pPr>
        <w:pStyle w:val="45"/>
        <w:spacing w:line="360" w:lineRule="auto"/>
        <w:ind w:left="720" w:hanging="720"/>
      </w:pPr>
      <w:r>
        <w:rPr>
          <w:b/>
        </w:rPr>
        <w:t>4.</w:t>
      </w:r>
      <w:r>
        <w:tab/>
      </w:r>
      <w:r>
        <w:t>Huang WC, Cheng YY, Hsu CH, et al. 2023 TSOC-TACVPR-TACPAH Consensus Statement of the Rehabilitation on Patients with Pulmonary Hypertension. Acta Cardiologica Sinica. 2024;40:716-728.</w:t>
      </w:r>
    </w:p>
    <w:p w14:paraId="3B099019">
      <w:pPr>
        <w:pStyle w:val="45"/>
        <w:spacing w:line="360" w:lineRule="auto"/>
        <w:ind w:left="720" w:hanging="720"/>
      </w:pPr>
      <w:r>
        <w:rPr>
          <w:b/>
        </w:rPr>
        <w:t>5.</w:t>
      </w:r>
      <w:r>
        <w:tab/>
      </w:r>
      <w:r>
        <w:t>Humbert M, Kovacs G, Hoeper MM, et al. 2022 ESC/ERS Guidelines for the diagnosis and treatment of pulmonary hypertension. Eur Respir J. 2023;61.</w:t>
      </w:r>
    </w:p>
    <w:p w14:paraId="78E9E95E">
      <w:pPr>
        <w:pStyle w:val="45"/>
        <w:spacing w:line="360" w:lineRule="auto"/>
        <w:ind w:left="720" w:hanging="720"/>
      </w:pPr>
      <w:r>
        <w:rPr>
          <w:b/>
        </w:rPr>
        <w:t>6.</w:t>
      </w:r>
      <w:r>
        <w:tab/>
      </w:r>
      <w:r>
        <w:t>Kourek C, Zachariou A, Karatzanos E, et al. Effects of combined aerobic, resistance and inspiratory training in patients with pulmonary hypertension: A systematic review. World J Crit Care Med. 2024;13:92585.</w:t>
      </w:r>
    </w:p>
    <w:p w14:paraId="40AAB6A1">
      <w:pPr>
        <w:pStyle w:val="45"/>
        <w:spacing w:line="360" w:lineRule="auto"/>
        <w:ind w:left="720" w:hanging="720"/>
      </w:pPr>
      <w:r>
        <w:rPr>
          <w:b/>
        </w:rPr>
        <w:t>7.</w:t>
      </w:r>
      <w:r>
        <w:tab/>
      </w:r>
      <w:r>
        <w:t xml:space="preserve">Rantepadan A, Tendean AF, Padaunan E, </w:t>
      </w:r>
      <w:r>
        <w:rPr>
          <w:rFonts w:hint="eastAsia"/>
          <w:lang w:val="en-US" w:eastAsia="zh-CN"/>
        </w:rPr>
        <w:t>et al</w:t>
      </w:r>
      <w:r>
        <w:t>. Effects of Exercise on Muscle Strength and VO2 Peak in Patients with Pulmonary Hypertension: A Systematic Review and Meta-Analysis. Pacific Rim International Journal of Nursing Research. 2025;29:306-325.</w:t>
      </w:r>
    </w:p>
    <w:p w14:paraId="702D2583">
      <w:pPr>
        <w:pStyle w:val="45"/>
        <w:spacing w:line="360" w:lineRule="auto"/>
        <w:ind w:left="720" w:hanging="720"/>
      </w:pPr>
      <w:r>
        <w:rPr>
          <w:b/>
        </w:rPr>
        <w:t>8.</w:t>
      </w:r>
      <w:r>
        <w:tab/>
      </w:r>
      <w:r>
        <w:t>Rochester CL, Alison JA, Carlin B, et al. Pulmonary Rehabilitation for Adults with Chronic Respiratory Disease: An Official American Thoracic Society Clinical Practice Guideline. Am J Respir Crit Care Med. 2023;208:e7-e26.</w:t>
      </w:r>
    </w:p>
    <w:p w14:paraId="0F05096E">
      <w:pPr>
        <w:pStyle w:val="45"/>
        <w:spacing w:line="360" w:lineRule="auto"/>
        <w:ind w:left="720" w:hanging="720"/>
      </w:pPr>
      <w:r>
        <w:rPr>
          <w:b/>
        </w:rPr>
        <w:t>9.</w:t>
      </w:r>
      <w:r>
        <w:tab/>
      </w:r>
      <w:r>
        <w:t>Seo YG, Oh S, Park WH, et al. Optimal aerobic exercise intensity and its influence on the effectiveness of exercise therapy in patients with pulmonary arterial hypertension: A systematic review. Journal of Thoracic Disease. 2021;13:4530-4540.</w:t>
      </w:r>
    </w:p>
    <w:p w14:paraId="4F4777BC">
      <w:pPr>
        <w:pStyle w:val="45"/>
        <w:spacing w:line="360" w:lineRule="auto"/>
        <w:ind w:left="720" w:hanging="720"/>
      </w:pPr>
      <w:r>
        <w:rPr>
          <w:b/>
        </w:rPr>
        <w:t>10.</w:t>
      </w:r>
      <w:r>
        <w:tab/>
      </w:r>
      <w:r>
        <w:rPr>
          <w:rFonts w:hint="eastAsia"/>
        </w:rPr>
        <w:t xml:space="preserve">Gong YC, Chen JY, Li PD, </w:t>
      </w:r>
      <w:r>
        <w:rPr>
          <w:rFonts w:hint="eastAsia"/>
          <w:lang w:val="en-US" w:eastAsia="zh-CN"/>
        </w:rPr>
        <w:t>et al</w:t>
      </w:r>
      <w:r>
        <w:rPr>
          <w:rFonts w:hint="eastAsia"/>
        </w:rPr>
        <w:t>. Expert consensus on pulmonary rehabilitation nursing for chronic respiratory diseases. Chinese Journal of Nursing. 2020;55(5):709-710. [In Chinese]</w:t>
      </w:r>
    </w:p>
    <w:p w14:paraId="03C938AC">
      <w:pPr>
        <w:pStyle w:val="45"/>
        <w:spacing w:line="360" w:lineRule="auto"/>
        <w:ind w:left="720" w:hanging="720"/>
      </w:pPr>
      <w:r>
        <w:rPr>
          <w:b/>
        </w:rPr>
        <w:t>11.</w:t>
      </w:r>
      <w:r>
        <w:tab/>
      </w:r>
      <w:r>
        <w:rPr>
          <w:rFonts w:hint="eastAsia"/>
        </w:rPr>
        <w:t xml:space="preserve">Yang BB, Zhang H, Chen X, </w:t>
      </w:r>
      <w:r>
        <w:rPr>
          <w:rFonts w:hint="eastAsia"/>
          <w:lang w:val="en-US" w:eastAsia="zh-CN"/>
        </w:rPr>
        <w:t>et al</w:t>
      </w:r>
      <w:r>
        <w:rPr>
          <w:rFonts w:hint="eastAsia"/>
        </w:rPr>
        <w:t>. Best evidence summary for exercise rehabilitation in adults with stable pulmonary hypertension. Military Nursing. 2023;40(6):91-95. [In Chinese]</w:t>
      </w:r>
    </w:p>
    <w:p w14:paraId="598FDC00">
      <w:pPr>
        <w:pStyle w:val="45"/>
        <w:spacing w:line="360" w:lineRule="auto"/>
        <w:ind w:left="720" w:hanging="720"/>
      </w:pPr>
      <w:r>
        <w:rPr>
          <w:b/>
        </w:rPr>
        <w:t>12.</w:t>
      </w:r>
      <w:r>
        <w:tab/>
      </w:r>
      <w:r>
        <w:rPr>
          <w:rFonts w:hint="eastAsia"/>
        </w:rPr>
        <w:t>hinese Association of Chest Physicians, Chinese Thoracic Society, Chinese Association of Rehabilitation Medicine</w:t>
      </w:r>
      <w:r>
        <w:rPr>
          <w:rFonts w:hint="eastAsia"/>
          <w:lang w:val="en-US" w:eastAsia="zh-CN"/>
        </w:rPr>
        <w:t>-</w:t>
      </w:r>
      <w:r>
        <w:rPr>
          <w:rFonts w:hint="eastAsia"/>
        </w:rPr>
        <w:t>Respiratory Rehabilitation Professional Committee, Editorial Board of Chinese Journal of Health Management. Guidelines for respiratory rehabilitation management of chronic respiratory diseases in China (2021). Chinese Journal of Health Management. 2021;15(6):521-538. [In Chinese]</w:t>
      </w:r>
    </w:p>
    <w:p w14:paraId="7EF7CAB5">
      <w:pPr>
        <w:pStyle w:val="45"/>
        <w:spacing w:line="360" w:lineRule="auto"/>
        <w:ind w:left="720" w:hanging="720"/>
      </w:pPr>
      <w:r>
        <w:rPr>
          <w:b/>
        </w:rPr>
        <w:t>13.</w:t>
      </w:r>
      <w:r>
        <w:tab/>
      </w:r>
      <w:r>
        <w:rPr>
          <w:rFonts w:hint="eastAsia"/>
        </w:rPr>
        <w:t>Chinese College of Cardiovascular Physicians, Cardiac Rehabilitation Management Committee of Chinese Hospital Association. Chinese expert consensus on exercise rehabilitation for adult patients with pulmonary hypertension. Chinese Journal of Interventional Cardiology. 2021;29(8):421-432. [In Chinese]</w:t>
      </w:r>
    </w:p>
    <w:p w14:paraId="03287260">
      <w:pPr>
        <w:pStyle w:val="45"/>
        <w:spacing w:line="360" w:lineRule="auto"/>
        <w:ind w:left="720" w:hanging="720"/>
      </w:pPr>
      <w:r>
        <w:rPr>
          <w:b/>
        </w:rPr>
        <w:t>14.</w:t>
      </w:r>
      <w:r>
        <w:tab/>
      </w:r>
      <w:r>
        <w:rPr>
          <w:rFonts w:hint="eastAsia"/>
        </w:rPr>
        <w:t>Pulmonary Embolism and Pulmonary Vascular Disease Group of Chinese Thoracic Society, Pulmonary Embolism and Pulmonary Vascular Disease Working Committee of Chinese Association of Chest Physicians, National Cooperative Group on Prevention and Treatment of Pulmonary Embolism and Pulmonary Vascular Disease, National Pulmonary Hypertension Standardization System Construction Project Expert Group. Chinese guidelines for diagnosis and treatment of pulmonary hypertension (2021 edition). National Medical Journal of China. 2021;101(1):11-51. [In Chinese]</w:t>
      </w:r>
    </w:p>
    <w:p w14:paraId="41B880A7">
      <w:pPr>
        <w:pStyle w:val="45"/>
      </w:pPr>
    </w:p>
    <w:p w14:paraId="5E2C4DDA">
      <w:pPr>
        <w:sectPr>
          <w:footerReference r:id="rId7" w:type="default"/>
          <w:pgSz w:w="11906" w:h="16838"/>
          <w:pgMar w:top="1440" w:right="1800" w:bottom="1440" w:left="1800" w:header="851" w:footer="992" w:gutter="0"/>
          <w:pgNumType w:start="1"/>
          <w:cols w:space="425" w:num="1"/>
          <w:docGrid w:type="lines" w:linePitch="326" w:charSpace="0"/>
        </w:sectPr>
      </w:pPr>
      <w:r>
        <w:fldChar w:fldCharType="end"/>
      </w:r>
    </w:p>
    <w:p w14:paraId="64B3841A">
      <w:pPr>
        <w:pStyle w:val="3"/>
        <w:spacing w:before="156" w:after="156"/>
      </w:pPr>
      <w:bookmarkStart w:id="1" w:name="_Toc225442460"/>
      <w:r>
        <w:t>S</w:t>
      </w:r>
      <w:r>
        <w:rPr>
          <w:rFonts w:hint="eastAsia"/>
        </w:rPr>
        <w:t>2</w:t>
      </w:r>
      <w:r>
        <w:t>: First-</w:t>
      </w:r>
      <w:r>
        <w:rPr>
          <w:rFonts w:hint="eastAsia"/>
        </w:rPr>
        <w:t>r</w:t>
      </w:r>
      <w:r>
        <w:t xml:space="preserve">ound Delphi </w:t>
      </w:r>
      <w:r>
        <w:rPr>
          <w:rFonts w:hint="eastAsia"/>
        </w:rPr>
        <w:t>i</w:t>
      </w:r>
      <w:r>
        <w:t xml:space="preserve">tems for the </w:t>
      </w:r>
      <w:r>
        <w:rPr>
          <w:rFonts w:hint="eastAsia"/>
        </w:rPr>
        <w:t>PR p</w:t>
      </w:r>
      <w:r>
        <w:t xml:space="preserve">rogram (Initial </w:t>
      </w:r>
      <w:r>
        <w:rPr>
          <w:rFonts w:hint="eastAsia"/>
        </w:rPr>
        <w:t>PR p</w:t>
      </w:r>
      <w:r>
        <w:t>rogram)</w:t>
      </w:r>
      <w:bookmarkEnd w:id="1"/>
    </w:p>
    <w:tbl>
      <w:tblPr>
        <w:tblStyle w:val="19"/>
        <w:tblW w:w="14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3"/>
        <w:gridCol w:w="1798"/>
        <w:gridCol w:w="992"/>
        <w:gridCol w:w="3627"/>
        <w:gridCol w:w="2733"/>
        <w:gridCol w:w="3143"/>
      </w:tblGrid>
      <w:tr w14:paraId="451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exact"/>
          <w:jc w:val="center"/>
        </w:trPr>
        <w:tc>
          <w:tcPr>
            <w:tcW w:w="1883" w:type="dxa"/>
            <w:vMerge w:val="restart"/>
            <w:vAlign w:val="center"/>
          </w:tcPr>
          <w:p w14:paraId="55DFC677">
            <w:pPr>
              <w:spacing w:line="240" w:lineRule="auto"/>
              <w:jc w:val="center"/>
              <w:rPr>
                <w:rFonts w:cs="Times New Roman"/>
                <w:b/>
                <w:bCs/>
                <w:szCs w:val="24"/>
                <w:lang w:bidi="ar"/>
              </w:rPr>
            </w:pPr>
            <w:bookmarkStart w:id="2" w:name="OLE_LINK5"/>
            <w:r>
              <w:rPr>
                <w:rFonts w:cs="Times New Roman"/>
                <w:b/>
                <w:bCs/>
                <w:szCs w:val="24"/>
                <w:lang w:bidi="ar"/>
              </w:rPr>
              <w:t>First-Level Item</w:t>
            </w:r>
          </w:p>
        </w:tc>
        <w:tc>
          <w:tcPr>
            <w:tcW w:w="1798" w:type="dxa"/>
            <w:vMerge w:val="restart"/>
            <w:vAlign w:val="center"/>
          </w:tcPr>
          <w:p w14:paraId="04CDA816">
            <w:pPr>
              <w:spacing w:line="240" w:lineRule="auto"/>
              <w:jc w:val="center"/>
              <w:rPr>
                <w:rFonts w:cs="Times New Roman"/>
                <w:b/>
                <w:bCs/>
                <w:szCs w:val="24"/>
                <w:lang w:bidi="ar"/>
              </w:rPr>
            </w:pPr>
            <w:r>
              <w:rPr>
                <w:rFonts w:cs="Times New Roman"/>
                <w:b/>
                <w:bCs/>
                <w:szCs w:val="24"/>
                <w:lang w:bidi="ar"/>
              </w:rPr>
              <w:t>Second-Level Item</w:t>
            </w:r>
          </w:p>
        </w:tc>
        <w:tc>
          <w:tcPr>
            <w:tcW w:w="10495" w:type="dxa"/>
            <w:gridSpan w:val="4"/>
            <w:vMerge w:val="restart"/>
            <w:vAlign w:val="center"/>
          </w:tcPr>
          <w:p w14:paraId="60B61A33">
            <w:pPr>
              <w:spacing w:line="240" w:lineRule="auto"/>
              <w:jc w:val="center"/>
              <w:rPr>
                <w:rFonts w:cs="Times New Roman"/>
                <w:b/>
                <w:bCs/>
                <w:szCs w:val="24"/>
                <w:lang w:bidi="ar"/>
              </w:rPr>
            </w:pPr>
            <w:r>
              <w:rPr>
                <w:rFonts w:cs="Times New Roman"/>
                <w:b/>
                <w:bCs/>
                <w:szCs w:val="24"/>
                <w:lang w:bidi="ar"/>
              </w:rPr>
              <w:t>Third-Level Item</w:t>
            </w:r>
          </w:p>
        </w:tc>
      </w:tr>
      <w:tr w14:paraId="52CA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vAlign w:val="center"/>
          </w:tcPr>
          <w:p w14:paraId="438F6AC2">
            <w:pPr>
              <w:jc w:val="center"/>
              <w:rPr>
                <w:rFonts w:cs="Times New Roman"/>
                <w:szCs w:val="24"/>
                <w:lang w:bidi="ar"/>
              </w:rPr>
            </w:pPr>
          </w:p>
        </w:tc>
        <w:tc>
          <w:tcPr>
            <w:tcW w:w="1798" w:type="dxa"/>
            <w:vMerge w:val="continue"/>
            <w:vAlign w:val="center"/>
          </w:tcPr>
          <w:p w14:paraId="6FFF73A2">
            <w:pPr>
              <w:jc w:val="center"/>
              <w:rPr>
                <w:rFonts w:cs="Times New Roman"/>
                <w:szCs w:val="24"/>
                <w:lang w:bidi="ar"/>
              </w:rPr>
            </w:pPr>
          </w:p>
        </w:tc>
        <w:tc>
          <w:tcPr>
            <w:tcW w:w="10495" w:type="dxa"/>
            <w:gridSpan w:val="4"/>
            <w:vMerge w:val="continue"/>
            <w:vAlign w:val="center"/>
          </w:tcPr>
          <w:p w14:paraId="360401EB">
            <w:pPr>
              <w:jc w:val="center"/>
              <w:rPr>
                <w:rFonts w:cs="Times New Roman"/>
                <w:szCs w:val="24"/>
                <w:lang w:bidi="ar"/>
              </w:rPr>
            </w:pPr>
          </w:p>
        </w:tc>
      </w:tr>
      <w:tr w14:paraId="2ADD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vAlign w:val="center"/>
          </w:tcPr>
          <w:p w14:paraId="3749C973">
            <w:pPr>
              <w:jc w:val="center"/>
              <w:rPr>
                <w:rFonts w:cs="Times New Roman"/>
                <w:szCs w:val="24"/>
                <w:lang w:bidi="ar"/>
              </w:rPr>
            </w:pPr>
          </w:p>
        </w:tc>
        <w:tc>
          <w:tcPr>
            <w:tcW w:w="1798" w:type="dxa"/>
            <w:vMerge w:val="continue"/>
            <w:vAlign w:val="center"/>
          </w:tcPr>
          <w:p w14:paraId="24C21AEB">
            <w:pPr>
              <w:jc w:val="center"/>
              <w:rPr>
                <w:rFonts w:cs="Times New Roman"/>
                <w:szCs w:val="24"/>
                <w:lang w:bidi="ar"/>
              </w:rPr>
            </w:pPr>
          </w:p>
        </w:tc>
        <w:tc>
          <w:tcPr>
            <w:tcW w:w="10495" w:type="dxa"/>
            <w:gridSpan w:val="4"/>
            <w:vMerge w:val="continue"/>
            <w:vAlign w:val="center"/>
          </w:tcPr>
          <w:p w14:paraId="458F708E">
            <w:pPr>
              <w:jc w:val="center"/>
              <w:rPr>
                <w:rFonts w:cs="Times New Roman"/>
                <w:szCs w:val="24"/>
                <w:lang w:bidi="ar"/>
              </w:rPr>
            </w:pPr>
          </w:p>
        </w:tc>
      </w:tr>
      <w:tr w14:paraId="20D1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182E7180">
            <w:pPr>
              <w:widowControl/>
              <w:adjustRightInd/>
              <w:snapToGrid/>
              <w:spacing w:line="240" w:lineRule="auto"/>
              <w:jc w:val="center"/>
              <w:rPr>
                <w:rFonts w:cs="Times New Roman"/>
                <w:color w:val="000000"/>
                <w:szCs w:val="24"/>
              </w:rPr>
            </w:pPr>
            <w:r>
              <w:rPr>
                <w:rFonts w:cs="Times New Roman"/>
                <w:b/>
                <w:bCs/>
                <w:color w:val="000000"/>
                <w:szCs w:val="24"/>
              </w:rPr>
              <w:t xml:space="preserve">1 </w:t>
            </w:r>
            <w:r>
              <w:rPr>
                <w:rFonts w:cs="Times New Roman"/>
                <w:szCs w:val="24"/>
              </w:rPr>
              <w:t>Multidisciplinary Team</w:t>
            </w:r>
          </w:p>
        </w:tc>
        <w:tc>
          <w:tcPr>
            <w:tcW w:w="1798" w:type="dxa"/>
            <w:vMerge w:val="restart"/>
            <w:vAlign w:val="center"/>
          </w:tcPr>
          <w:p w14:paraId="48C4F92A">
            <w:pPr>
              <w:widowControl/>
              <w:adjustRightInd/>
              <w:snapToGrid/>
              <w:spacing w:line="240" w:lineRule="auto"/>
              <w:jc w:val="center"/>
              <w:rPr>
                <w:rFonts w:cs="Times New Roman"/>
                <w:color w:val="000000"/>
                <w:szCs w:val="24"/>
              </w:rPr>
            </w:pPr>
            <w:r>
              <w:rPr>
                <w:rFonts w:cs="Times New Roman"/>
                <w:b/>
                <w:bCs/>
                <w:color w:val="000000"/>
                <w:szCs w:val="24"/>
              </w:rPr>
              <w:t>1.1</w:t>
            </w:r>
            <w:r>
              <w:rPr>
                <w:rFonts w:cs="Times New Roman"/>
                <w:color w:val="000000"/>
                <w:szCs w:val="24"/>
              </w:rPr>
              <w:t xml:space="preserve"> </w:t>
            </w:r>
            <w:r>
              <w:rPr>
                <w:rFonts w:cs="Times New Roman"/>
                <w:szCs w:val="24"/>
              </w:rPr>
              <w:t>Team composition</w:t>
            </w:r>
          </w:p>
        </w:tc>
        <w:tc>
          <w:tcPr>
            <w:tcW w:w="10495" w:type="dxa"/>
            <w:gridSpan w:val="4"/>
            <w:vAlign w:val="center"/>
          </w:tcPr>
          <w:p w14:paraId="4797ACE7">
            <w:pPr>
              <w:widowControl/>
              <w:adjustRightInd/>
              <w:snapToGrid/>
              <w:spacing w:line="240" w:lineRule="auto"/>
              <w:jc w:val="left"/>
              <w:rPr>
                <w:rFonts w:cs="Times New Roman"/>
                <w:color w:val="000000"/>
                <w:szCs w:val="24"/>
              </w:rPr>
            </w:pPr>
            <w:r>
              <w:rPr>
                <w:rFonts w:cs="Times New Roman"/>
                <w:b/>
                <w:bCs/>
                <w:color w:val="000000"/>
                <w:szCs w:val="24"/>
              </w:rPr>
              <w:t>1.1.1</w:t>
            </w:r>
            <w:r>
              <w:rPr>
                <w:rFonts w:cs="Times New Roman"/>
                <w:color w:val="000000"/>
                <w:szCs w:val="24"/>
              </w:rPr>
              <w:t xml:space="preserve"> </w:t>
            </w:r>
            <w:r>
              <w:rPr>
                <w:rFonts w:cs="Times New Roman"/>
                <w:szCs w:val="24"/>
                <w:lang w:bidi="ar"/>
              </w:rPr>
              <w:t>Core team: respiratory physicians, respiratory nurses, rehabilitation physicians, rehabilitation therapists, patients, and family members.</w:t>
            </w:r>
          </w:p>
        </w:tc>
      </w:tr>
      <w:tr w14:paraId="0C21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D51D210">
            <w:pPr>
              <w:jc w:val="center"/>
              <w:rPr>
                <w:rFonts w:cs="Times New Roman"/>
                <w:szCs w:val="24"/>
                <w:lang w:bidi="ar"/>
              </w:rPr>
            </w:pPr>
          </w:p>
        </w:tc>
        <w:tc>
          <w:tcPr>
            <w:tcW w:w="1798" w:type="dxa"/>
            <w:vMerge w:val="continue"/>
            <w:vAlign w:val="center"/>
          </w:tcPr>
          <w:p w14:paraId="16F468FC">
            <w:pPr>
              <w:jc w:val="center"/>
              <w:rPr>
                <w:rFonts w:cs="Times New Roman"/>
                <w:szCs w:val="24"/>
                <w:lang w:bidi="ar"/>
              </w:rPr>
            </w:pPr>
          </w:p>
        </w:tc>
        <w:tc>
          <w:tcPr>
            <w:tcW w:w="10495" w:type="dxa"/>
            <w:gridSpan w:val="4"/>
            <w:vAlign w:val="center"/>
          </w:tcPr>
          <w:p w14:paraId="396C55BA">
            <w:pPr>
              <w:widowControl/>
              <w:adjustRightInd/>
              <w:snapToGrid/>
              <w:spacing w:line="240" w:lineRule="auto"/>
              <w:jc w:val="left"/>
              <w:rPr>
                <w:rFonts w:cs="Times New Roman"/>
                <w:color w:val="000000"/>
                <w:szCs w:val="24"/>
              </w:rPr>
            </w:pPr>
            <w:r>
              <w:rPr>
                <w:rFonts w:cs="Times New Roman"/>
                <w:b/>
                <w:bCs/>
                <w:color w:val="000000"/>
                <w:szCs w:val="24"/>
              </w:rPr>
              <w:t>1.1.2</w:t>
            </w:r>
            <w:r>
              <w:rPr>
                <w:rFonts w:cs="Times New Roman"/>
                <w:color w:val="000000"/>
                <w:szCs w:val="24"/>
              </w:rPr>
              <w:t xml:space="preserve"> </w:t>
            </w:r>
            <w:r>
              <w:rPr>
                <w:rFonts w:cs="Times New Roman"/>
                <w:szCs w:val="24"/>
                <w:lang w:bidi="ar"/>
              </w:rPr>
              <w:t>Extended team (as needed): nutritionists, psychologists.</w:t>
            </w:r>
          </w:p>
        </w:tc>
      </w:tr>
      <w:tr w14:paraId="11FA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F2ACB74">
            <w:pPr>
              <w:jc w:val="center"/>
              <w:rPr>
                <w:rFonts w:cs="Times New Roman"/>
                <w:szCs w:val="24"/>
                <w:lang w:bidi="ar"/>
              </w:rPr>
            </w:pPr>
          </w:p>
        </w:tc>
        <w:tc>
          <w:tcPr>
            <w:tcW w:w="1798" w:type="dxa"/>
            <w:vMerge w:val="restart"/>
            <w:vAlign w:val="center"/>
          </w:tcPr>
          <w:p w14:paraId="27CC1428">
            <w:pPr>
              <w:widowControl/>
              <w:adjustRightInd/>
              <w:snapToGrid/>
              <w:spacing w:line="240" w:lineRule="auto"/>
              <w:jc w:val="center"/>
              <w:rPr>
                <w:rFonts w:cs="Times New Roman"/>
                <w:color w:val="000000"/>
                <w:szCs w:val="24"/>
              </w:rPr>
            </w:pPr>
            <w:r>
              <w:rPr>
                <w:rFonts w:cs="Times New Roman"/>
                <w:b/>
                <w:bCs/>
                <w:color w:val="000000"/>
                <w:szCs w:val="24"/>
              </w:rPr>
              <w:t>1.2</w:t>
            </w:r>
            <w:r>
              <w:rPr>
                <w:rFonts w:cs="Times New Roman"/>
                <w:color w:val="000000"/>
                <w:szCs w:val="24"/>
              </w:rPr>
              <w:t xml:space="preserve"> </w:t>
            </w:r>
            <w:r>
              <w:rPr>
                <w:rFonts w:cs="Times New Roman"/>
                <w:szCs w:val="24"/>
              </w:rPr>
              <w:t>Personnel qualifications</w:t>
            </w:r>
          </w:p>
        </w:tc>
        <w:tc>
          <w:tcPr>
            <w:tcW w:w="10495" w:type="dxa"/>
            <w:gridSpan w:val="4"/>
            <w:vAlign w:val="center"/>
          </w:tcPr>
          <w:p w14:paraId="5B2E157A">
            <w:pPr>
              <w:widowControl/>
              <w:adjustRightInd/>
              <w:snapToGrid/>
              <w:spacing w:line="240" w:lineRule="auto"/>
              <w:jc w:val="left"/>
              <w:rPr>
                <w:rFonts w:cs="Times New Roman"/>
                <w:color w:val="000000"/>
                <w:szCs w:val="24"/>
              </w:rPr>
            </w:pPr>
            <w:r>
              <w:rPr>
                <w:rFonts w:cs="Times New Roman"/>
                <w:b/>
                <w:bCs/>
                <w:color w:val="000000"/>
                <w:szCs w:val="24"/>
              </w:rPr>
              <w:t xml:space="preserve">1.2.1 </w:t>
            </w:r>
            <w:r>
              <w:rPr>
                <w:rFonts w:cs="Times New Roman"/>
                <w:szCs w:val="24"/>
                <w:lang w:bidi="ar"/>
              </w:rPr>
              <w:t>Respiratory physician (attending physician): substantial experience in the diagnosis and treatment of pulmonary hypertension and respiratory diseases</w:t>
            </w:r>
            <w:r>
              <w:rPr>
                <w:rFonts w:hint="eastAsia" w:cs="Times New Roman"/>
                <w:szCs w:val="24"/>
                <w:lang w:bidi="ar"/>
              </w:rPr>
              <w:t>.</w:t>
            </w:r>
          </w:p>
        </w:tc>
      </w:tr>
      <w:tr w14:paraId="06B3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883" w:type="dxa"/>
            <w:vMerge w:val="continue"/>
            <w:vAlign w:val="center"/>
          </w:tcPr>
          <w:p w14:paraId="5C8DE885">
            <w:pPr>
              <w:jc w:val="center"/>
              <w:rPr>
                <w:rFonts w:cs="Times New Roman"/>
                <w:szCs w:val="24"/>
                <w:lang w:bidi="ar"/>
              </w:rPr>
            </w:pPr>
          </w:p>
        </w:tc>
        <w:tc>
          <w:tcPr>
            <w:tcW w:w="1798" w:type="dxa"/>
            <w:vMerge w:val="continue"/>
            <w:vAlign w:val="center"/>
          </w:tcPr>
          <w:p w14:paraId="4B1E2ECD">
            <w:pPr>
              <w:jc w:val="center"/>
              <w:rPr>
                <w:rFonts w:cs="Times New Roman"/>
                <w:szCs w:val="24"/>
                <w:lang w:bidi="ar"/>
              </w:rPr>
            </w:pPr>
          </w:p>
        </w:tc>
        <w:tc>
          <w:tcPr>
            <w:tcW w:w="10495" w:type="dxa"/>
            <w:gridSpan w:val="4"/>
            <w:vAlign w:val="center"/>
          </w:tcPr>
          <w:p w14:paraId="5FF64B4F">
            <w:pPr>
              <w:widowControl/>
              <w:adjustRightInd/>
              <w:snapToGrid/>
              <w:spacing w:line="240" w:lineRule="auto"/>
              <w:jc w:val="left"/>
              <w:rPr>
                <w:rFonts w:cs="Times New Roman"/>
                <w:color w:val="000000"/>
                <w:szCs w:val="24"/>
              </w:rPr>
            </w:pPr>
            <w:r>
              <w:rPr>
                <w:rFonts w:cs="Times New Roman"/>
                <w:b/>
                <w:bCs/>
                <w:color w:val="000000"/>
                <w:szCs w:val="24"/>
              </w:rPr>
              <w:t xml:space="preserve">1.2.2 </w:t>
            </w:r>
            <w:r>
              <w:rPr>
                <w:rFonts w:cs="Times New Roman"/>
                <w:szCs w:val="24"/>
                <w:lang w:bidi="ar"/>
              </w:rPr>
              <w:t>Rehabilitation physician: proficient in cardiopulmonary rehabilitation assessment and program development.</w:t>
            </w:r>
          </w:p>
        </w:tc>
      </w:tr>
      <w:tr w14:paraId="57D2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046EF50">
            <w:pPr>
              <w:jc w:val="center"/>
              <w:rPr>
                <w:rFonts w:cs="Times New Roman"/>
                <w:szCs w:val="24"/>
                <w:lang w:bidi="ar"/>
              </w:rPr>
            </w:pPr>
          </w:p>
        </w:tc>
        <w:tc>
          <w:tcPr>
            <w:tcW w:w="1798" w:type="dxa"/>
            <w:vMerge w:val="continue"/>
            <w:vAlign w:val="center"/>
          </w:tcPr>
          <w:p w14:paraId="7C57AD45">
            <w:pPr>
              <w:jc w:val="center"/>
              <w:rPr>
                <w:rFonts w:cs="Times New Roman"/>
                <w:szCs w:val="24"/>
                <w:lang w:bidi="ar"/>
              </w:rPr>
            </w:pPr>
          </w:p>
        </w:tc>
        <w:tc>
          <w:tcPr>
            <w:tcW w:w="10495" w:type="dxa"/>
            <w:gridSpan w:val="4"/>
            <w:vAlign w:val="center"/>
          </w:tcPr>
          <w:p w14:paraId="4A9F2EC5">
            <w:pPr>
              <w:widowControl/>
              <w:adjustRightInd/>
              <w:snapToGrid/>
              <w:spacing w:line="240" w:lineRule="auto"/>
              <w:jc w:val="left"/>
              <w:rPr>
                <w:rFonts w:cs="Times New Roman"/>
                <w:color w:val="000000"/>
                <w:szCs w:val="24"/>
              </w:rPr>
            </w:pPr>
            <w:r>
              <w:rPr>
                <w:rFonts w:cs="Times New Roman"/>
                <w:b/>
                <w:bCs/>
                <w:color w:val="000000"/>
                <w:szCs w:val="24"/>
              </w:rPr>
              <w:t xml:space="preserve">1.2.3 </w:t>
            </w:r>
            <w:r>
              <w:rPr>
                <w:rFonts w:cs="Times New Roman"/>
                <w:szCs w:val="24"/>
                <w:lang w:bidi="ar"/>
              </w:rPr>
              <w:t>Respiratory nurse: skilled in pulmonary rehabilitation nursing, oxygen therapy, health education, and chronic disease follow-up.</w:t>
            </w:r>
          </w:p>
        </w:tc>
      </w:tr>
      <w:tr w14:paraId="0CB7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271FE1C">
            <w:pPr>
              <w:jc w:val="center"/>
              <w:rPr>
                <w:rFonts w:cs="Times New Roman"/>
                <w:szCs w:val="24"/>
                <w:lang w:bidi="ar"/>
              </w:rPr>
            </w:pPr>
          </w:p>
        </w:tc>
        <w:tc>
          <w:tcPr>
            <w:tcW w:w="1798" w:type="dxa"/>
            <w:vMerge w:val="continue"/>
            <w:vAlign w:val="center"/>
          </w:tcPr>
          <w:p w14:paraId="5A2E3AC8">
            <w:pPr>
              <w:jc w:val="center"/>
              <w:rPr>
                <w:rFonts w:cs="Times New Roman"/>
                <w:szCs w:val="24"/>
                <w:lang w:bidi="ar"/>
              </w:rPr>
            </w:pPr>
          </w:p>
        </w:tc>
        <w:tc>
          <w:tcPr>
            <w:tcW w:w="10495" w:type="dxa"/>
            <w:gridSpan w:val="4"/>
            <w:vAlign w:val="center"/>
          </w:tcPr>
          <w:p w14:paraId="3A91F6DA">
            <w:pPr>
              <w:widowControl/>
              <w:adjustRightInd/>
              <w:snapToGrid/>
              <w:spacing w:line="240" w:lineRule="auto"/>
              <w:jc w:val="left"/>
              <w:rPr>
                <w:rFonts w:cs="Times New Roman"/>
                <w:color w:val="000000"/>
                <w:szCs w:val="24"/>
              </w:rPr>
            </w:pPr>
            <w:r>
              <w:rPr>
                <w:rFonts w:cs="Times New Roman"/>
                <w:b/>
                <w:bCs/>
                <w:color w:val="000000"/>
                <w:szCs w:val="24"/>
              </w:rPr>
              <w:t xml:space="preserve">1.2.4 </w:t>
            </w:r>
            <w:r>
              <w:rPr>
                <w:rFonts w:cs="Times New Roman"/>
                <w:szCs w:val="24"/>
                <w:lang w:bidi="ar"/>
              </w:rPr>
              <w:t>Rehabilitation therapist: Proficient in pulmonary rehabilitation training content</w:t>
            </w:r>
            <w:r>
              <w:rPr>
                <w:rFonts w:hint="eastAsia" w:cs="Times New Roman"/>
                <w:szCs w:val="24"/>
                <w:lang w:bidi="ar"/>
              </w:rPr>
              <w:t>.</w:t>
            </w:r>
          </w:p>
        </w:tc>
      </w:tr>
      <w:tr w14:paraId="1169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7370ECE">
            <w:pPr>
              <w:jc w:val="center"/>
              <w:rPr>
                <w:rFonts w:cs="Times New Roman"/>
                <w:szCs w:val="24"/>
                <w:lang w:bidi="ar"/>
              </w:rPr>
            </w:pPr>
          </w:p>
        </w:tc>
        <w:tc>
          <w:tcPr>
            <w:tcW w:w="1798" w:type="dxa"/>
            <w:vMerge w:val="continue"/>
            <w:vAlign w:val="center"/>
          </w:tcPr>
          <w:p w14:paraId="663FABC2">
            <w:pPr>
              <w:jc w:val="center"/>
              <w:rPr>
                <w:rFonts w:cs="Times New Roman"/>
                <w:szCs w:val="24"/>
                <w:lang w:bidi="ar"/>
              </w:rPr>
            </w:pPr>
          </w:p>
        </w:tc>
        <w:tc>
          <w:tcPr>
            <w:tcW w:w="10495" w:type="dxa"/>
            <w:gridSpan w:val="4"/>
            <w:vAlign w:val="center"/>
          </w:tcPr>
          <w:p w14:paraId="33AD10C9">
            <w:pPr>
              <w:widowControl/>
              <w:adjustRightInd/>
              <w:snapToGrid/>
              <w:spacing w:line="240" w:lineRule="auto"/>
              <w:jc w:val="left"/>
              <w:rPr>
                <w:rFonts w:cs="Times New Roman"/>
                <w:color w:val="000000"/>
                <w:szCs w:val="24"/>
              </w:rPr>
            </w:pPr>
            <w:r>
              <w:rPr>
                <w:rFonts w:cs="Times New Roman"/>
                <w:b/>
                <w:bCs/>
                <w:color w:val="000000"/>
                <w:szCs w:val="24"/>
              </w:rPr>
              <w:t xml:space="preserve">1.2.5 </w:t>
            </w:r>
            <w:r>
              <w:rPr>
                <w:rFonts w:cs="Times New Roman"/>
                <w:szCs w:val="24"/>
                <w:lang w:bidi="ar"/>
              </w:rPr>
              <w:t>Nutritionist (if available): holds registered dietitian certification; experienced in providing dietary guidance for patients with chronic respiratory diseases.</w:t>
            </w:r>
          </w:p>
        </w:tc>
      </w:tr>
      <w:tr w14:paraId="3015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2906E7E">
            <w:pPr>
              <w:jc w:val="center"/>
              <w:rPr>
                <w:rFonts w:cs="Times New Roman"/>
                <w:szCs w:val="24"/>
                <w:lang w:bidi="ar"/>
              </w:rPr>
            </w:pPr>
          </w:p>
        </w:tc>
        <w:tc>
          <w:tcPr>
            <w:tcW w:w="1798" w:type="dxa"/>
            <w:vMerge w:val="continue"/>
            <w:vAlign w:val="center"/>
          </w:tcPr>
          <w:p w14:paraId="19EB9AFD">
            <w:pPr>
              <w:jc w:val="center"/>
              <w:rPr>
                <w:rFonts w:cs="Times New Roman"/>
                <w:szCs w:val="24"/>
                <w:lang w:bidi="ar"/>
              </w:rPr>
            </w:pPr>
          </w:p>
        </w:tc>
        <w:tc>
          <w:tcPr>
            <w:tcW w:w="10495" w:type="dxa"/>
            <w:gridSpan w:val="4"/>
            <w:vAlign w:val="center"/>
          </w:tcPr>
          <w:p w14:paraId="7EA58CC3">
            <w:pPr>
              <w:widowControl/>
              <w:adjustRightInd/>
              <w:snapToGrid/>
              <w:spacing w:line="240" w:lineRule="auto"/>
              <w:jc w:val="left"/>
              <w:rPr>
                <w:rFonts w:cs="Times New Roman"/>
                <w:color w:val="000000"/>
                <w:szCs w:val="24"/>
              </w:rPr>
            </w:pPr>
            <w:r>
              <w:rPr>
                <w:rFonts w:cs="Times New Roman"/>
                <w:b/>
                <w:bCs/>
                <w:color w:val="000000"/>
                <w:szCs w:val="24"/>
              </w:rPr>
              <w:t xml:space="preserve">1.2.6 </w:t>
            </w:r>
            <w:r>
              <w:rPr>
                <w:rFonts w:cs="Times New Roman"/>
                <w:szCs w:val="24"/>
                <w:lang w:bidi="ar"/>
              </w:rPr>
              <w:t>Psychologist (if available): hold</w:t>
            </w:r>
            <w:r>
              <w:rPr>
                <w:rFonts w:hint="eastAsia" w:cs="Times New Roman"/>
                <w:szCs w:val="24"/>
                <w:lang w:bidi="ar"/>
              </w:rPr>
              <w:t>s</w:t>
            </w:r>
            <w:r>
              <w:rPr>
                <w:rFonts w:cs="Times New Roman"/>
                <w:szCs w:val="24"/>
                <w:lang w:bidi="ar"/>
              </w:rPr>
              <w:t xml:space="preserve"> psychologist certification; experienced in psychological intervention for patients with chronic diseases.</w:t>
            </w:r>
          </w:p>
        </w:tc>
      </w:tr>
      <w:tr w14:paraId="6789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6EABE81">
            <w:pPr>
              <w:jc w:val="center"/>
              <w:rPr>
                <w:rFonts w:cs="Times New Roman"/>
                <w:szCs w:val="24"/>
                <w:lang w:bidi="ar"/>
              </w:rPr>
            </w:pPr>
          </w:p>
        </w:tc>
        <w:tc>
          <w:tcPr>
            <w:tcW w:w="1798" w:type="dxa"/>
            <w:vMerge w:val="continue"/>
            <w:vAlign w:val="center"/>
          </w:tcPr>
          <w:p w14:paraId="069B4950">
            <w:pPr>
              <w:jc w:val="center"/>
              <w:rPr>
                <w:rFonts w:cs="Times New Roman"/>
                <w:szCs w:val="24"/>
                <w:lang w:bidi="ar"/>
              </w:rPr>
            </w:pPr>
          </w:p>
        </w:tc>
        <w:tc>
          <w:tcPr>
            <w:tcW w:w="10495" w:type="dxa"/>
            <w:gridSpan w:val="4"/>
            <w:vAlign w:val="center"/>
          </w:tcPr>
          <w:p w14:paraId="0E582B80">
            <w:pPr>
              <w:widowControl/>
              <w:adjustRightInd/>
              <w:snapToGrid/>
              <w:spacing w:line="240" w:lineRule="auto"/>
              <w:jc w:val="left"/>
              <w:rPr>
                <w:rFonts w:cs="Times New Roman"/>
                <w:color w:val="000000"/>
                <w:szCs w:val="24"/>
              </w:rPr>
            </w:pPr>
            <w:r>
              <w:rPr>
                <w:rFonts w:cs="Times New Roman"/>
                <w:b/>
                <w:bCs/>
                <w:color w:val="000000"/>
                <w:szCs w:val="24"/>
              </w:rPr>
              <w:t xml:space="preserve">1.2.7 </w:t>
            </w:r>
            <w:r>
              <w:rPr>
                <w:rFonts w:cs="Times New Roman"/>
                <w:szCs w:val="24"/>
                <w:lang w:bidi="ar"/>
              </w:rPr>
              <w:t>Patient: possesses adequate learning ability, comprehension, and motivation for rehabilitation.</w:t>
            </w:r>
          </w:p>
        </w:tc>
      </w:tr>
      <w:tr w14:paraId="749B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3B80AE1">
            <w:pPr>
              <w:jc w:val="center"/>
              <w:rPr>
                <w:rFonts w:cs="Times New Roman"/>
                <w:szCs w:val="24"/>
                <w:lang w:bidi="ar"/>
              </w:rPr>
            </w:pPr>
          </w:p>
        </w:tc>
        <w:tc>
          <w:tcPr>
            <w:tcW w:w="1798" w:type="dxa"/>
            <w:vMerge w:val="continue"/>
            <w:vAlign w:val="center"/>
          </w:tcPr>
          <w:p w14:paraId="66861C1F">
            <w:pPr>
              <w:jc w:val="center"/>
              <w:rPr>
                <w:rFonts w:cs="Times New Roman"/>
                <w:szCs w:val="24"/>
                <w:lang w:bidi="ar"/>
              </w:rPr>
            </w:pPr>
          </w:p>
        </w:tc>
        <w:tc>
          <w:tcPr>
            <w:tcW w:w="10495" w:type="dxa"/>
            <w:gridSpan w:val="4"/>
            <w:vAlign w:val="center"/>
          </w:tcPr>
          <w:p w14:paraId="41F1CEEB">
            <w:pPr>
              <w:widowControl/>
              <w:adjustRightInd/>
              <w:snapToGrid/>
              <w:spacing w:line="240" w:lineRule="auto"/>
              <w:jc w:val="left"/>
              <w:rPr>
                <w:rFonts w:cs="Times New Roman"/>
                <w:szCs w:val="24"/>
                <w:lang w:bidi="ar"/>
              </w:rPr>
            </w:pPr>
            <w:r>
              <w:rPr>
                <w:rFonts w:cs="Times New Roman"/>
                <w:b/>
                <w:bCs/>
                <w:color w:val="000000"/>
                <w:szCs w:val="24"/>
              </w:rPr>
              <w:t>1.2.8</w:t>
            </w:r>
            <w:r>
              <w:rPr>
                <w:rFonts w:cs="Times New Roman"/>
                <w:color w:val="000000"/>
                <w:szCs w:val="24"/>
              </w:rPr>
              <w:t xml:space="preserve"> </w:t>
            </w:r>
            <w:r>
              <w:rPr>
                <w:rFonts w:cs="Times New Roman"/>
                <w:szCs w:val="24"/>
                <w:lang w:bidi="ar"/>
              </w:rPr>
              <w:t>Family member:</w:t>
            </w:r>
            <w:r>
              <w:t xml:space="preserve"> </w:t>
            </w:r>
            <w:r>
              <w:rPr>
                <w:rFonts w:cs="Times New Roman"/>
                <w:szCs w:val="24"/>
                <w:lang w:bidi="ar"/>
              </w:rPr>
              <w:t>possesses compassion, patience, and basic caregiving ability; willing to assist and supervise the patient.</w:t>
            </w:r>
          </w:p>
        </w:tc>
      </w:tr>
      <w:tr w14:paraId="66A1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9C5CE07">
            <w:pPr>
              <w:jc w:val="center"/>
              <w:rPr>
                <w:rFonts w:cs="Times New Roman"/>
                <w:szCs w:val="24"/>
                <w:lang w:bidi="ar"/>
              </w:rPr>
            </w:pPr>
            <w:bookmarkStart w:id="3" w:name="_Hlk231572141"/>
          </w:p>
        </w:tc>
        <w:tc>
          <w:tcPr>
            <w:tcW w:w="1798" w:type="dxa"/>
            <w:vMerge w:val="restart"/>
            <w:vAlign w:val="center"/>
          </w:tcPr>
          <w:p w14:paraId="547DA41B">
            <w:pPr>
              <w:widowControl/>
              <w:adjustRightInd/>
              <w:snapToGrid/>
              <w:spacing w:line="240" w:lineRule="auto"/>
              <w:jc w:val="center"/>
              <w:rPr>
                <w:rFonts w:cs="Times New Roman"/>
                <w:color w:val="000000"/>
                <w:szCs w:val="24"/>
              </w:rPr>
            </w:pPr>
            <w:r>
              <w:rPr>
                <w:rFonts w:cs="Times New Roman"/>
                <w:b/>
                <w:bCs/>
                <w:color w:val="000000"/>
                <w:szCs w:val="24"/>
              </w:rPr>
              <w:t xml:space="preserve">1.3 </w:t>
            </w:r>
            <w:r>
              <w:rPr>
                <w:rFonts w:cs="Times New Roman"/>
                <w:szCs w:val="24"/>
              </w:rPr>
              <w:t>Personnel responsibilities</w:t>
            </w:r>
          </w:p>
        </w:tc>
        <w:tc>
          <w:tcPr>
            <w:tcW w:w="10495" w:type="dxa"/>
            <w:gridSpan w:val="4"/>
            <w:vAlign w:val="center"/>
          </w:tcPr>
          <w:p w14:paraId="730D772C">
            <w:pPr>
              <w:widowControl/>
              <w:adjustRightInd/>
              <w:snapToGrid/>
              <w:spacing w:line="240" w:lineRule="auto"/>
              <w:jc w:val="left"/>
              <w:rPr>
                <w:rFonts w:cs="Times New Roman"/>
                <w:color w:val="000000"/>
                <w:szCs w:val="24"/>
              </w:rPr>
            </w:pPr>
            <w:r>
              <w:rPr>
                <w:rFonts w:cs="Times New Roman"/>
                <w:b/>
                <w:bCs/>
                <w:color w:val="000000"/>
                <w:szCs w:val="24"/>
              </w:rPr>
              <w:t xml:space="preserve">1.3.1 </w:t>
            </w:r>
            <w:r>
              <w:rPr>
                <w:rFonts w:cs="Times New Roman"/>
                <w:szCs w:val="24"/>
                <w:lang w:bidi="ar"/>
              </w:rPr>
              <w:t>Respiratory physician: conduct condition</w:t>
            </w:r>
            <w:r>
              <w:rPr>
                <w:rFonts w:hint="eastAsia" w:cs="Times New Roman"/>
                <w:szCs w:val="24"/>
                <w:lang w:bidi="ar"/>
              </w:rPr>
              <w:t xml:space="preserve"> </w:t>
            </w:r>
            <w:r>
              <w:rPr>
                <w:rFonts w:cs="Times New Roman"/>
                <w:szCs w:val="24"/>
                <w:lang w:bidi="ar"/>
              </w:rPr>
              <w:t>assessments for hospitalized patients with pulmonary hypertension</w:t>
            </w:r>
            <w:r>
              <w:rPr>
                <w:rFonts w:hint="eastAsia" w:cs="Times New Roman"/>
                <w:szCs w:val="24"/>
                <w:lang w:bidi="ar"/>
              </w:rPr>
              <w:t xml:space="preserve"> </w:t>
            </w:r>
            <w:r>
              <w:rPr>
                <w:rFonts w:cs="Times New Roman"/>
                <w:szCs w:val="24"/>
                <w:lang w:bidi="ar"/>
              </w:rPr>
              <w:t>and accurately determine the timing of pulmonary rehabilitation intervention; collaborate with rehabilitation physician to develop individualized pulmonary rehabilitation plans; instruct patients and family members on key aspects of training methods, frequency, intensity, indications for safe termination, and management of comorbidities.</w:t>
            </w:r>
          </w:p>
        </w:tc>
      </w:tr>
      <w:tr w14:paraId="491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7FEF7E4">
            <w:pPr>
              <w:jc w:val="center"/>
              <w:rPr>
                <w:rFonts w:cs="Times New Roman"/>
                <w:szCs w:val="24"/>
                <w:lang w:bidi="ar"/>
              </w:rPr>
            </w:pPr>
          </w:p>
        </w:tc>
        <w:tc>
          <w:tcPr>
            <w:tcW w:w="1798" w:type="dxa"/>
            <w:vMerge w:val="continue"/>
            <w:vAlign w:val="center"/>
          </w:tcPr>
          <w:p w14:paraId="3B78D506">
            <w:pPr>
              <w:jc w:val="center"/>
              <w:rPr>
                <w:rFonts w:cs="Times New Roman"/>
                <w:szCs w:val="24"/>
                <w:lang w:bidi="ar"/>
              </w:rPr>
            </w:pPr>
          </w:p>
        </w:tc>
        <w:tc>
          <w:tcPr>
            <w:tcW w:w="10495" w:type="dxa"/>
            <w:gridSpan w:val="4"/>
            <w:vAlign w:val="center"/>
          </w:tcPr>
          <w:p w14:paraId="25910FF0">
            <w:pPr>
              <w:widowControl/>
              <w:adjustRightInd/>
              <w:snapToGrid/>
              <w:spacing w:line="240" w:lineRule="auto"/>
              <w:jc w:val="left"/>
              <w:rPr>
                <w:rFonts w:cs="Times New Roman"/>
                <w:color w:val="000000"/>
                <w:szCs w:val="24"/>
              </w:rPr>
            </w:pPr>
            <w:r>
              <w:rPr>
                <w:rFonts w:cs="Times New Roman"/>
                <w:b/>
                <w:bCs/>
                <w:color w:val="000000"/>
                <w:szCs w:val="24"/>
              </w:rPr>
              <w:t>1.3.2</w:t>
            </w:r>
            <w:r>
              <w:rPr>
                <w:rFonts w:cs="Times New Roman"/>
                <w:color w:val="000000"/>
                <w:szCs w:val="24"/>
              </w:rPr>
              <w:t xml:space="preserve"> </w:t>
            </w:r>
            <w:r>
              <w:rPr>
                <w:rFonts w:cs="Times New Roman"/>
                <w:szCs w:val="24"/>
                <w:lang w:bidi="ar"/>
              </w:rPr>
              <w:t>Rehabilitation therapist: guide patients in individualized exercise training; conduct regular assessments; assist in adjusting rehabilitation plans; manage concurrent functional issues; and provide continuous rehabilitation guidance for patients both inside and outside the hospital.</w:t>
            </w:r>
          </w:p>
        </w:tc>
      </w:tr>
      <w:tr w14:paraId="7449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F2CDBBA">
            <w:pPr>
              <w:jc w:val="center"/>
              <w:rPr>
                <w:rFonts w:cs="Times New Roman"/>
                <w:szCs w:val="24"/>
                <w:lang w:bidi="ar"/>
              </w:rPr>
            </w:pPr>
          </w:p>
        </w:tc>
        <w:tc>
          <w:tcPr>
            <w:tcW w:w="1798" w:type="dxa"/>
            <w:vMerge w:val="continue"/>
            <w:vAlign w:val="center"/>
          </w:tcPr>
          <w:p w14:paraId="76F65A77">
            <w:pPr>
              <w:jc w:val="center"/>
              <w:rPr>
                <w:rFonts w:cs="Times New Roman"/>
                <w:szCs w:val="24"/>
                <w:lang w:bidi="ar"/>
              </w:rPr>
            </w:pPr>
          </w:p>
        </w:tc>
        <w:tc>
          <w:tcPr>
            <w:tcW w:w="10495" w:type="dxa"/>
            <w:gridSpan w:val="4"/>
            <w:vAlign w:val="center"/>
          </w:tcPr>
          <w:p w14:paraId="63F976A6">
            <w:pPr>
              <w:widowControl/>
              <w:adjustRightInd/>
              <w:snapToGrid/>
              <w:spacing w:line="240" w:lineRule="auto"/>
              <w:jc w:val="left"/>
              <w:rPr>
                <w:rFonts w:cs="Times New Roman"/>
                <w:color w:val="000000"/>
                <w:szCs w:val="24"/>
              </w:rPr>
            </w:pPr>
            <w:r>
              <w:rPr>
                <w:rFonts w:cs="Times New Roman"/>
                <w:b/>
                <w:bCs/>
                <w:color w:val="000000"/>
                <w:szCs w:val="24"/>
              </w:rPr>
              <w:t>1.3.3</w:t>
            </w:r>
            <w:r>
              <w:rPr>
                <w:rFonts w:cs="Times New Roman"/>
                <w:b/>
                <w:bCs/>
                <w:szCs w:val="24"/>
                <w:lang w:bidi="ar"/>
              </w:rPr>
              <w:t xml:space="preserve"> </w:t>
            </w:r>
            <w:r>
              <w:rPr>
                <w:rFonts w:cs="Times New Roman"/>
                <w:szCs w:val="24"/>
                <w:lang w:bidi="ar"/>
              </w:rPr>
              <w:t>Respiratory nurse:</w:t>
            </w:r>
            <w:r>
              <w:t xml:space="preserve"> </w:t>
            </w:r>
            <w:r>
              <w:rPr>
                <w:rFonts w:hint="eastAsia"/>
              </w:rPr>
              <w:t>a</w:t>
            </w:r>
            <w:r>
              <w:rPr>
                <w:rFonts w:cs="Times New Roman"/>
                <w:szCs w:val="24"/>
                <w:lang w:bidi="ar"/>
              </w:rPr>
              <w:t>ssist physicians in conducting inpatient pulmonary rehabilitation guidance and outcome monitoring for patients, with a primary focus on pre-discharge health education, instructing patients and their families in home oxygen therapy, medication management, symptom monitoring, and self-care skills, as well as participating in post-discharge continuous rehabilitation follow-up and health management for patients.</w:t>
            </w:r>
          </w:p>
        </w:tc>
      </w:tr>
      <w:tr w14:paraId="70F8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883" w:type="dxa"/>
            <w:vMerge w:val="continue"/>
            <w:vAlign w:val="center"/>
          </w:tcPr>
          <w:p w14:paraId="46F40E63">
            <w:pPr>
              <w:jc w:val="center"/>
              <w:rPr>
                <w:rFonts w:cs="Times New Roman"/>
                <w:szCs w:val="24"/>
                <w:lang w:bidi="ar"/>
              </w:rPr>
            </w:pPr>
          </w:p>
        </w:tc>
        <w:tc>
          <w:tcPr>
            <w:tcW w:w="1798" w:type="dxa"/>
            <w:vMerge w:val="continue"/>
            <w:vAlign w:val="center"/>
          </w:tcPr>
          <w:p w14:paraId="1BD8D564">
            <w:pPr>
              <w:jc w:val="center"/>
              <w:rPr>
                <w:rFonts w:cs="Times New Roman"/>
                <w:szCs w:val="24"/>
                <w:lang w:bidi="ar"/>
              </w:rPr>
            </w:pPr>
          </w:p>
        </w:tc>
        <w:tc>
          <w:tcPr>
            <w:tcW w:w="10495" w:type="dxa"/>
            <w:gridSpan w:val="4"/>
            <w:vAlign w:val="center"/>
          </w:tcPr>
          <w:p w14:paraId="687F269B">
            <w:pPr>
              <w:jc w:val="left"/>
              <w:rPr>
                <w:rFonts w:cs="Times New Roman"/>
                <w:szCs w:val="24"/>
                <w:lang w:bidi="ar"/>
              </w:rPr>
            </w:pPr>
            <w:r>
              <w:rPr>
                <w:rFonts w:cs="Times New Roman"/>
                <w:b/>
                <w:bCs/>
                <w:color w:val="000000"/>
                <w:szCs w:val="24"/>
              </w:rPr>
              <w:t xml:space="preserve">1.3.4 </w:t>
            </w:r>
            <w:r>
              <w:rPr>
                <w:rFonts w:cs="Times New Roman"/>
                <w:szCs w:val="24"/>
                <w:lang w:bidi="ar"/>
              </w:rPr>
              <w:t>Nutritionist (if available): provide nutritional consultation and dietary guidance based on the patient’s physical condition and rehabilitation needs.</w:t>
            </w:r>
          </w:p>
        </w:tc>
      </w:tr>
      <w:tr w14:paraId="7197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ABD32CD">
            <w:pPr>
              <w:jc w:val="center"/>
              <w:rPr>
                <w:rFonts w:cs="Times New Roman"/>
                <w:szCs w:val="24"/>
                <w:lang w:bidi="ar"/>
              </w:rPr>
            </w:pPr>
          </w:p>
        </w:tc>
        <w:tc>
          <w:tcPr>
            <w:tcW w:w="1798" w:type="dxa"/>
            <w:vMerge w:val="continue"/>
            <w:vAlign w:val="center"/>
          </w:tcPr>
          <w:p w14:paraId="6752AAA0">
            <w:pPr>
              <w:jc w:val="center"/>
              <w:rPr>
                <w:rFonts w:cs="Times New Roman"/>
                <w:szCs w:val="24"/>
                <w:lang w:bidi="ar"/>
              </w:rPr>
            </w:pPr>
          </w:p>
        </w:tc>
        <w:tc>
          <w:tcPr>
            <w:tcW w:w="10495" w:type="dxa"/>
            <w:gridSpan w:val="4"/>
            <w:vAlign w:val="center"/>
          </w:tcPr>
          <w:p w14:paraId="6968B941">
            <w:pPr>
              <w:widowControl/>
              <w:adjustRightInd/>
              <w:snapToGrid/>
              <w:spacing w:line="240" w:lineRule="auto"/>
              <w:jc w:val="left"/>
              <w:rPr>
                <w:rFonts w:cs="Times New Roman"/>
                <w:color w:val="000000"/>
                <w:szCs w:val="24"/>
              </w:rPr>
            </w:pPr>
            <w:r>
              <w:rPr>
                <w:rFonts w:cs="Times New Roman"/>
                <w:b/>
                <w:bCs/>
                <w:color w:val="000000"/>
                <w:szCs w:val="24"/>
              </w:rPr>
              <w:t xml:space="preserve">1.3.5 </w:t>
            </w:r>
            <w:r>
              <w:rPr>
                <w:rFonts w:cs="Times New Roman"/>
                <w:szCs w:val="24"/>
                <w:lang w:bidi="ar"/>
              </w:rPr>
              <w:t>Psychologist (if available): provide psychological intervention for patients in need; help alleviate anxiety, depression, and other emotional issues.</w:t>
            </w:r>
          </w:p>
        </w:tc>
      </w:tr>
      <w:tr w14:paraId="1A57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97F794F">
            <w:pPr>
              <w:jc w:val="center"/>
              <w:rPr>
                <w:rFonts w:cs="Times New Roman"/>
                <w:szCs w:val="24"/>
                <w:lang w:bidi="ar"/>
              </w:rPr>
            </w:pPr>
          </w:p>
        </w:tc>
        <w:tc>
          <w:tcPr>
            <w:tcW w:w="1798" w:type="dxa"/>
            <w:vMerge w:val="continue"/>
            <w:vAlign w:val="center"/>
          </w:tcPr>
          <w:p w14:paraId="5A5DB0ED">
            <w:pPr>
              <w:jc w:val="center"/>
              <w:rPr>
                <w:rFonts w:cs="Times New Roman"/>
                <w:szCs w:val="24"/>
                <w:lang w:bidi="ar"/>
              </w:rPr>
            </w:pPr>
          </w:p>
        </w:tc>
        <w:tc>
          <w:tcPr>
            <w:tcW w:w="10495" w:type="dxa"/>
            <w:gridSpan w:val="4"/>
            <w:vAlign w:val="center"/>
          </w:tcPr>
          <w:p w14:paraId="57595D25">
            <w:pPr>
              <w:widowControl/>
              <w:adjustRightInd/>
              <w:snapToGrid/>
              <w:spacing w:line="240" w:lineRule="auto"/>
              <w:jc w:val="left"/>
              <w:rPr>
                <w:rFonts w:cs="Times New Roman"/>
                <w:color w:val="000000"/>
                <w:szCs w:val="24"/>
              </w:rPr>
            </w:pPr>
            <w:r>
              <w:rPr>
                <w:rFonts w:cs="Times New Roman"/>
                <w:b/>
                <w:bCs/>
                <w:color w:val="000000"/>
                <w:szCs w:val="24"/>
              </w:rPr>
              <w:t>1.3.6</w:t>
            </w:r>
            <w:r>
              <w:rPr>
                <w:rFonts w:cs="Times New Roman"/>
                <w:color w:val="000000"/>
                <w:szCs w:val="24"/>
              </w:rPr>
              <w:t xml:space="preserve"> </w:t>
            </w:r>
            <w:r>
              <w:rPr>
                <w:rFonts w:cs="Times New Roman"/>
                <w:szCs w:val="24"/>
                <w:lang w:bidi="ar"/>
              </w:rPr>
              <w:t>Patient and family: patient actively participates in rehabilitation, performs daily exercises according to the plan, and learns disease management knowledge; family provides necessary daily care, emotional support, and assists in supervising the implementation of the rehabilitation plan.</w:t>
            </w:r>
          </w:p>
        </w:tc>
      </w:tr>
      <w:bookmarkEnd w:id="3"/>
      <w:tr w14:paraId="227C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2162E61E">
            <w:pPr>
              <w:widowControl/>
              <w:adjustRightInd/>
              <w:snapToGrid/>
              <w:spacing w:line="240" w:lineRule="auto"/>
              <w:jc w:val="center"/>
              <w:rPr>
                <w:rFonts w:cs="Times New Roman"/>
                <w:b/>
                <w:bCs/>
                <w:color w:val="000000"/>
                <w:szCs w:val="24"/>
              </w:rPr>
            </w:pPr>
            <w:r>
              <w:rPr>
                <w:rFonts w:cs="Times New Roman"/>
                <w:b/>
                <w:bCs/>
                <w:color w:val="000000"/>
                <w:szCs w:val="24"/>
              </w:rPr>
              <w:t xml:space="preserve">2 </w:t>
            </w:r>
            <w:r>
              <w:rPr>
                <w:rFonts w:cs="Times New Roman"/>
                <w:szCs w:val="24"/>
                <w:lang w:bidi="ar"/>
              </w:rPr>
              <w:t>Rehabilitation Assessment</w:t>
            </w:r>
          </w:p>
        </w:tc>
        <w:tc>
          <w:tcPr>
            <w:tcW w:w="1798" w:type="dxa"/>
            <w:vAlign w:val="center"/>
          </w:tcPr>
          <w:p w14:paraId="6A22DA72">
            <w:pPr>
              <w:widowControl/>
              <w:adjustRightInd/>
              <w:snapToGrid/>
              <w:spacing w:line="240" w:lineRule="auto"/>
              <w:jc w:val="center"/>
              <w:rPr>
                <w:rFonts w:cs="Times New Roman"/>
                <w:color w:val="000000"/>
                <w:szCs w:val="24"/>
              </w:rPr>
            </w:pPr>
            <w:r>
              <w:rPr>
                <w:rFonts w:cs="Times New Roman"/>
                <w:b/>
                <w:bCs/>
                <w:color w:val="000000"/>
                <w:szCs w:val="24"/>
              </w:rPr>
              <w:t xml:space="preserve">2.1 </w:t>
            </w:r>
            <w:r>
              <w:rPr>
                <w:rFonts w:cs="Times New Roman"/>
                <w:szCs w:val="24"/>
              </w:rPr>
              <w:t>Assessment content</w:t>
            </w:r>
            <w:r>
              <w:rPr>
                <w:rFonts w:cs="Times New Roman"/>
                <w:szCs w:val="24"/>
                <w:lang w:bidi="ar"/>
              </w:rPr>
              <w:t xml:space="preserve"> </w:t>
            </w:r>
          </w:p>
        </w:tc>
        <w:tc>
          <w:tcPr>
            <w:tcW w:w="10495" w:type="dxa"/>
            <w:gridSpan w:val="4"/>
            <w:vAlign w:val="center"/>
          </w:tcPr>
          <w:p w14:paraId="5623478A">
            <w:pPr>
              <w:widowControl/>
              <w:adjustRightInd/>
              <w:snapToGrid/>
              <w:spacing w:line="240" w:lineRule="auto"/>
              <w:jc w:val="left"/>
              <w:rPr>
                <w:rFonts w:cs="Times New Roman"/>
                <w:color w:val="000000"/>
                <w:szCs w:val="24"/>
              </w:rPr>
            </w:pPr>
            <w:r>
              <w:rPr>
                <w:rFonts w:cs="Times New Roman"/>
                <w:b/>
                <w:bCs/>
                <w:color w:val="000000"/>
                <w:szCs w:val="24"/>
              </w:rPr>
              <w:t>2.1.1</w:t>
            </w:r>
            <w:r>
              <w:rPr>
                <w:rFonts w:cs="Times New Roman"/>
                <w:color w:val="000000"/>
                <w:szCs w:val="24"/>
              </w:rPr>
              <w:t xml:space="preserve"> </w:t>
            </w:r>
            <w:r>
              <w:rPr>
                <w:rFonts w:cs="Times New Roman"/>
                <w:szCs w:val="24"/>
                <w:lang w:bidi="ar"/>
              </w:rPr>
              <w:t>Clinical characteristics, vital signs, imaging findings, laboratory tests, exercise tolerance, nutritional status, cardiopulmonary function, hemodynamic parameters, psychological and social factors, etc.</w:t>
            </w:r>
          </w:p>
        </w:tc>
      </w:tr>
      <w:tr w14:paraId="6176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A03040A">
            <w:pPr>
              <w:jc w:val="center"/>
              <w:rPr>
                <w:rFonts w:cs="Times New Roman"/>
                <w:szCs w:val="24"/>
                <w:lang w:bidi="ar"/>
              </w:rPr>
            </w:pPr>
          </w:p>
        </w:tc>
        <w:tc>
          <w:tcPr>
            <w:tcW w:w="1798" w:type="dxa"/>
            <w:vMerge w:val="restart"/>
            <w:vAlign w:val="center"/>
          </w:tcPr>
          <w:p w14:paraId="00BEC17D">
            <w:pPr>
              <w:widowControl/>
              <w:adjustRightInd/>
              <w:snapToGrid/>
              <w:spacing w:line="240" w:lineRule="auto"/>
              <w:jc w:val="center"/>
              <w:rPr>
                <w:rFonts w:cs="Times New Roman"/>
                <w:szCs w:val="24"/>
                <w:lang w:bidi="ar"/>
              </w:rPr>
            </w:pPr>
            <w:r>
              <w:rPr>
                <w:rFonts w:cs="Times New Roman"/>
                <w:b/>
                <w:bCs/>
                <w:color w:val="000000"/>
                <w:szCs w:val="24"/>
              </w:rPr>
              <w:t>2.2</w:t>
            </w:r>
            <w:r>
              <w:rPr>
                <w:rFonts w:cs="Times New Roman"/>
                <w:color w:val="000000"/>
                <w:szCs w:val="24"/>
              </w:rPr>
              <w:t xml:space="preserve"> </w:t>
            </w:r>
            <w:r>
              <w:rPr>
                <w:rFonts w:cs="Times New Roman"/>
                <w:szCs w:val="24"/>
                <w:lang w:bidi="ar"/>
              </w:rPr>
              <w:t>Assessment of exercise safety</w:t>
            </w:r>
          </w:p>
          <w:p w14:paraId="31118152">
            <w:pPr>
              <w:widowControl/>
              <w:adjustRightInd/>
              <w:snapToGrid/>
              <w:spacing w:line="240" w:lineRule="auto"/>
              <w:jc w:val="center"/>
              <w:rPr>
                <w:rFonts w:cs="Times New Roman"/>
                <w:color w:val="000000"/>
                <w:szCs w:val="24"/>
              </w:rPr>
            </w:pPr>
          </w:p>
        </w:tc>
        <w:tc>
          <w:tcPr>
            <w:tcW w:w="10495" w:type="dxa"/>
            <w:gridSpan w:val="4"/>
            <w:vAlign w:val="center"/>
          </w:tcPr>
          <w:p w14:paraId="079B0760">
            <w:pPr>
              <w:widowControl/>
              <w:adjustRightInd/>
              <w:snapToGrid/>
              <w:spacing w:line="240" w:lineRule="auto"/>
              <w:jc w:val="left"/>
              <w:rPr>
                <w:rFonts w:cs="Times New Roman"/>
                <w:color w:val="000000"/>
                <w:szCs w:val="24"/>
              </w:rPr>
            </w:pPr>
            <w:r>
              <w:rPr>
                <w:rFonts w:cs="Times New Roman"/>
                <w:b/>
                <w:bCs/>
                <w:color w:val="000000"/>
                <w:szCs w:val="24"/>
              </w:rPr>
              <w:t xml:space="preserve">2.2.1 </w:t>
            </w:r>
            <w:r>
              <w:rPr>
                <w:rFonts w:cs="Times New Roman"/>
                <w:szCs w:val="24"/>
              </w:rPr>
              <w:t xml:space="preserve">Safety indicators: At rest or before exercise, the following criteria must be met: </w:t>
            </w:r>
            <w:r>
              <w:rPr>
                <w:rFonts w:ascii="Cambria Math" w:hAnsi="Cambria Math" w:cs="Cambria Math"/>
                <w:szCs w:val="24"/>
              </w:rPr>
              <w:t>①</w:t>
            </w:r>
            <w:r>
              <w:rPr>
                <w:rFonts w:cs="Times New Roman"/>
                <w:szCs w:val="24"/>
              </w:rPr>
              <w:t xml:space="preserve"> mean arterial pressure (MAP) 60–100 mmHg; </w:t>
            </w:r>
            <w:r>
              <w:rPr>
                <w:rFonts w:ascii="Cambria Math" w:hAnsi="Cambria Math" w:cs="Cambria Math"/>
                <w:szCs w:val="24"/>
              </w:rPr>
              <w:t>②</w:t>
            </w:r>
            <w:r>
              <w:rPr>
                <w:rFonts w:cs="Times New Roman"/>
                <w:szCs w:val="24"/>
              </w:rPr>
              <w:t xml:space="preserve"> systolic blood pressure (SBP) 90–160 mmHg; </w:t>
            </w:r>
            <w:r>
              <w:rPr>
                <w:rFonts w:ascii="Cambria Math" w:hAnsi="Cambria Math" w:cs="Cambria Math"/>
                <w:szCs w:val="24"/>
              </w:rPr>
              <w:t>③</w:t>
            </w:r>
            <w:r>
              <w:rPr>
                <w:rFonts w:cs="Times New Roman"/>
                <w:szCs w:val="24"/>
              </w:rPr>
              <w:t xml:space="preserve"> resting heart rate 60–100 beats/min; </w:t>
            </w:r>
            <w:r>
              <w:rPr>
                <w:rFonts w:ascii="Cambria Math" w:hAnsi="Cambria Math" w:cs="Cambria Math"/>
                <w:szCs w:val="24"/>
              </w:rPr>
              <w:t>④</w:t>
            </w:r>
            <w:r>
              <w:rPr>
                <w:rFonts w:cs="Times New Roman"/>
                <w:szCs w:val="24"/>
              </w:rPr>
              <w:t xml:space="preserve"> respiratory rate 12–28 breaths/min; </w:t>
            </w:r>
            <w:r>
              <w:rPr>
                <w:rFonts w:ascii="Cambria Math" w:hAnsi="Cambria Math" w:cs="Cambria Math"/>
                <w:szCs w:val="24"/>
              </w:rPr>
              <w:t>⑤</w:t>
            </w:r>
            <w:r>
              <w:rPr>
                <w:rFonts w:cs="Times New Roman"/>
                <w:szCs w:val="24"/>
              </w:rPr>
              <w:t xml:space="preserve"> SpO₂ ≥ 80% (may be adjusted by healthcare professionals based on individual tolerance and altitude, but generally should not fall below 70%); </w:t>
            </w:r>
            <w:r>
              <w:rPr>
                <w:rFonts w:ascii="Cambria Math" w:hAnsi="Cambria Math" w:cs="Cambria Math"/>
                <w:szCs w:val="24"/>
              </w:rPr>
              <w:t>⑥</w:t>
            </w:r>
            <w:r>
              <w:rPr>
                <w:rFonts w:cs="Times New Roman"/>
                <w:szCs w:val="24"/>
              </w:rPr>
              <w:t xml:space="preserve"> alert and able to follow instructions.</w:t>
            </w:r>
          </w:p>
        </w:tc>
      </w:tr>
      <w:tr w14:paraId="2F47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1985E98">
            <w:pPr>
              <w:jc w:val="center"/>
              <w:rPr>
                <w:rFonts w:cs="Times New Roman"/>
                <w:szCs w:val="24"/>
                <w:lang w:bidi="ar"/>
              </w:rPr>
            </w:pPr>
          </w:p>
        </w:tc>
        <w:tc>
          <w:tcPr>
            <w:tcW w:w="1798" w:type="dxa"/>
            <w:vMerge w:val="continue"/>
            <w:vAlign w:val="center"/>
          </w:tcPr>
          <w:p w14:paraId="6D71B73F">
            <w:pPr>
              <w:jc w:val="center"/>
              <w:rPr>
                <w:rFonts w:cs="Times New Roman"/>
                <w:szCs w:val="24"/>
                <w:lang w:bidi="ar"/>
              </w:rPr>
            </w:pPr>
          </w:p>
        </w:tc>
        <w:tc>
          <w:tcPr>
            <w:tcW w:w="10495" w:type="dxa"/>
            <w:gridSpan w:val="4"/>
            <w:vAlign w:val="center"/>
          </w:tcPr>
          <w:p w14:paraId="3E8FD769">
            <w:pPr>
              <w:widowControl/>
              <w:adjustRightInd/>
              <w:snapToGrid/>
              <w:spacing w:line="240" w:lineRule="auto"/>
              <w:jc w:val="left"/>
              <w:rPr>
                <w:rFonts w:cs="Times New Roman"/>
                <w:color w:val="000000"/>
                <w:szCs w:val="24"/>
              </w:rPr>
            </w:pPr>
            <w:r>
              <w:rPr>
                <w:rFonts w:cs="Times New Roman"/>
                <w:b/>
                <w:bCs/>
                <w:color w:val="000000"/>
                <w:szCs w:val="24"/>
              </w:rPr>
              <w:t>2.2.2</w:t>
            </w:r>
            <w:r>
              <w:rPr>
                <w:rFonts w:cs="Times New Roman"/>
                <w:color w:val="000000"/>
                <w:szCs w:val="24"/>
              </w:rPr>
              <w:t xml:space="preserve"> </w:t>
            </w:r>
            <w:r>
              <w:rPr>
                <w:rFonts w:cs="Times New Roman"/>
                <w:szCs w:val="24"/>
                <w:lang w:bidi="ar"/>
              </w:rPr>
              <w:t>Relative contraindications: Conditions requiring careful evaluation and possible postponement or adjustment of the rehabilitation program: severe cognitive impairment, progressive neuromuscular disease, uncorrectable severe anemia, lack of motivation, severe fatigue related to debilitation, uncorrectable severe visual impairment, short life expectancy (&lt;6 months), etc.</w:t>
            </w:r>
          </w:p>
        </w:tc>
      </w:tr>
      <w:tr w14:paraId="40FD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A639BFA">
            <w:pPr>
              <w:jc w:val="center"/>
              <w:rPr>
                <w:rFonts w:cs="Times New Roman"/>
                <w:szCs w:val="24"/>
                <w:lang w:bidi="ar"/>
              </w:rPr>
            </w:pPr>
          </w:p>
        </w:tc>
        <w:tc>
          <w:tcPr>
            <w:tcW w:w="1798" w:type="dxa"/>
            <w:vMerge w:val="continue"/>
            <w:vAlign w:val="center"/>
          </w:tcPr>
          <w:p w14:paraId="0A63C1FB">
            <w:pPr>
              <w:jc w:val="center"/>
              <w:rPr>
                <w:rFonts w:cs="Times New Roman"/>
                <w:szCs w:val="24"/>
                <w:lang w:bidi="ar"/>
              </w:rPr>
            </w:pPr>
          </w:p>
        </w:tc>
        <w:tc>
          <w:tcPr>
            <w:tcW w:w="10495" w:type="dxa"/>
            <w:gridSpan w:val="4"/>
            <w:vAlign w:val="center"/>
          </w:tcPr>
          <w:p w14:paraId="30156CD6">
            <w:pPr>
              <w:widowControl/>
              <w:adjustRightInd/>
              <w:snapToGrid/>
              <w:spacing w:line="240" w:lineRule="auto"/>
              <w:jc w:val="left"/>
              <w:rPr>
                <w:rFonts w:cs="Times New Roman"/>
                <w:color w:val="000000"/>
                <w:szCs w:val="24"/>
              </w:rPr>
            </w:pPr>
            <w:r>
              <w:rPr>
                <w:rFonts w:cs="Times New Roman"/>
                <w:b/>
                <w:bCs/>
                <w:color w:val="000000"/>
                <w:szCs w:val="24"/>
              </w:rPr>
              <w:t xml:space="preserve">2.2.3 </w:t>
            </w:r>
            <w:r>
              <w:rPr>
                <w:rFonts w:cs="Times New Roman"/>
                <w:szCs w:val="24"/>
                <w:lang w:bidi="ar"/>
              </w:rPr>
              <w:t>Absolute contraindications: Conditions prohibiting exercise training: unstable angina or arrhythmia, decompensated heart failure, hemodynamic instability, unstable fractures, bleeding or hematoma at puncture sites, use of vasoactive drugs for life support, active deep vein thrombosis, infectious diseases that pose a risk to others at rest without isolation facilities, unstable psychiatric conditions with risk of self-harm or harm to others.</w:t>
            </w:r>
          </w:p>
        </w:tc>
      </w:tr>
      <w:tr w14:paraId="7333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9ADDEC5">
            <w:pPr>
              <w:jc w:val="center"/>
              <w:rPr>
                <w:rFonts w:cs="Times New Roman"/>
                <w:szCs w:val="24"/>
                <w:lang w:bidi="ar"/>
              </w:rPr>
            </w:pPr>
          </w:p>
        </w:tc>
        <w:tc>
          <w:tcPr>
            <w:tcW w:w="1798" w:type="dxa"/>
            <w:vAlign w:val="center"/>
          </w:tcPr>
          <w:p w14:paraId="2E47F5AC">
            <w:pPr>
              <w:widowControl/>
              <w:adjustRightInd/>
              <w:snapToGrid/>
              <w:spacing w:line="240" w:lineRule="auto"/>
              <w:jc w:val="center"/>
              <w:rPr>
                <w:rFonts w:cs="Times New Roman"/>
                <w:color w:val="000000"/>
                <w:szCs w:val="24"/>
              </w:rPr>
            </w:pPr>
            <w:r>
              <w:rPr>
                <w:rFonts w:cs="Times New Roman"/>
                <w:b/>
                <w:bCs/>
                <w:color w:val="000000"/>
                <w:szCs w:val="24"/>
              </w:rPr>
              <w:t>2.3</w:t>
            </w:r>
            <w:r>
              <w:rPr>
                <w:rFonts w:cs="Times New Roman"/>
                <w:color w:val="000000"/>
                <w:szCs w:val="24"/>
              </w:rPr>
              <w:t xml:space="preserve"> </w:t>
            </w:r>
            <w:r>
              <w:rPr>
                <w:rFonts w:cs="Times New Roman"/>
                <w:szCs w:val="24"/>
                <w:lang w:bidi="ar"/>
              </w:rPr>
              <w:t>Assessment of risk stratification</w:t>
            </w:r>
          </w:p>
        </w:tc>
        <w:tc>
          <w:tcPr>
            <w:tcW w:w="10495" w:type="dxa"/>
            <w:gridSpan w:val="4"/>
            <w:tcBorders>
              <w:bottom w:val="single" w:color="auto" w:sz="12" w:space="0"/>
            </w:tcBorders>
            <w:vAlign w:val="center"/>
          </w:tcPr>
          <w:p w14:paraId="19A8939D">
            <w:pPr>
              <w:widowControl/>
              <w:adjustRightInd/>
              <w:snapToGrid/>
              <w:spacing w:line="240" w:lineRule="auto"/>
              <w:jc w:val="left"/>
              <w:rPr>
                <w:rFonts w:cs="Times New Roman"/>
                <w:szCs w:val="24"/>
              </w:rPr>
            </w:pPr>
            <w:r>
              <w:rPr>
                <w:rFonts w:cs="Times New Roman"/>
                <w:b/>
                <w:bCs/>
                <w:color w:val="000000"/>
                <w:szCs w:val="24"/>
              </w:rPr>
              <w:t>2.3.1</w:t>
            </w:r>
            <w:r>
              <w:rPr>
                <w:rFonts w:cs="Times New Roman"/>
                <w:color w:val="000000"/>
                <w:szCs w:val="24"/>
              </w:rPr>
              <w:t xml:space="preserve"> </w:t>
            </w:r>
            <w:r>
              <w:rPr>
                <w:rFonts w:cs="Times New Roman"/>
                <w:szCs w:val="24"/>
              </w:rPr>
              <w:t>Use the 2022 European Society of Cardiology/European Respiratory Society (ESC/ERS) Guidelines for the Diagnosis and Treatment of Pulmonary Hypertension to stratify patients with pulmonary hypertension (low-risk, intermediate-risk, high-risk) to guide overall treatment and rehabilitation strategies.</w:t>
            </w:r>
          </w:p>
        </w:tc>
      </w:tr>
      <w:tr w14:paraId="2275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21ECCC0D">
            <w:pPr>
              <w:widowControl/>
              <w:adjustRightInd/>
              <w:snapToGrid/>
              <w:spacing w:line="240" w:lineRule="auto"/>
              <w:jc w:val="center"/>
              <w:rPr>
                <w:rFonts w:cs="Times New Roman"/>
                <w:color w:val="000000"/>
                <w:szCs w:val="24"/>
              </w:rPr>
            </w:pPr>
            <w:r>
              <w:rPr>
                <w:rFonts w:cs="Times New Roman"/>
                <w:b/>
                <w:bCs/>
                <w:color w:val="000000"/>
                <w:szCs w:val="24"/>
              </w:rPr>
              <w:t>3</w:t>
            </w:r>
            <w:r>
              <w:rPr>
                <w:rFonts w:cs="Times New Roman"/>
                <w:color w:val="000000"/>
                <w:szCs w:val="24"/>
              </w:rPr>
              <w:t xml:space="preserve"> </w:t>
            </w:r>
            <w:r>
              <w:rPr>
                <w:rFonts w:cs="Times New Roman"/>
                <w:szCs w:val="24"/>
                <w:lang w:bidi="ar"/>
              </w:rPr>
              <w:t>Exercise Prescription</w:t>
            </w:r>
          </w:p>
        </w:tc>
        <w:tc>
          <w:tcPr>
            <w:tcW w:w="1798" w:type="dxa"/>
            <w:tcBorders>
              <w:right w:val="single" w:color="auto" w:sz="12" w:space="0"/>
            </w:tcBorders>
          </w:tcPr>
          <w:p w14:paraId="145CE545">
            <w:pPr>
              <w:widowControl/>
              <w:adjustRightInd/>
              <w:snapToGrid/>
              <w:spacing w:line="240" w:lineRule="auto"/>
              <w:jc w:val="center"/>
              <w:rPr>
                <w:rFonts w:cs="Times New Roman"/>
                <w:color w:val="000000"/>
                <w:szCs w:val="24"/>
              </w:rPr>
            </w:pPr>
            <w:r>
              <w:rPr>
                <w:rFonts w:cs="Times New Roman"/>
                <w:b/>
                <w:bCs/>
                <w:color w:val="000000"/>
                <w:szCs w:val="24"/>
              </w:rPr>
              <w:t>3.1</w:t>
            </w:r>
            <w:r>
              <w:rPr>
                <w:rFonts w:cs="Times New Roman"/>
                <w:szCs w:val="24"/>
              </w:rPr>
              <w:t xml:space="preserve"> </w:t>
            </w:r>
            <w:r>
              <w:rPr>
                <w:rFonts w:cs="Times New Roman"/>
                <w:szCs w:val="24"/>
                <w:lang w:bidi="ar"/>
              </w:rPr>
              <w:t>Type</w:t>
            </w:r>
          </w:p>
        </w:tc>
        <w:tc>
          <w:tcPr>
            <w:tcW w:w="992" w:type="dxa"/>
            <w:tcBorders>
              <w:top w:val="single" w:color="auto" w:sz="12" w:space="0"/>
              <w:left w:val="single" w:color="auto" w:sz="12" w:space="0"/>
              <w:bottom w:val="single" w:color="auto" w:sz="12" w:space="0"/>
            </w:tcBorders>
          </w:tcPr>
          <w:p w14:paraId="4AD433AD">
            <w:pPr>
              <w:jc w:val="left"/>
              <w:rPr>
                <w:rFonts w:cs="Times New Roman"/>
                <w:b/>
                <w:bCs/>
                <w:szCs w:val="24"/>
              </w:rPr>
            </w:pPr>
            <w:r>
              <w:rPr>
                <w:rFonts w:cs="Times New Roman"/>
                <w:b/>
                <w:bCs/>
                <w:color w:val="000000"/>
                <w:szCs w:val="24"/>
              </w:rPr>
              <w:t>3.1.1</w:t>
            </w:r>
          </w:p>
        </w:tc>
        <w:tc>
          <w:tcPr>
            <w:tcW w:w="3627" w:type="dxa"/>
            <w:tcBorders>
              <w:top w:val="single" w:color="auto" w:sz="12" w:space="0"/>
              <w:bottom w:val="single" w:color="auto" w:sz="12" w:space="0"/>
            </w:tcBorders>
          </w:tcPr>
          <w:p w14:paraId="49CF42BF">
            <w:pPr>
              <w:jc w:val="left"/>
              <w:rPr>
                <w:rFonts w:cs="Times New Roman"/>
                <w:szCs w:val="24"/>
              </w:rPr>
            </w:pPr>
            <w:r>
              <w:rPr>
                <w:rFonts w:cs="Times New Roman"/>
                <w:szCs w:val="24"/>
              </w:rPr>
              <w:t>Aerobic exercise</w:t>
            </w:r>
          </w:p>
        </w:tc>
        <w:tc>
          <w:tcPr>
            <w:tcW w:w="2733" w:type="dxa"/>
            <w:tcBorders>
              <w:top w:val="single" w:color="auto" w:sz="12" w:space="0"/>
              <w:bottom w:val="single" w:color="auto" w:sz="12" w:space="0"/>
            </w:tcBorders>
          </w:tcPr>
          <w:p w14:paraId="2F407D7E">
            <w:pPr>
              <w:jc w:val="left"/>
              <w:rPr>
                <w:rFonts w:cs="Times New Roman"/>
                <w:szCs w:val="24"/>
              </w:rPr>
            </w:pPr>
            <w:r>
              <w:rPr>
                <w:rFonts w:cs="Times New Roman"/>
                <w:szCs w:val="24"/>
              </w:rPr>
              <w:t>Resistance exercise</w:t>
            </w:r>
          </w:p>
        </w:tc>
        <w:tc>
          <w:tcPr>
            <w:tcW w:w="3143" w:type="dxa"/>
            <w:tcBorders>
              <w:top w:val="single" w:color="auto" w:sz="12" w:space="0"/>
              <w:bottom w:val="single" w:color="auto" w:sz="12" w:space="0"/>
              <w:right w:val="single" w:color="auto" w:sz="12" w:space="0"/>
            </w:tcBorders>
          </w:tcPr>
          <w:p w14:paraId="581B1806">
            <w:pPr>
              <w:jc w:val="left"/>
              <w:rPr>
                <w:rFonts w:cs="Times New Roman"/>
                <w:szCs w:val="24"/>
              </w:rPr>
            </w:pPr>
            <w:r>
              <w:rPr>
                <w:rFonts w:cs="Times New Roman"/>
                <w:szCs w:val="24"/>
                <w:lang w:bidi="ar"/>
              </w:rPr>
              <w:t>Breathing exercises</w:t>
            </w:r>
          </w:p>
        </w:tc>
      </w:tr>
      <w:tr w14:paraId="7E9F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119B784">
            <w:pPr>
              <w:jc w:val="center"/>
              <w:rPr>
                <w:rFonts w:cs="Times New Roman"/>
                <w:szCs w:val="24"/>
                <w:lang w:bidi="ar"/>
              </w:rPr>
            </w:pPr>
          </w:p>
        </w:tc>
        <w:tc>
          <w:tcPr>
            <w:tcW w:w="1798" w:type="dxa"/>
            <w:tcBorders>
              <w:right w:val="single" w:color="auto" w:sz="12" w:space="0"/>
            </w:tcBorders>
          </w:tcPr>
          <w:p w14:paraId="22A1F89B">
            <w:pPr>
              <w:widowControl/>
              <w:adjustRightInd/>
              <w:snapToGrid/>
              <w:spacing w:line="240" w:lineRule="auto"/>
              <w:jc w:val="center"/>
              <w:rPr>
                <w:rFonts w:cs="Times New Roman"/>
                <w:color w:val="000000"/>
                <w:szCs w:val="24"/>
              </w:rPr>
            </w:pPr>
            <w:r>
              <w:rPr>
                <w:rFonts w:cs="Times New Roman"/>
                <w:b/>
                <w:bCs/>
                <w:color w:val="000000"/>
                <w:szCs w:val="24"/>
              </w:rPr>
              <w:t>3.2</w:t>
            </w:r>
            <w:r>
              <w:rPr>
                <w:rFonts w:cs="Times New Roman"/>
                <w:szCs w:val="24"/>
              </w:rPr>
              <w:t xml:space="preserve"> Form</w:t>
            </w:r>
          </w:p>
        </w:tc>
        <w:tc>
          <w:tcPr>
            <w:tcW w:w="992" w:type="dxa"/>
            <w:tcBorders>
              <w:top w:val="single" w:color="auto" w:sz="12" w:space="0"/>
              <w:left w:val="single" w:color="auto" w:sz="12" w:space="0"/>
              <w:bottom w:val="single" w:color="auto" w:sz="12" w:space="0"/>
            </w:tcBorders>
          </w:tcPr>
          <w:p w14:paraId="3ACB07E2">
            <w:pPr>
              <w:jc w:val="left"/>
              <w:rPr>
                <w:rFonts w:cs="Times New Roman"/>
                <w:b/>
                <w:bCs/>
                <w:szCs w:val="24"/>
              </w:rPr>
            </w:pPr>
            <w:r>
              <w:rPr>
                <w:rFonts w:cs="Times New Roman"/>
                <w:b/>
                <w:bCs/>
                <w:color w:val="000000"/>
                <w:szCs w:val="24"/>
              </w:rPr>
              <w:t>3.2.1</w:t>
            </w:r>
          </w:p>
        </w:tc>
        <w:tc>
          <w:tcPr>
            <w:tcW w:w="3627" w:type="dxa"/>
            <w:tcBorders>
              <w:top w:val="single" w:color="auto" w:sz="12" w:space="0"/>
              <w:bottom w:val="single" w:color="auto" w:sz="12" w:space="0"/>
            </w:tcBorders>
          </w:tcPr>
          <w:p w14:paraId="19FA3E13">
            <w:pPr>
              <w:jc w:val="left"/>
              <w:rPr>
                <w:rFonts w:cs="Times New Roman"/>
                <w:szCs w:val="24"/>
              </w:rPr>
            </w:pPr>
            <w:r>
              <w:rPr>
                <w:rFonts w:cs="Times New Roman"/>
                <w:szCs w:val="24"/>
              </w:rPr>
              <w:t>Brisk walking, jogging, stationary cycling, Baduanjin, Tai Chi, etc.</w:t>
            </w:r>
          </w:p>
        </w:tc>
        <w:tc>
          <w:tcPr>
            <w:tcW w:w="2733" w:type="dxa"/>
            <w:tcBorders>
              <w:top w:val="single" w:color="auto" w:sz="12" w:space="0"/>
              <w:bottom w:val="single" w:color="auto" w:sz="12" w:space="0"/>
            </w:tcBorders>
          </w:tcPr>
          <w:p w14:paraId="302C11A1">
            <w:pPr>
              <w:jc w:val="left"/>
              <w:rPr>
                <w:rFonts w:cs="Times New Roman"/>
                <w:szCs w:val="24"/>
              </w:rPr>
            </w:pPr>
            <w:r>
              <w:rPr>
                <w:rFonts w:cs="Times New Roman"/>
                <w:szCs w:val="24"/>
              </w:rPr>
              <w:t>Dumbbells, resistance bands, etc.</w:t>
            </w:r>
          </w:p>
        </w:tc>
        <w:tc>
          <w:tcPr>
            <w:tcW w:w="3143" w:type="dxa"/>
            <w:tcBorders>
              <w:top w:val="single" w:color="auto" w:sz="12" w:space="0"/>
              <w:bottom w:val="single" w:color="auto" w:sz="12" w:space="0"/>
              <w:right w:val="single" w:color="auto" w:sz="12" w:space="0"/>
            </w:tcBorders>
          </w:tcPr>
          <w:p w14:paraId="25AD2635">
            <w:pPr>
              <w:jc w:val="left"/>
              <w:rPr>
                <w:rFonts w:cs="Times New Roman"/>
                <w:szCs w:val="24"/>
              </w:rPr>
            </w:pPr>
            <w:r>
              <w:rPr>
                <w:rFonts w:cs="Times New Roman"/>
                <w:szCs w:val="24"/>
              </w:rPr>
              <w:t>Diaphragmatic breathing, pursed-lip breathing, breathing exercises using devices (balloons, respiratory trainers, etc.)</w:t>
            </w:r>
          </w:p>
        </w:tc>
      </w:tr>
      <w:tr w14:paraId="731F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65D3D78">
            <w:pPr>
              <w:jc w:val="center"/>
              <w:rPr>
                <w:rFonts w:cs="Times New Roman"/>
                <w:szCs w:val="24"/>
                <w:lang w:bidi="ar"/>
              </w:rPr>
            </w:pPr>
          </w:p>
        </w:tc>
        <w:tc>
          <w:tcPr>
            <w:tcW w:w="1798" w:type="dxa"/>
            <w:tcBorders>
              <w:right w:val="single" w:color="auto" w:sz="12" w:space="0"/>
            </w:tcBorders>
          </w:tcPr>
          <w:p w14:paraId="020BED5A">
            <w:pPr>
              <w:widowControl/>
              <w:adjustRightInd/>
              <w:snapToGrid/>
              <w:spacing w:line="240" w:lineRule="auto"/>
              <w:jc w:val="center"/>
              <w:rPr>
                <w:rFonts w:cs="Times New Roman"/>
                <w:color w:val="000000"/>
                <w:szCs w:val="24"/>
              </w:rPr>
            </w:pPr>
            <w:r>
              <w:rPr>
                <w:rFonts w:cs="Times New Roman"/>
                <w:b/>
                <w:bCs/>
                <w:color w:val="000000"/>
                <w:szCs w:val="24"/>
              </w:rPr>
              <w:t>3.3</w:t>
            </w:r>
            <w:r>
              <w:rPr>
                <w:rFonts w:cs="Times New Roman"/>
                <w:szCs w:val="24"/>
              </w:rPr>
              <w:t xml:space="preserve"> Duration</w:t>
            </w:r>
          </w:p>
        </w:tc>
        <w:tc>
          <w:tcPr>
            <w:tcW w:w="992" w:type="dxa"/>
            <w:tcBorders>
              <w:top w:val="single" w:color="auto" w:sz="12" w:space="0"/>
              <w:left w:val="single" w:color="auto" w:sz="12" w:space="0"/>
              <w:bottom w:val="single" w:color="auto" w:sz="12" w:space="0"/>
            </w:tcBorders>
          </w:tcPr>
          <w:p w14:paraId="1E9D577C">
            <w:pPr>
              <w:jc w:val="left"/>
              <w:rPr>
                <w:rFonts w:cs="Times New Roman"/>
                <w:b/>
                <w:bCs/>
                <w:szCs w:val="24"/>
              </w:rPr>
            </w:pPr>
            <w:r>
              <w:rPr>
                <w:rFonts w:cs="Times New Roman"/>
                <w:b/>
                <w:bCs/>
                <w:color w:val="000000"/>
                <w:szCs w:val="24"/>
              </w:rPr>
              <w:t>3.3.1</w:t>
            </w:r>
          </w:p>
        </w:tc>
        <w:tc>
          <w:tcPr>
            <w:tcW w:w="3627" w:type="dxa"/>
            <w:tcBorders>
              <w:top w:val="single" w:color="auto" w:sz="12" w:space="0"/>
              <w:bottom w:val="single" w:color="auto" w:sz="12" w:space="0"/>
            </w:tcBorders>
          </w:tcPr>
          <w:p w14:paraId="1531F5F6">
            <w:pPr>
              <w:jc w:val="left"/>
              <w:rPr>
                <w:rFonts w:cs="Times New Roman"/>
                <w:szCs w:val="24"/>
              </w:rPr>
            </w:pPr>
            <w:r>
              <w:rPr>
                <w:rFonts w:cs="Times New Roman"/>
                <w:szCs w:val="24"/>
              </w:rPr>
              <w:t>10–30 minutes per session.</w:t>
            </w:r>
          </w:p>
        </w:tc>
        <w:tc>
          <w:tcPr>
            <w:tcW w:w="2733" w:type="dxa"/>
            <w:tcBorders>
              <w:top w:val="single" w:color="auto" w:sz="12" w:space="0"/>
              <w:bottom w:val="single" w:color="auto" w:sz="12" w:space="0"/>
            </w:tcBorders>
          </w:tcPr>
          <w:p w14:paraId="38B5948B">
            <w:pPr>
              <w:jc w:val="left"/>
              <w:rPr>
                <w:rFonts w:cs="Times New Roman"/>
                <w:szCs w:val="24"/>
              </w:rPr>
            </w:pPr>
            <w:r>
              <w:rPr>
                <w:rFonts w:cs="Times New Roman"/>
                <w:szCs w:val="24"/>
              </w:rPr>
              <w:t>8–12 repetitions per set, 1–3 sets, completed within 10–20 minutes.</w:t>
            </w:r>
          </w:p>
        </w:tc>
        <w:tc>
          <w:tcPr>
            <w:tcW w:w="3143" w:type="dxa"/>
            <w:tcBorders>
              <w:top w:val="single" w:color="auto" w:sz="12" w:space="0"/>
              <w:bottom w:val="single" w:color="auto" w:sz="12" w:space="0"/>
              <w:right w:val="single" w:color="auto" w:sz="12" w:space="0"/>
            </w:tcBorders>
          </w:tcPr>
          <w:p w14:paraId="2910587D">
            <w:pPr>
              <w:jc w:val="left"/>
              <w:rPr>
                <w:rFonts w:cs="Times New Roman"/>
                <w:szCs w:val="24"/>
              </w:rPr>
            </w:pPr>
            <w:r>
              <w:rPr>
                <w:rFonts w:cs="Times New Roman"/>
                <w:szCs w:val="24"/>
              </w:rPr>
              <w:t>1–2 times/day, 10–15 minutes per session.</w:t>
            </w:r>
          </w:p>
        </w:tc>
      </w:tr>
      <w:tr w14:paraId="768F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76D1C1F">
            <w:pPr>
              <w:jc w:val="center"/>
              <w:rPr>
                <w:rFonts w:cs="Times New Roman"/>
                <w:szCs w:val="24"/>
                <w:lang w:bidi="ar"/>
              </w:rPr>
            </w:pPr>
          </w:p>
        </w:tc>
        <w:tc>
          <w:tcPr>
            <w:tcW w:w="1798" w:type="dxa"/>
            <w:tcBorders>
              <w:right w:val="single" w:color="auto" w:sz="12" w:space="0"/>
            </w:tcBorders>
          </w:tcPr>
          <w:p w14:paraId="4FDC9153">
            <w:pPr>
              <w:widowControl/>
              <w:adjustRightInd/>
              <w:snapToGrid/>
              <w:spacing w:line="240" w:lineRule="auto"/>
              <w:jc w:val="center"/>
              <w:rPr>
                <w:rFonts w:cs="Times New Roman"/>
                <w:color w:val="000000"/>
                <w:szCs w:val="24"/>
              </w:rPr>
            </w:pPr>
            <w:r>
              <w:rPr>
                <w:rFonts w:cs="Times New Roman"/>
                <w:b/>
                <w:bCs/>
                <w:color w:val="000000"/>
                <w:szCs w:val="24"/>
              </w:rPr>
              <w:t xml:space="preserve">3.4 </w:t>
            </w:r>
            <w:r>
              <w:rPr>
                <w:rFonts w:cs="Times New Roman"/>
                <w:szCs w:val="24"/>
              </w:rPr>
              <w:t>Frequency</w:t>
            </w:r>
          </w:p>
        </w:tc>
        <w:tc>
          <w:tcPr>
            <w:tcW w:w="992" w:type="dxa"/>
            <w:tcBorders>
              <w:top w:val="single" w:color="auto" w:sz="12" w:space="0"/>
              <w:left w:val="single" w:color="auto" w:sz="12" w:space="0"/>
              <w:bottom w:val="single" w:color="auto" w:sz="12" w:space="0"/>
            </w:tcBorders>
          </w:tcPr>
          <w:p w14:paraId="5BC0029B">
            <w:pPr>
              <w:jc w:val="left"/>
              <w:rPr>
                <w:rFonts w:cs="Times New Roman"/>
                <w:b/>
                <w:bCs/>
                <w:szCs w:val="24"/>
              </w:rPr>
            </w:pPr>
            <w:r>
              <w:rPr>
                <w:rFonts w:cs="Times New Roman"/>
                <w:b/>
                <w:bCs/>
                <w:color w:val="000000"/>
                <w:szCs w:val="24"/>
              </w:rPr>
              <w:t>3.4.1</w:t>
            </w:r>
          </w:p>
        </w:tc>
        <w:tc>
          <w:tcPr>
            <w:tcW w:w="3627" w:type="dxa"/>
            <w:tcBorders>
              <w:top w:val="single" w:color="auto" w:sz="12" w:space="0"/>
              <w:bottom w:val="single" w:color="auto" w:sz="12" w:space="0"/>
            </w:tcBorders>
          </w:tcPr>
          <w:p w14:paraId="7030CBE6">
            <w:pPr>
              <w:jc w:val="left"/>
              <w:rPr>
                <w:rFonts w:cs="Times New Roman"/>
                <w:szCs w:val="24"/>
              </w:rPr>
            </w:pPr>
            <w:r>
              <w:rPr>
                <w:rFonts w:cs="Times New Roman"/>
                <w:szCs w:val="24"/>
              </w:rPr>
              <w:t>3–5 days per week, with a rest interval of ≥24 hours</w:t>
            </w:r>
          </w:p>
        </w:tc>
        <w:tc>
          <w:tcPr>
            <w:tcW w:w="2733" w:type="dxa"/>
            <w:tcBorders>
              <w:top w:val="single" w:color="auto" w:sz="12" w:space="0"/>
              <w:bottom w:val="single" w:color="auto" w:sz="12" w:space="0"/>
            </w:tcBorders>
          </w:tcPr>
          <w:p w14:paraId="1B0B1D5C">
            <w:pPr>
              <w:jc w:val="left"/>
              <w:rPr>
                <w:rFonts w:cs="Times New Roman"/>
                <w:szCs w:val="24"/>
              </w:rPr>
            </w:pPr>
            <w:r>
              <w:rPr>
                <w:rFonts w:cs="Times New Roman"/>
                <w:szCs w:val="24"/>
              </w:rPr>
              <w:t>2–3 days per week or every other day for the same muscle group</w:t>
            </w:r>
          </w:p>
        </w:tc>
        <w:tc>
          <w:tcPr>
            <w:tcW w:w="3143" w:type="dxa"/>
            <w:tcBorders>
              <w:top w:val="single" w:color="auto" w:sz="12" w:space="0"/>
              <w:bottom w:val="single" w:color="auto" w:sz="12" w:space="0"/>
              <w:right w:val="single" w:color="auto" w:sz="12" w:space="0"/>
            </w:tcBorders>
          </w:tcPr>
          <w:p w14:paraId="14720DFE">
            <w:pPr>
              <w:jc w:val="left"/>
              <w:rPr>
                <w:rFonts w:cs="Times New Roman"/>
                <w:szCs w:val="24"/>
              </w:rPr>
            </w:pPr>
            <w:r>
              <w:rPr>
                <w:rFonts w:cs="Times New Roman"/>
                <w:szCs w:val="24"/>
              </w:rPr>
              <w:t>At least 4–5 days per week, preferably 5–7 days per week</w:t>
            </w:r>
          </w:p>
        </w:tc>
      </w:tr>
      <w:tr w14:paraId="367D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C04A8A6">
            <w:pPr>
              <w:jc w:val="center"/>
              <w:rPr>
                <w:rFonts w:cs="Times New Roman"/>
                <w:szCs w:val="24"/>
                <w:lang w:bidi="ar"/>
              </w:rPr>
            </w:pPr>
          </w:p>
        </w:tc>
        <w:tc>
          <w:tcPr>
            <w:tcW w:w="1798" w:type="dxa"/>
            <w:tcBorders>
              <w:right w:val="single" w:color="auto" w:sz="12" w:space="0"/>
            </w:tcBorders>
          </w:tcPr>
          <w:p w14:paraId="59C6DF11">
            <w:pPr>
              <w:widowControl/>
              <w:adjustRightInd/>
              <w:snapToGrid/>
              <w:spacing w:line="240" w:lineRule="auto"/>
              <w:jc w:val="center"/>
              <w:rPr>
                <w:rFonts w:cs="Times New Roman"/>
                <w:color w:val="000000"/>
                <w:szCs w:val="24"/>
              </w:rPr>
            </w:pPr>
            <w:r>
              <w:rPr>
                <w:rFonts w:cs="Times New Roman"/>
                <w:b/>
                <w:bCs/>
                <w:color w:val="000000"/>
                <w:szCs w:val="24"/>
              </w:rPr>
              <w:t xml:space="preserve">3.5 </w:t>
            </w:r>
            <w:r>
              <w:rPr>
                <w:rFonts w:cs="Times New Roman"/>
                <w:szCs w:val="24"/>
              </w:rPr>
              <w:t>Intensity</w:t>
            </w:r>
          </w:p>
        </w:tc>
        <w:tc>
          <w:tcPr>
            <w:tcW w:w="992" w:type="dxa"/>
            <w:tcBorders>
              <w:top w:val="single" w:color="auto" w:sz="12" w:space="0"/>
              <w:left w:val="single" w:color="auto" w:sz="12" w:space="0"/>
              <w:bottom w:val="single" w:color="auto" w:sz="12" w:space="0"/>
            </w:tcBorders>
          </w:tcPr>
          <w:p w14:paraId="3D686545">
            <w:pPr>
              <w:jc w:val="left"/>
              <w:rPr>
                <w:rFonts w:cs="Times New Roman"/>
                <w:b/>
                <w:bCs/>
                <w:szCs w:val="24"/>
              </w:rPr>
            </w:pPr>
            <w:r>
              <w:rPr>
                <w:rFonts w:cs="Times New Roman"/>
                <w:b/>
                <w:bCs/>
                <w:color w:val="000000"/>
                <w:szCs w:val="24"/>
              </w:rPr>
              <w:t>3.5.1</w:t>
            </w:r>
          </w:p>
        </w:tc>
        <w:tc>
          <w:tcPr>
            <w:tcW w:w="3627" w:type="dxa"/>
            <w:tcBorders>
              <w:top w:val="single" w:color="auto" w:sz="12" w:space="0"/>
              <w:bottom w:val="single" w:color="auto" w:sz="12" w:space="0"/>
            </w:tcBorders>
          </w:tcPr>
          <w:p w14:paraId="6901D697">
            <w:pPr>
              <w:jc w:val="left"/>
              <w:rPr>
                <w:rFonts w:cs="Times New Roman"/>
                <w:szCs w:val="24"/>
              </w:rPr>
            </w:pPr>
            <w:r>
              <w:rPr>
                <w:rFonts w:cs="Times New Roman"/>
                <w:szCs w:val="24"/>
              </w:rPr>
              <w:t>Low-risk: 60–70% HRR or 30–60% VO₂max</w:t>
            </w:r>
          </w:p>
          <w:p w14:paraId="0692467C">
            <w:pPr>
              <w:jc w:val="left"/>
              <w:rPr>
                <w:rFonts w:cs="Times New Roman"/>
                <w:szCs w:val="24"/>
              </w:rPr>
            </w:pPr>
            <w:r>
              <w:rPr>
                <w:rFonts w:cs="Times New Roman"/>
                <w:szCs w:val="24"/>
              </w:rPr>
              <w:t>Intermediate-risk: 50–60% HRR or 30–40% VO₂max</w:t>
            </w:r>
          </w:p>
          <w:p w14:paraId="34A6BE8A">
            <w:pPr>
              <w:jc w:val="left"/>
              <w:rPr>
                <w:rFonts w:cs="Times New Roman"/>
                <w:szCs w:val="24"/>
              </w:rPr>
            </w:pPr>
            <w:r>
              <w:rPr>
                <w:rFonts w:cs="Times New Roman"/>
                <w:szCs w:val="24"/>
              </w:rPr>
              <w:t>High-risk: 30–50% HRR or 30% VO₂max</w:t>
            </w:r>
          </w:p>
          <w:p w14:paraId="7BE89683">
            <w:pPr>
              <w:jc w:val="left"/>
              <w:rPr>
                <w:rFonts w:cs="Times New Roman"/>
                <w:szCs w:val="24"/>
              </w:rPr>
            </w:pPr>
            <w:r>
              <w:rPr>
                <w:rFonts w:cs="Times New Roman"/>
                <w:szCs w:val="24"/>
              </w:rPr>
              <w:t>[Note: HRR (heart rate reserve) = 220 – patient age – resting heart rate; target heart rate = (HRR × intensity%) + resting heart rate; VO₂max refers to maximal oxygen consumption]</w:t>
            </w:r>
          </w:p>
        </w:tc>
        <w:tc>
          <w:tcPr>
            <w:tcW w:w="2733" w:type="dxa"/>
            <w:tcBorders>
              <w:top w:val="single" w:color="auto" w:sz="12" w:space="0"/>
              <w:bottom w:val="single" w:color="auto" w:sz="12" w:space="0"/>
            </w:tcBorders>
          </w:tcPr>
          <w:p w14:paraId="24E30C63">
            <w:pPr>
              <w:jc w:val="left"/>
              <w:rPr>
                <w:rFonts w:cs="Times New Roman"/>
                <w:szCs w:val="24"/>
              </w:rPr>
            </w:pPr>
            <w:r>
              <w:rPr>
                <w:rFonts w:cs="Times New Roman"/>
                <w:szCs w:val="24"/>
              </w:rPr>
              <w:t>Low-risk: 50%–75% 1RM</w:t>
            </w:r>
          </w:p>
          <w:p w14:paraId="355F01EA">
            <w:pPr>
              <w:jc w:val="left"/>
              <w:rPr>
                <w:rFonts w:cs="Times New Roman"/>
                <w:szCs w:val="24"/>
              </w:rPr>
            </w:pPr>
            <w:r>
              <w:rPr>
                <w:rFonts w:cs="Times New Roman"/>
                <w:szCs w:val="24"/>
              </w:rPr>
              <w:t>Intermediate-risk: 30%–50% 1RM</w:t>
            </w:r>
          </w:p>
          <w:p w14:paraId="18D94095">
            <w:pPr>
              <w:jc w:val="left"/>
              <w:rPr>
                <w:rFonts w:cs="Times New Roman"/>
                <w:szCs w:val="24"/>
              </w:rPr>
            </w:pPr>
            <w:r>
              <w:rPr>
                <w:rFonts w:cs="Times New Roman"/>
                <w:szCs w:val="24"/>
              </w:rPr>
              <w:t>High-risk: &lt;30% 1RM</w:t>
            </w:r>
          </w:p>
          <w:p w14:paraId="618F4E0C">
            <w:pPr>
              <w:jc w:val="left"/>
              <w:rPr>
                <w:rFonts w:cs="Times New Roman"/>
                <w:szCs w:val="24"/>
              </w:rPr>
            </w:pPr>
            <w:r>
              <w:rPr>
                <w:rFonts w:cs="Times New Roman"/>
                <w:szCs w:val="24"/>
              </w:rPr>
              <w:t xml:space="preserve">(1RM refers to the maximum weight that can be lifted in a single repetition) </w:t>
            </w:r>
          </w:p>
        </w:tc>
        <w:tc>
          <w:tcPr>
            <w:tcW w:w="3143" w:type="dxa"/>
            <w:tcBorders>
              <w:top w:val="single" w:color="auto" w:sz="12" w:space="0"/>
              <w:bottom w:val="single" w:color="auto" w:sz="12" w:space="0"/>
              <w:right w:val="single" w:color="auto" w:sz="12" w:space="0"/>
            </w:tcBorders>
          </w:tcPr>
          <w:p w14:paraId="51B20BDC">
            <w:pPr>
              <w:jc w:val="left"/>
              <w:rPr>
                <w:rFonts w:cs="Times New Roman"/>
                <w:szCs w:val="24"/>
              </w:rPr>
            </w:pPr>
            <w:r>
              <w:rPr>
                <w:rFonts w:cs="Times New Roman"/>
                <w:szCs w:val="24"/>
              </w:rPr>
              <w:t>Starting intensity at 30% of maximal inspiratory pressure, adjusted based on patient tolerance</w:t>
            </w:r>
          </w:p>
        </w:tc>
      </w:tr>
      <w:tr w14:paraId="2D7E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24EAB12">
            <w:pPr>
              <w:jc w:val="center"/>
              <w:rPr>
                <w:rFonts w:cs="Times New Roman"/>
                <w:szCs w:val="24"/>
                <w:lang w:bidi="ar"/>
              </w:rPr>
            </w:pPr>
          </w:p>
        </w:tc>
        <w:tc>
          <w:tcPr>
            <w:tcW w:w="1798" w:type="dxa"/>
            <w:vMerge w:val="restart"/>
          </w:tcPr>
          <w:p w14:paraId="6F057AF9">
            <w:pPr>
              <w:widowControl/>
              <w:adjustRightInd/>
              <w:snapToGrid/>
              <w:spacing w:line="240" w:lineRule="auto"/>
              <w:jc w:val="center"/>
              <w:rPr>
                <w:rFonts w:cs="Times New Roman"/>
                <w:color w:val="000000"/>
                <w:szCs w:val="24"/>
              </w:rPr>
            </w:pPr>
            <w:r>
              <w:rPr>
                <w:rFonts w:cs="Times New Roman"/>
                <w:b/>
                <w:bCs/>
                <w:color w:val="000000"/>
                <w:szCs w:val="24"/>
              </w:rPr>
              <w:t xml:space="preserve">3.6 </w:t>
            </w:r>
            <w:r>
              <w:rPr>
                <w:rFonts w:cs="Times New Roman"/>
                <w:szCs w:val="24"/>
              </w:rPr>
              <w:t>Precautions</w:t>
            </w:r>
          </w:p>
        </w:tc>
        <w:tc>
          <w:tcPr>
            <w:tcW w:w="10495" w:type="dxa"/>
            <w:gridSpan w:val="4"/>
            <w:tcBorders>
              <w:top w:val="single" w:color="auto" w:sz="12" w:space="0"/>
            </w:tcBorders>
            <w:vAlign w:val="center"/>
          </w:tcPr>
          <w:p w14:paraId="404B8D74">
            <w:pPr>
              <w:jc w:val="left"/>
              <w:rPr>
                <w:rFonts w:cs="Times New Roman"/>
                <w:szCs w:val="24"/>
              </w:rPr>
            </w:pPr>
            <w:r>
              <w:rPr>
                <w:rFonts w:cs="Times New Roman"/>
                <w:b/>
                <w:bCs/>
                <w:color w:val="000000"/>
                <w:szCs w:val="24"/>
              </w:rPr>
              <w:t>3.6.1</w:t>
            </w:r>
            <w:r>
              <w:rPr>
                <w:rFonts w:cs="Times New Roman"/>
                <w:color w:val="000000"/>
                <w:szCs w:val="24"/>
              </w:rPr>
              <w:t xml:space="preserve"> </w:t>
            </w:r>
            <w:r>
              <w:rPr>
                <w:rFonts w:cs="Times New Roman"/>
                <w:szCs w:val="24"/>
                <w:lang w:bidi="ar"/>
              </w:rPr>
              <w:t xml:space="preserve">Maintain a Borg score of </w:t>
            </w:r>
            <w:r>
              <w:rPr>
                <w:rFonts w:hint="eastAsia" w:cs="Times New Roman"/>
                <w:szCs w:val="24"/>
                <w:lang w:bidi="ar"/>
              </w:rPr>
              <w:t>2</w:t>
            </w:r>
            <w:r>
              <w:rPr>
                <w:rFonts w:cs="Times New Roman"/>
                <w:szCs w:val="24"/>
                <w:lang w:bidi="ar"/>
              </w:rPr>
              <w:t>–6 during exercise</w:t>
            </w:r>
          </w:p>
        </w:tc>
      </w:tr>
      <w:tr w14:paraId="5DA7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98DF981">
            <w:pPr>
              <w:jc w:val="center"/>
              <w:rPr>
                <w:rFonts w:cs="Times New Roman"/>
                <w:szCs w:val="24"/>
                <w:lang w:bidi="ar"/>
              </w:rPr>
            </w:pPr>
          </w:p>
        </w:tc>
        <w:tc>
          <w:tcPr>
            <w:tcW w:w="1798" w:type="dxa"/>
            <w:vMerge w:val="continue"/>
          </w:tcPr>
          <w:p w14:paraId="06A9C786">
            <w:pPr>
              <w:jc w:val="center"/>
              <w:rPr>
                <w:rFonts w:cs="Times New Roman"/>
                <w:szCs w:val="24"/>
                <w:lang w:bidi="ar"/>
              </w:rPr>
            </w:pPr>
          </w:p>
        </w:tc>
        <w:tc>
          <w:tcPr>
            <w:tcW w:w="10495" w:type="dxa"/>
            <w:gridSpan w:val="4"/>
            <w:vAlign w:val="center"/>
          </w:tcPr>
          <w:p w14:paraId="3A58043F">
            <w:pPr>
              <w:jc w:val="left"/>
              <w:rPr>
                <w:rFonts w:cs="Times New Roman"/>
                <w:szCs w:val="24"/>
              </w:rPr>
            </w:pPr>
            <w:r>
              <w:rPr>
                <w:rFonts w:cs="Times New Roman"/>
                <w:b/>
                <w:bCs/>
                <w:color w:val="000000"/>
                <w:szCs w:val="24"/>
              </w:rPr>
              <w:t>3.6.2</w:t>
            </w:r>
            <w:r>
              <w:rPr>
                <w:rFonts w:cs="Times New Roman"/>
                <w:color w:val="000000"/>
                <w:szCs w:val="24"/>
              </w:rPr>
              <w:t xml:space="preserve"> </w:t>
            </w:r>
            <w:r>
              <w:rPr>
                <w:rFonts w:cs="Times New Roman"/>
                <w:szCs w:val="24"/>
              </w:rPr>
              <w:t>Adopt a combined approach of aerobic/resistance exercise and breathing exercises</w:t>
            </w:r>
          </w:p>
        </w:tc>
      </w:tr>
      <w:tr w14:paraId="74A9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53BCF0B">
            <w:pPr>
              <w:jc w:val="center"/>
              <w:rPr>
                <w:rFonts w:cs="Times New Roman"/>
                <w:szCs w:val="24"/>
                <w:lang w:bidi="ar"/>
              </w:rPr>
            </w:pPr>
          </w:p>
        </w:tc>
        <w:tc>
          <w:tcPr>
            <w:tcW w:w="1798" w:type="dxa"/>
            <w:vMerge w:val="continue"/>
          </w:tcPr>
          <w:p w14:paraId="62828307">
            <w:pPr>
              <w:jc w:val="center"/>
              <w:rPr>
                <w:rFonts w:cs="Times New Roman"/>
                <w:szCs w:val="24"/>
                <w:lang w:bidi="ar"/>
              </w:rPr>
            </w:pPr>
          </w:p>
        </w:tc>
        <w:tc>
          <w:tcPr>
            <w:tcW w:w="10495" w:type="dxa"/>
            <w:gridSpan w:val="4"/>
            <w:vAlign w:val="center"/>
          </w:tcPr>
          <w:p w14:paraId="43E99FED">
            <w:pPr>
              <w:jc w:val="left"/>
              <w:rPr>
                <w:rFonts w:cs="Times New Roman"/>
                <w:szCs w:val="24"/>
              </w:rPr>
            </w:pPr>
            <w:r>
              <w:rPr>
                <w:rFonts w:cs="Times New Roman"/>
                <w:b/>
                <w:bCs/>
                <w:color w:val="000000"/>
                <w:szCs w:val="24"/>
              </w:rPr>
              <w:t>3.6.3</w:t>
            </w:r>
            <w:r>
              <w:rPr>
                <w:rFonts w:cs="Times New Roman"/>
                <w:color w:val="000000"/>
                <w:szCs w:val="24"/>
              </w:rPr>
              <w:t xml:space="preserve"> </w:t>
            </w:r>
            <w:r>
              <w:rPr>
                <w:rFonts w:cs="Times New Roman"/>
                <w:szCs w:val="24"/>
              </w:rPr>
              <w:t>Use an “exercise–rest–exercise” intermittent pattern, following the principle of gradual progression</w:t>
            </w:r>
          </w:p>
        </w:tc>
      </w:tr>
      <w:tr w14:paraId="0BE8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4A4086B">
            <w:pPr>
              <w:jc w:val="center"/>
              <w:rPr>
                <w:rFonts w:cs="Times New Roman"/>
                <w:szCs w:val="24"/>
                <w:lang w:bidi="ar"/>
              </w:rPr>
            </w:pPr>
          </w:p>
        </w:tc>
        <w:tc>
          <w:tcPr>
            <w:tcW w:w="1798" w:type="dxa"/>
            <w:vMerge w:val="continue"/>
          </w:tcPr>
          <w:p w14:paraId="73E3AC23">
            <w:pPr>
              <w:jc w:val="center"/>
              <w:rPr>
                <w:rFonts w:cs="Times New Roman"/>
                <w:szCs w:val="24"/>
                <w:lang w:bidi="ar"/>
              </w:rPr>
            </w:pPr>
          </w:p>
        </w:tc>
        <w:tc>
          <w:tcPr>
            <w:tcW w:w="10495" w:type="dxa"/>
            <w:gridSpan w:val="4"/>
            <w:vAlign w:val="center"/>
          </w:tcPr>
          <w:p w14:paraId="004FAE8F">
            <w:pPr>
              <w:jc w:val="left"/>
              <w:rPr>
                <w:rFonts w:cs="Times New Roman"/>
                <w:szCs w:val="24"/>
              </w:rPr>
            </w:pPr>
            <w:r>
              <w:rPr>
                <w:rFonts w:cs="Times New Roman"/>
                <w:b/>
                <w:bCs/>
                <w:color w:val="000000"/>
                <w:szCs w:val="24"/>
              </w:rPr>
              <w:t>3.6.4</w:t>
            </w:r>
            <w:r>
              <w:rPr>
                <w:rFonts w:cs="Times New Roman"/>
                <w:color w:val="000000"/>
                <w:szCs w:val="24"/>
              </w:rPr>
              <w:t xml:space="preserve"> </w:t>
            </w:r>
            <w:r>
              <w:rPr>
                <w:rFonts w:cs="Times New Roman"/>
                <w:szCs w:val="24"/>
              </w:rPr>
              <w:t>Avoid breath-holding (Valsalva maneuver)</w:t>
            </w:r>
          </w:p>
        </w:tc>
      </w:tr>
      <w:tr w14:paraId="7588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A664E2B">
            <w:pPr>
              <w:jc w:val="center"/>
              <w:rPr>
                <w:rFonts w:cs="Times New Roman"/>
                <w:szCs w:val="24"/>
                <w:lang w:bidi="ar"/>
              </w:rPr>
            </w:pPr>
          </w:p>
        </w:tc>
        <w:tc>
          <w:tcPr>
            <w:tcW w:w="1798" w:type="dxa"/>
            <w:vMerge w:val="continue"/>
          </w:tcPr>
          <w:p w14:paraId="71D1AAE4">
            <w:pPr>
              <w:jc w:val="center"/>
              <w:rPr>
                <w:rFonts w:cs="Times New Roman"/>
                <w:szCs w:val="24"/>
                <w:lang w:bidi="ar"/>
              </w:rPr>
            </w:pPr>
          </w:p>
        </w:tc>
        <w:tc>
          <w:tcPr>
            <w:tcW w:w="10495" w:type="dxa"/>
            <w:gridSpan w:val="4"/>
            <w:vAlign w:val="center"/>
          </w:tcPr>
          <w:p w14:paraId="1395D13C">
            <w:pPr>
              <w:jc w:val="left"/>
              <w:rPr>
                <w:rFonts w:cs="Times New Roman"/>
                <w:szCs w:val="24"/>
              </w:rPr>
            </w:pPr>
            <w:r>
              <w:rPr>
                <w:rFonts w:cs="Times New Roman"/>
                <w:b/>
                <w:bCs/>
                <w:color w:val="000000"/>
                <w:szCs w:val="24"/>
              </w:rPr>
              <w:t xml:space="preserve">3.6.5 </w:t>
            </w:r>
            <w:r>
              <w:rPr>
                <w:rFonts w:cs="Times New Roman"/>
                <w:szCs w:val="24"/>
              </w:rPr>
              <w:t>Use monitoring devices (e.g., pulse oximeter, wearable electronic devices) to measure SpO₂ and heart rate during exercise</w:t>
            </w:r>
          </w:p>
        </w:tc>
      </w:tr>
      <w:tr w14:paraId="2D04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7771AB9">
            <w:pPr>
              <w:jc w:val="center"/>
              <w:rPr>
                <w:rFonts w:cs="Times New Roman"/>
                <w:szCs w:val="24"/>
                <w:lang w:bidi="ar"/>
              </w:rPr>
            </w:pPr>
          </w:p>
        </w:tc>
        <w:tc>
          <w:tcPr>
            <w:tcW w:w="1798" w:type="dxa"/>
            <w:vMerge w:val="continue"/>
          </w:tcPr>
          <w:p w14:paraId="4F48E1AE">
            <w:pPr>
              <w:jc w:val="center"/>
              <w:rPr>
                <w:rFonts w:cs="Times New Roman"/>
                <w:szCs w:val="24"/>
                <w:lang w:bidi="ar"/>
              </w:rPr>
            </w:pPr>
          </w:p>
        </w:tc>
        <w:tc>
          <w:tcPr>
            <w:tcW w:w="10495" w:type="dxa"/>
            <w:gridSpan w:val="4"/>
            <w:vAlign w:val="center"/>
          </w:tcPr>
          <w:p w14:paraId="3A06AC13">
            <w:pPr>
              <w:jc w:val="left"/>
              <w:rPr>
                <w:rFonts w:cs="Times New Roman"/>
                <w:szCs w:val="24"/>
              </w:rPr>
            </w:pPr>
            <w:r>
              <w:rPr>
                <w:rFonts w:cs="Times New Roman"/>
                <w:b/>
                <w:bCs/>
                <w:color w:val="000000"/>
                <w:szCs w:val="24"/>
              </w:rPr>
              <w:t>3.6.6</w:t>
            </w:r>
            <w:r>
              <w:rPr>
                <w:rFonts w:cs="Times New Roman"/>
                <w:color w:val="000000"/>
                <w:szCs w:val="24"/>
              </w:rPr>
              <w:t xml:space="preserve"> </w:t>
            </w:r>
            <w:r>
              <w:rPr>
                <w:rFonts w:cs="Times New Roman"/>
                <w:szCs w:val="24"/>
              </w:rPr>
              <w:t>Avoid competitive sports</w:t>
            </w:r>
          </w:p>
        </w:tc>
      </w:tr>
      <w:tr w14:paraId="7F07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2BBD522">
            <w:pPr>
              <w:jc w:val="center"/>
              <w:rPr>
                <w:rFonts w:cs="Times New Roman"/>
                <w:szCs w:val="24"/>
                <w:lang w:bidi="ar"/>
              </w:rPr>
            </w:pPr>
          </w:p>
        </w:tc>
        <w:tc>
          <w:tcPr>
            <w:tcW w:w="1798" w:type="dxa"/>
            <w:vMerge w:val="continue"/>
          </w:tcPr>
          <w:p w14:paraId="4AEC2B54">
            <w:pPr>
              <w:jc w:val="center"/>
              <w:rPr>
                <w:rFonts w:cs="Times New Roman"/>
                <w:szCs w:val="24"/>
                <w:lang w:bidi="ar"/>
              </w:rPr>
            </w:pPr>
          </w:p>
        </w:tc>
        <w:tc>
          <w:tcPr>
            <w:tcW w:w="10495" w:type="dxa"/>
            <w:gridSpan w:val="4"/>
            <w:vAlign w:val="center"/>
          </w:tcPr>
          <w:p w14:paraId="61471546">
            <w:pPr>
              <w:jc w:val="left"/>
              <w:rPr>
                <w:rFonts w:cs="Times New Roman"/>
                <w:szCs w:val="24"/>
              </w:rPr>
            </w:pPr>
            <w:r>
              <w:rPr>
                <w:rFonts w:cs="Times New Roman"/>
                <w:b/>
                <w:bCs/>
                <w:color w:val="000000"/>
                <w:szCs w:val="24"/>
              </w:rPr>
              <w:t>3.6.7</w:t>
            </w:r>
            <w:r>
              <w:rPr>
                <w:rFonts w:cs="Times New Roman"/>
                <w:szCs w:val="24"/>
              </w:rPr>
              <w:t xml:space="preserve"> High-risk patients require careful physician evaluation and may have individualized adjustments</w:t>
            </w:r>
          </w:p>
        </w:tc>
      </w:tr>
      <w:tr w14:paraId="7DD7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09577AF">
            <w:pPr>
              <w:jc w:val="center"/>
              <w:rPr>
                <w:rFonts w:cs="Times New Roman"/>
                <w:szCs w:val="24"/>
                <w:lang w:bidi="ar"/>
              </w:rPr>
            </w:pPr>
          </w:p>
        </w:tc>
        <w:tc>
          <w:tcPr>
            <w:tcW w:w="1798" w:type="dxa"/>
            <w:vMerge w:val="restart"/>
          </w:tcPr>
          <w:p w14:paraId="311D6066">
            <w:pPr>
              <w:jc w:val="center"/>
              <w:rPr>
                <w:rFonts w:cs="Times New Roman"/>
                <w:szCs w:val="24"/>
                <w:lang w:bidi="ar"/>
              </w:rPr>
            </w:pPr>
            <w:r>
              <w:rPr>
                <w:rFonts w:cs="Times New Roman"/>
                <w:b/>
                <w:bCs/>
                <w:color w:val="000000"/>
                <w:szCs w:val="24"/>
              </w:rPr>
              <w:t>3.7</w:t>
            </w:r>
            <w:r>
              <w:rPr>
                <w:rFonts w:cs="Times New Roman"/>
                <w:szCs w:val="24"/>
              </w:rPr>
              <w:t xml:space="preserve"> Indications for Suspension</w:t>
            </w:r>
          </w:p>
        </w:tc>
        <w:tc>
          <w:tcPr>
            <w:tcW w:w="10495" w:type="dxa"/>
            <w:gridSpan w:val="4"/>
          </w:tcPr>
          <w:p w14:paraId="4F07EB37">
            <w:pPr>
              <w:jc w:val="left"/>
              <w:rPr>
                <w:rFonts w:cs="Times New Roman"/>
                <w:szCs w:val="24"/>
              </w:rPr>
            </w:pPr>
            <w:r>
              <w:rPr>
                <w:rFonts w:cs="Times New Roman"/>
                <w:b/>
                <w:bCs/>
                <w:color w:val="000000"/>
                <w:szCs w:val="24"/>
              </w:rPr>
              <w:t xml:space="preserve">3.7.1 </w:t>
            </w:r>
            <w:r>
              <w:rPr>
                <w:rFonts w:cs="Times New Roman"/>
                <w:szCs w:val="24"/>
              </w:rPr>
              <w:t>Discontinue exercise immediately if significant discomfort occurs during exercise (e.g., chest pain, dyspnea, dizziness, blurred vision, syncope)</w:t>
            </w:r>
          </w:p>
        </w:tc>
      </w:tr>
      <w:tr w14:paraId="1698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0322E39">
            <w:pPr>
              <w:jc w:val="center"/>
              <w:rPr>
                <w:rFonts w:cs="Times New Roman"/>
                <w:szCs w:val="24"/>
                <w:lang w:bidi="ar"/>
              </w:rPr>
            </w:pPr>
          </w:p>
        </w:tc>
        <w:tc>
          <w:tcPr>
            <w:tcW w:w="1798" w:type="dxa"/>
            <w:vMerge w:val="continue"/>
          </w:tcPr>
          <w:p w14:paraId="30243213">
            <w:pPr>
              <w:jc w:val="center"/>
              <w:rPr>
                <w:rFonts w:cs="Times New Roman"/>
                <w:szCs w:val="24"/>
              </w:rPr>
            </w:pPr>
          </w:p>
        </w:tc>
        <w:tc>
          <w:tcPr>
            <w:tcW w:w="10495" w:type="dxa"/>
            <w:gridSpan w:val="4"/>
            <w:vAlign w:val="center"/>
          </w:tcPr>
          <w:p w14:paraId="77A1D5EB">
            <w:pPr>
              <w:jc w:val="left"/>
              <w:rPr>
                <w:rFonts w:cs="Times New Roman"/>
                <w:szCs w:val="24"/>
              </w:rPr>
            </w:pPr>
            <w:r>
              <w:rPr>
                <w:rFonts w:cs="Times New Roman"/>
                <w:b/>
                <w:bCs/>
                <w:color w:val="000000"/>
                <w:szCs w:val="24"/>
              </w:rPr>
              <w:t>3.7.2</w:t>
            </w:r>
            <w:r>
              <w:rPr>
                <w:rFonts w:cs="Times New Roman"/>
                <w:szCs w:val="24"/>
              </w:rPr>
              <w:t>If vital signs become unstable during exercise, the activity should be stopped immediately.</w:t>
            </w:r>
          </w:p>
        </w:tc>
      </w:tr>
      <w:tr w14:paraId="0A6D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89D8013">
            <w:pPr>
              <w:jc w:val="center"/>
              <w:rPr>
                <w:rFonts w:cs="Times New Roman"/>
                <w:szCs w:val="24"/>
                <w:lang w:bidi="ar"/>
              </w:rPr>
            </w:pPr>
          </w:p>
        </w:tc>
        <w:tc>
          <w:tcPr>
            <w:tcW w:w="1798" w:type="dxa"/>
            <w:vMerge w:val="continue"/>
          </w:tcPr>
          <w:p w14:paraId="4D4758BB">
            <w:pPr>
              <w:jc w:val="center"/>
              <w:rPr>
                <w:rFonts w:cs="Times New Roman"/>
                <w:szCs w:val="24"/>
              </w:rPr>
            </w:pPr>
          </w:p>
        </w:tc>
        <w:tc>
          <w:tcPr>
            <w:tcW w:w="10495" w:type="dxa"/>
            <w:gridSpan w:val="4"/>
            <w:vAlign w:val="center"/>
          </w:tcPr>
          <w:p w14:paraId="4523D347">
            <w:pPr>
              <w:jc w:val="left"/>
              <w:rPr>
                <w:rFonts w:cs="Times New Roman"/>
                <w:szCs w:val="24"/>
              </w:rPr>
            </w:pPr>
            <w:r>
              <w:rPr>
                <w:rFonts w:cs="Times New Roman"/>
                <w:b/>
                <w:bCs/>
                <w:color w:val="000000"/>
                <w:szCs w:val="24"/>
              </w:rPr>
              <w:t>3.7.3</w:t>
            </w:r>
            <w:r>
              <w:rPr>
                <w:rFonts w:cs="Times New Roman"/>
                <w:szCs w:val="24"/>
              </w:rPr>
              <w:t xml:space="preserve"> If SpO₂ drops by more than 5%, exercise should be stopped immediately and supplemental oxygen administered.</w:t>
            </w:r>
          </w:p>
        </w:tc>
      </w:tr>
      <w:tr w14:paraId="289C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77F53E6">
            <w:pPr>
              <w:jc w:val="center"/>
              <w:rPr>
                <w:rFonts w:cs="Times New Roman"/>
                <w:szCs w:val="24"/>
                <w:lang w:bidi="ar"/>
              </w:rPr>
            </w:pPr>
          </w:p>
        </w:tc>
        <w:tc>
          <w:tcPr>
            <w:tcW w:w="1798" w:type="dxa"/>
            <w:vMerge w:val="restart"/>
          </w:tcPr>
          <w:p w14:paraId="0AC2564E">
            <w:pPr>
              <w:jc w:val="center"/>
              <w:rPr>
                <w:rFonts w:cs="Times New Roman"/>
                <w:szCs w:val="24"/>
                <w:lang w:bidi="ar"/>
              </w:rPr>
            </w:pPr>
            <w:r>
              <w:rPr>
                <w:rFonts w:cs="Times New Roman"/>
                <w:b/>
                <w:bCs/>
                <w:color w:val="000000"/>
                <w:szCs w:val="24"/>
              </w:rPr>
              <w:t xml:space="preserve">3.8 </w:t>
            </w:r>
            <w:r>
              <w:rPr>
                <w:rFonts w:cs="Times New Roman"/>
                <w:szCs w:val="24"/>
              </w:rPr>
              <w:t>Altitude gradient adjustment</w:t>
            </w:r>
          </w:p>
        </w:tc>
        <w:tc>
          <w:tcPr>
            <w:tcW w:w="10495" w:type="dxa"/>
            <w:gridSpan w:val="4"/>
          </w:tcPr>
          <w:p w14:paraId="5C75A735">
            <w:pPr>
              <w:jc w:val="left"/>
              <w:rPr>
                <w:rFonts w:cs="Times New Roman"/>
                <w:szCs w:val="24"/>
              </w:rPr>
            </w:pPr>
            <w:r>
              <w:rPr>
                <w:rFonts w:cs="Times New Roman"/>
                <w:b/>
                <w:bCs/>
                <w:color w:val="000000"/>
                <w:szCs w:val="24"/>
              </w:rPr>
              <w:t>3.8.1</w:t>
            </w:r>
            <w:r>
              <w:rPr>
                <w:rFonts w:cs="Times New Roman"/>
                <w:color w:val="000000"/>
                <w:szCs w:val="24"/>
              </w:rPr>
              <w:t xml:space="preserve"> </w:t>
            </w:r>
            <w:r>
              <w:rPr>
                <w:rFonts w:cs="Times New Roman"/>
                <w:szCs w:val="24"/>
                <w:lang w:bidi="ar"/>
              </w:rPr>
              <w:t>Baseline: This program is established with Xining’s altitude as the baseline (2261 meters). All exercise prescriptions should be developed and adjusted based on the patient’s current residence or training altitude</w:t>
            </w:r>
          </w:p>
        </w:tc>
      </w:tr>
      <w:tr w14:paraId="013A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4A4F151">
            <w:pPr>
              <w:jc w:val="center"/>
              <w:rPr>
                <w:rFonts w:cs="Times New Roman"/>
                <w:szCs w:val="24"/>
                <w:lang w:bidi="ar"/>
              </w:rPr>
            </w:pPr>
          </w:p>
        </w:tc>
        <w:tc>
          <w:tcPr>
            <w:tcW w:w="1798" w:type="dxa"/>
            <w:vMerge w:val="continue"/>
          </w:tcPr>
          <w:p w14:paraId="16CA7344">
            <w:pPr>
              <w:jc w:val="center"/>
              <w:rPr>
                <w:rFonts w:cs="Times New Roman"/>
                <w:szCs w:val="24"/>
                <w:lang w:bidi="ar"/>
              </w:rPr>
            </w:pPr>
          </w:p>
        </w:tc>
        <w:tc>
          <w:tcPr>
            <w:tcW w:w="10495" w:type="dxa"/>
            <w:gridSpan w:val="4"/>
          </w:tcPr>
          <w:p w14:paraId="6FB4AC13">
            <w:pPr>
              <w:jc w:val="left"/>
              <w:rPr>
                <w:rFonts w:cs="Times New Roman"/>
                <w:szCs w:val="24"/>
              </w:rPr>
            </w:pPr>
            <w:r>
              <w:rPr>
                <w:rFonts w:cs="Times New Roman"/>
                <w:b/>
                <w:bCs/>
                <w:color w:val="000000"/>
                <w:szCs w:val="24"/>
              </w:rPr>
              <w:t xml:space="preserve">3.8.2 </w:t>
            </w:r>
            <w:r>
              <w:rPr>
                <w:rFonts w:cs="Times New Roman"/>
                <w:szCs w:val="24"/>
                <w:lang w:bidi="ar"/>
              </w:rPr>
              <w:t>It is recommended that for every additional 1000 meters in altitude, exercise intensity be reduced by 20% from baseline and single-session duration be shortened by 20%, with the principle of not causing significant discomfort</w:t>
            </w:r>
          </w:p>
        </w:tc>
      </w:tr>
      <w:tr w14:paraId="69B3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5AEE0D4">
            <w:pPr>
              <w:jc w:val="center"/>
              <w:rPr>
                <w:rFonts w:cs="Times New Roman"/>
                <w:szCs w:val="24"/>
                <w:lang w:bidi="ar"/>
              </w:rPr>
            </w:pPr>
          </w:p>
        </w:tc>
        <w:tc>
          <w:tcPr>
            <w:tcW w:w="1798" w:type="dxa"/>
            <w:vMerge w:val="continue"/>
          </w:tcPr>
          <w:p w14:paraId="10F405AD">
            <w:pPr>
              <w:jc w:val="center"/>
              <w:rPr>
                <w:rFonts w:cs="Times New Roman"/>
                <w:szCs w:val="24"/>
                <w:lang w:bidi="ar"/>
              </w:rPr>
            </w:pPr>
          </w:p>
        </w:tc>
        <w:tc>
          <w:tcPr>
            <w:tcW w:w="10495" w:type="dxa"/>
            <w:gridSpan w:val="4"/>
          </w:tcPr>
          <w:p w14:paraId="7C8A88EC">
            <w:pPr>
              <w:jc w:val="left"/>
              <w:rPr>
                <w:rFonts w:cs="Times New Roman"/>
                <w:szCs w:val="24"/>
              </w:rPr>
            </w:pPr>
            <w:r>
              <w:rPr>
                <w:rFonts w:cs="Times New Roman"/>
                <w:b/>
                <w:bCs/>
                <w:color w:val="000000"/>
                <w:szCs w:val="24"/>
              </w:rPr>
              <w:t xml:space="preserve">3.8.3 </w:t>
            </w:r>
            <w:r>
              <w:rPr>
                <w:rFonts w:cs="Times New Roman"/>
                <w:szCs w:val="24"/>
                <w:lang w:bidi="ar"/>
              </w:rPr>
              <w:t>At very high altitudes (&gt;4000 meters), focus on low-intensity activities of daily living and breathing exercises; aerobic and resistance training require close physician evaluation and supervision</w:t>
            </w:r>
          </w:p>
        </w:tc>
      </w:tr>
      <w:tr w14:paraId="074A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30C319AD">
            <w:pPr>
              <w:widowControl/>
              <w:adjustRightInd/>
              <w:snapToGrid/>
              <w:spacing w:line="240" w:lineRule="auto"/>
              <w:jc w:val="center"/>
              <w:rPr>
                <w:rFonts w:cs="Times New Roman"/>
                <w:color w:val="000000"/>
                <w:szCs w:val="24"/>
              </w:rPr>
            </w:pPr>
            <w:r>
              <w:rPr>
                <w:rFonts w:cs="Times New Roman"/>
                <w:b/>
                <w:bCs/>
                <w:color w:val="000000"/>
                <w:szCs w:val="24"/>
              </w:rPr>
              <w:t>4</w:t>
            </w:r>
            <w:r>
              <w:rPr>
                <w:rFonts w:cs="Times New Roman"/>
                <w:color w:val="000000"/>
                <w:szCs w:val="24"/>
              </w:rPr>
              <w:t xml:space="preserve"> </w:t>
            </w:r>
            <w:r>
              <w:rPr>
                <w:rFonts w:cs="Times New Roman"/>
                <w:szCs w:val="24"/>
                <w:lang w:bidi="ar"/>
              </w:rPr>
              <w:t>Health Education</w:t>
            </w:r>
          </w:p>
        </w:tc>
        <w:tc>
          <w:tcPr>
            <w:tcW w:w="1798" w:type="dxa"/>
            <w:vMerge w:val="restart"/>
            <w:vAlign w:val="center"/>
          </w:tcPr>
          <w:p w14:paraId="47BCD9F7">
            <w:pPr>
              <w:jc w:val="center"/>
              <w:rPr>
                <w:rFonts w:cs="Times New Roman"/>
                <w:szCs w:val="24"/>
                <w:lang w:bidi="ar"/>
              </w:rPr>
            </w:pPr>
            <w:r>
              <w:rPr>
                <w:rFonts w:cs="Times New Roman"/>
                <w:b/>
                <w:bCs/>
                <w:color w:val="000000"/>
                <w:szCs w:val="24"/>
              </w:rPr>
              <w:t xml:space="preserve">4.1 </w:t>
            </w:r>
            <w:r>
              <w:rPr>
                <w:rFonts w:cs="Times New Roman"/>
                <w:szCs w:val="24"/>
                <w:lang w:bidi="ar"/>
              </w:rPr>
              <w:t>Oxygen therapy guidance</w:t>
            </w:r>
          </w:p>
        </w:tc>
        <w:tc>
          <w:tcPr>
            <w:tcW w:w="10495" w:type="dxa"/>
            <w:gridSpan w:val="4"/>
            <w:vAlign w:val="center"/>
          </w:tcPr>
          <w:p w14:paraId="3302A396">
            <w:pPr>
              <w:jc w:val="left"/>
              <w:rPr>
                <w:rFonts w:cs="Times New Roman"/>
                <w:szCs w:val="24"/>
              </w:rPr>
            </w:pPr>
            <w:r>
              <w:rPr>
                <w:rFonts w:cs="Times New Roman"/>
                <w:b/>
                <w:bCs/>
                <w:color w:val="000000"/>
                <w:szCs w:val="24"/>
              </w:rPr>
              <w:t xml:space="preserve">4.1.1 </w:t>
            </w:r>
            <w:r>
              <w:rPr>
                <w:rFonts w:cs="Times New Roman"/>
                <w:szCs w:val="24"/>
                <w:lang w:bidi="ar"/>
              </w:rPr>
              <w:t>For patients with exercise-induced hypoxemia, supplemental oxygen should be provided during exercise; however, routine oxygen supplementation for all pulmonary rehabilitation patients is not recommended.</w:t>
            </w:r>
          </w:p>
        </w:tc>
      </w:tr>
      <w:tr w14:paraId="7356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EB3D160">
            <w:pPr>
              <w:jc w:val="center"/>
              <w:rPr>
                <w:rFonts w:cs="Times New Roman"/>
                <w:szCs w:val="24"/>
                <w:lang w:bidi="ar"/>
              </w:rPr>
            </w:pPr>
          </w:p>
        </w:tc>
        <w:tc>
          <w:tcPr>
            <w:tcW w:w="1798" w:type="dxa"/>
            <w:vMerge w:val="continue"/>
            <w:vAlign w:val="center"/>
          </w:tcPr>
          <w:p w14:paraId="63741FE6">
            <w:pPr>
              <w:jc w:val="center"/>
              <w:rPr>
                <w:rFonts w:cs="Times New Roman"/>
                <w:szCs w:val="24"/>
                <w:lang w:bidi="ar"/>
              </w:rPr>
            </w:pPr>
          </w:p>
        </w:tc>
        <w:tc>
          <w:tcPr>
            <w:tcW w:w="10495" w:type="dxa"/>
            <w:gridSpan w:val="4"/>
            <w:vAlign w:val="center"/>
          </w:tcPr>
          <w:p w14:paraId="78F89417">
            <w:pPr>
              <w:jc w:val="left"/>
              <w:rPr>
                <w:rFonts w:cs="Times New Roman"/>
                <w:szCs w:val="24"/>
              </w:rPr>
            </w:pPr>
            <w:r>
              <w:rPr>
                <w:rFonts w:cs="Times New Roman"/>
                <w:b/>
                <w:bCs/>
                <w:color w:val="000000"/>
                <w:szCs w:val="24"/>
              </w:rPr>
              <w:t xml:space="preserve">4.1.2 </w:t>
            </w:r>
            <w:r>
              <w:rPr>
                <w:rFonts w:cs="Times New Roman"/>
                <w:szCs w:val="24"/>
                <w:lang w:bidi="ar"/>
              </w:rPr>
              <w:t>For patients with resting hypoxemia, daily oxygen therapy duration ≥15 hours, flow rate 2–4 L/min, target: maintain SpO₂ &gt;5% above pre-oxygenation levels.</w:t>
            </w:r>
          </w:p>
        </w:tc>
      </w:tr>
      <w:tr w14:paraId="3D63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DD0F9C3">
            <w:pPr>
              <w:jc w:val="center"/>
              <w:rPr>
                <w:rFonts w:cs="Times New Roman"/>
                <w:szCs w:val="24"/>
                <w:lang w:bidi="ar"/>
              </w:rPr>
            </w:pPr>
          </w:p>
        </w:tc>
        <w:tc>
          <w:tcPr>
            <w:tcW w:w="1798" w:type="dxa"/>
            <w:vMerge w:val="restart"/>
            <w:vAlign w:val="center"/>
          </w:tcPr>
          <w:p w14:paraId="650A8893">
            <w:pPr>
              <w:jc w:val="center"/>
              <w:rPr>
                <w:rFonts w:cs="Times New Roman"/>
                <w:szCs w:val="24"/>
                <w:lang w:bidi="ar"/>
              </w:rPr>
            </w:pPr>
            <w:r>
              <w:rPr>
                <w:rFonts w:cs="Times New Roman"/>
                <w:b/>
                <w:bCs/>
                <w:color w:val="000000"/>
                <w:szCs w:val="24"/>
              </w:rPr>
              <w:t xml:space="preserve">4.2 </w:t>
            </w:r>
            <w:r>
              <w:rPr>
                <w:rFonts w:cs="Times New Roman"/>
                <w:szCs w:val="24"/>
                <w:lang w:bidi="ar"/>
              </w:rPr>
              <w:t>Airway clearance guidance</w:t>
            </w:r>
          </w:p>
        </w:tc>
        <w:tc>
          <w:tcPr>
            <w:tcW w:w="10495" w:type="dxa"/>
            <w:gridSpan w:val="4"/>
            <w:vAlign w:val="center"/>
          </w:tcPr>
          <w:p w14:paraId="60266E54">
            <w:pPr>
              <w:jc w:val="left"/>
              <w:rPr>
                <w:rFonts w:cs="Times New Roman"/>
                <w:szCs w:val="24"/>
              </w:rPr>
            </w:pPr>
            <w:r>
              <w:rPr>
                <w:rFonts w:cs="Times New Roman"/>
                <w:b/>
                <w:bCs/>
                <w:color w:val="000000"/>
                <w:szCs w:val="24"/>
              </w:rPr>
              <w:t>4.2.1</w:t>
            </w:r>
            <w:r>
              <w:rPr>
                <w:rFonts w:cs="Times New Roman"/>
                <w:color w:val="000000"/>
                <w:szCs w:val="24"/>
              </w:rPr>
              <w:t xml:space="preserve"> </w:t>
            </w:r>
            <w:r>
              <w:rPr>
                <w:rFonts w:cs="Times New Roman"/>
                <w:szCs w:val="24"/>
                <w:lang w:bidi="ar"/>
              </w:rPr>
              <w:t>For patients with retained secretions who are unable to expectorate, airway clearance techniques should be selectively used based on the patient's condition.</w:t>
            </w:r>
          </w:p>
        </w:tc>
      </w:tr>
      <w:tr w14:paraId="0276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D5F946F">
            <w:pPr>
              <w:jc w:val="center"/>
              <w:rPr>
                <w:rFonts w:cs="Times New Roman"/>
                <w:szCs w:val="24"/>
                <w:lang w:bidi="ar"/>
              </w:rPr>
            </w:pPr>
          </w:p>
        </w:tc>
        <w:tc>
          <w:tcPr>
            <w:tcW w:w="1798" w:type="dxa"/>
            <w:vMerge w:val="continue"/>
            <w:vAlign w:val="center"/>
          </w:tcPr>
          <w:p w14:paraId="46CE2E2E">
            <w:pPr>
              <w:jc w:val="center"/>
              <w:rPr>
                <w:rFonts w:cs="Times New Roman"/>
                <w:szCs w:val="24"/>
                <w:lang w:bidi="ar"/>
              </w:rPr>
            </w:pPr>
          </w:p>
        </w:tc>
        <w:tc>
          <w:tcPr>
            <w:tcW w:w="10495" w:type="dxa"/>
            <w:gridSpan w:val="4"/>
            <w:vAlign w:val="center"/>
          </w:tcPr>
          <w:p w14:paraId="6ECE7BF7">
            <w:pPr>
              <w:jc w:val="left"/>
              <w:rPr>
                <w:rFonts w:cs="Times New Roman"/>
                <w:szCs w:val="24"/>
              </w:rPr>
            </w:pPr>
            <w:r>
              <w:rPr>
                <w:rFonts w:cs="Times New Roman"/>
                <w:b/>
                <w:bCs/>
                <w:color w:val="000000"/>
                <w:szCs w:val="24"/>
              </w:rPr>
              <w:t xml:space="preserve">4.2.2 </w:t>
            </w:r>
            <w:r>
              <w:rPr>
                <w:rFonts w:cs="Times New Roman"/>
                <w:szCs w:val="24"/>
                <w:lang w:bidi="ar"/>
              </w:rPr>
              <w:t>Techniques: forced expiration technique, active cycle of breathing technique (ACBT), positive expiratory pressure (PEP) technique, etc.</w:t>
            </w:r>
          </w:p>
        </w:tc>
      </w:tr>
      <w:tr w14:paraId="1B36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D681BD5">
            <w:pPr>
              <w:jc w:val="center"/>
              <w:rPr>
                <w:rFonts w:cs="Times New Roman"/>
                <w:szCs w:val="24"/>
                <w:lang w:bidi="ar"/>
              </w:rPr>
            </w:pPr>
          </w:p>
        </w:tc>
        <w:tc>
          <w:tcPr>
            <w:tcW w:w="1798" w:type="dxa"/>
            <w:vMerge w:val="restart"/>
            <w:vAlign w:val="center"/>
          </w:tcPr>
          <w:p w14:paraId="3E008E4D">
            <w:pPr>
              <w:jc w:val="center"/>
              <w:rPr>
                <w:rFonts w:cs="Times New Roman"/>
                <w:szCs w:val="24"/>
                <w:lang w:bidi="ar"/>
              </w:rPr>
            </w:pPr>
            <w:r>
              <w:rPr>
                <w:rFonts w:cs="Times New Roman"/>
                <w:b/>
                <w:bCs/>
                <w:color w:val="000000"/>
                <w:szCs w:val="24"/>
              </w:rPr>
              <w:t>4.3</w:t>
            </w:r>
            <w:r>
              <w:rPr>
                <w:rFonts w:cs="Times New Roman"/>
                <w:color w:val="000000"/>
                <w:szCs w:val="24"/>
              </w:rPr>
              <w:t xml:space="preserve"> </w:t>
            </w:r>
            <w:r>
              <w:rPr>
                <w:rFonts w:cs="Times New Roman"/>
                <w:szCs w:val="24"/>
                <w:lang w:bidi="ar"/>
              </w:rPr>
              <w:t>Nutritional guidance</w:t>
            </w:r>
          </w:p>
        </w:tc>
        <w:tc>
          <w:tcPr>
            <w:tcW w:w="10495" w:type="dxa"/>
            <w:gridSpan w:val="4"/>
            <w:vAlign w:val="center"/>
          </w:tcPr>
          <w:p w14:paraId="365FFB3C">
            <w:pPr>
              <w:jc w:val="left"/>
              <w:rPr>
                <w:rFonts w:cs="Times New Roman"/>
                <w:szCs w:val="24"/>
              </w:rPr>
            </w:pPr>
            <w:r>
              <w:rPr>
                <w:rFonts w:cs="Times New Roman"/>
                <w:b/>
                <w:bCs/>
                <w:color w:val="000000"/>
                <w:szCs w:val="24"/>
              </w:rPr>
              <w:t xml:space="preserve">4.3.1 </w:t>
            </w:r>
            <w:r>
              <w:rPr>
                <w:rFonts w:cs="Times New Roman"/>
                <w:szCs w:val="24"/>
                <w:lang w:bidi="ar"/>
              </w:rPr>
              <w:t>Differentiated energy support based on heart function classification: stable patients (WHO-FC I–II) receive 30–35 kcal/kg/day (ideal body weight); patients with severe disease or heart failure (WHO-FC III–IV) receive 35–40 kcal/kg/day to counteract hypermetabolism and prevent malnutrition.</w:t>
            </w:r>
          </w:p>
        </w:tc>
      </w:tr>
      <w:tr w14:paraId="2AA1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4081D1D">
            <w:pPr>
              <w:jc w:val="center"/>
              <w:rPr>
                <w:rFonts w:cs="Times New Roman"/>
                <w:szCs w:val="24"/>
                <w:lang w:bidi="ar"/>
              </w:rPr>
            </w:pPr>
          </w:p>
        </w:tc>
        <w:tc>
          <w:tcPr>
            <w:tcW w:w="1798" w:type="dxa"/>
            <w:vMerge w:val="continue"/>
            <w:vAlign w:val="center"/>
          </w:tcPr>
          <w:p w14:paraId="46519084">
            <w:pPr>
              <w:jc w:val="center"/>
              <w:rPr>
                <w:rFonts w:cs="Times New Roman"/>
                <w:szCs w:val="24"/>
                <w:lang w:bidi="ar"/>
              </w:rPr>
            </w:pPr>
          </w:p>
        </w:tc>
        <w:tc>
          <w:tcPr>
            <w:tcW w:w="10495" w:type="dxa"/>
            <w:gridSpan w:val="4"/>
            <w:vAlign w:val="center"/>
          </w:tcPr>
          <w:p w14:paraId="4221ED85">
            <w:pPr>
              <w:jc w:val="left"/>
              <w:rPr>
                <w:rFonts w:cs="Times New Roman"/>
                <w:szCs w:val="24"/>
                <w:lang w:bidi="ar"/>
              </w:rPr>
            </w:pPr>
            <w:r>
              <w:rPr>
                <w:rFonts w:cs="Times New Roman"/>
                <w:b/>
                <w:bCs/>
                <w:color w:val="000000"/>
                <w:szCs w:val="24"/>
              </w:rPr>
              <w:t xml:space="preserve">4.3.2 </w:t>
            </w:r>
            <w:r>
              <w:rPr>
                <w:rFonts w:cs="Times New Roman"/>
                <w:szCs w:val="24"/>
                <w:lang w:bidi="ar"/>
              </w:rPr>
              <w:t>Daily protein intake 1.2–1.5 g/kg (ideal body weight), prioritizing high-quality protein (fish, meat, eggs, milk, soy products, etc.).</w:t>
            </w:r>
          </w:p>
        </w:tc>
      </w:tr>
      <w:tr w14:paraId="488E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1C5B07F">
            <w:pPr>
              <w:jc w:val="center"/>
              <w:rPr>
                <w:rFonts w:cs="Times New Roman"/>
                <w:szCs w:val="24"/>
                <w:lang w:bidi="ar"/>
              </w:rPr>
            </w:pPr>
          </w:p>
        </w:tc>
        <w:tc>
          <w:tcPr>
            <w:tcW w:w="1798" w:type="dxa"/>
            <w:vMerge w:val="continue"/>
            <w:vAlign w:val="center"/>
          </w:tcPr>
          <w:p w14:paraId="3810B102">
            <w:pPr>
              <w:jc w:val="center"/>
              <w:rPr>
                <w:rFonts w:cs="Times New Roman"/>
                <w:szCs w:val="24"/>
                <w:lang w:bidi="ar"/>
              </w:rPr>
            </w:pPr>
          </w:p>
        </w:tc>
        <w:tc>
          <w:tcPr>
            <w:tcW w:w="10495" w:type="dxa"/>
            <w:gridSpan w:val="4"/>
            <w:vAlign w:val="center"/>
          </w:tcPr>
          <w:p w14:paraId="73636E65">
            <w:pPr>
              <w:jc w:val="left"/>
              <w:rPr>
                <w:rFonts w:cs="Times New Roman"/>
                <w:szCs w:val="24"/>
                <w:lang w:bidi="ar"/>
              </w:rPr>
            </w:pPr>
            <w:r>
              <w:rPr>
                <w:rFonts w:cs="Times New Roman"/>
                <w:b/>
                <w:bCs/>
                <w:color w:val="000000"/>
                <w:szCs w:val="24"/>
              </w:rPr>
              <w:t xml:space="preserve">4.3.3 </w:t>
            </w:r>
            <w:r>
              <w:rPr>
                <w:rFonts w:cs="Times New Roman"/>
                <w:szCs w:val="24"/>
                <w:lang w:bidi="ar"/>
              </w:rPr>
              <w:t>Adjust dietary ratio: protein 20–25%, fat 25–30%, carbohydrates 45–55%.</w:t>
            </w:r>
          </w:p>
        </w:tc>
      </w:tr>
      <w:tr w14:paraId="1696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070CC58">
            <w:pPr>
              <w:jc w:val="center"/>
              <w:rPr>
                <w:rFonts w:cs="Times New Roman"/>
                <w:szCs w:val="24"/>
                <w:lang w:bidi="ar"/>
              </w:rPr>
            </w:pPr>
          </w:p>
        </w:tc>
        <w:tc>
          <w:tcPr>
            <w:tcW w:w="1798" w:type="dxa"/>
            <w:vMerge w:val="continue"/>
            <w:vAlign w:val="center"/>
          </w:tcPr>
          <w:p w14:paraId="725C074F">
            <w:pPr>
              <w:jc w:val="center"/>
              <w:rPr>
                <w:rFonts w:cs="Times New Roman"/>
                <w:szCs w:val="24"/>
                <w:lang w:bidi="ar"/>
              </w:rPr>
            </w:pPr>
          </w:p>
        </w:tc>
        <w:tc>
          <w:tcPr>
            <w:tcW w:w="10495" w:type="dxa"/>
            <w:gridSpan w:val="4"/>
            <w:vAlign w:val="center"/>
          </w:tcPr>
          <w:p w14:paraId="4F915C82">
            <w:pPr>
              <w:jc w:val="left"/>
              <w:rPr>
                <w:rFonts w:cs="Times New Roman"/>
                <w:szCs w:val="24"/>
                <w:lang w:bidi="ar"/>
              </w:rPr>
            </w:pPr>
            <w:r>
              <w:rPr>
                <w:rFonts w:cs="Times New Roman"/>
                <w:b/>
                <w:bCs/>
                <w:color w:val="000000"/>
                <w:szCs w:val="24"/>
              </w:rPr>
              <w:t xml:space="preserve">4.3.4 </w:t>
            </w:r>
            <w:r>
              <w:rPr>
                <w:rFonts w:cs="Times New Roman"/>
                <w:szCs w:val="24"/>
                <w:lang w:bidi="ar"/>
              </w:rPr>
              <w:t>Ensure timely supplementation of vitamins, trace elements, and arginine.</w:t>
            </w:r>
          </w:p>
        </w:tc>
      </w:tr>
      <w:tr w14:paraId="26B9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ED00DFD">
            <w:pPr>
              <w:jc w:val="center"/>
              <w:rPr>
                <w:rFonts w:cs="Times New Roman"/>
                <w:szCs w:val="24"/>
                <w:lang w:bidi="ar"/>
              </w:rPr>
            </w:pPr>
          </w:p>
        </w:tc>
        <w:tc>
          <w:tcPr>
            <w:tcW w:w="1798" w:type="dxa"/>
            <w:vMerge w:val="continue"/>
            <w:vAlign w:val="center"/>
          </w:tcPr>
          <w:p w14:paraId="7EB57866">
            <w:pPr>
              <w:jc w:val="center"/>
              <w:rPr>
                <w:rFonts w:cs="Times New Roman"/>
                <w:szCs w:val="24"/>
                <w:lang w:bidi="ar"/>
              </w:rPr>
            </w:pPr>
          </w:p>
        </w:tc>
        <w:tc>
          <w:tcPr>
            <w:tcW w:w="10495" w:type="dxa"/>
            <w:gridSpan w:val="4"/>
            <w:vAlign w:val="center"/>
          </w:tcPr>
          <w:p w14:paraId="12D8EAED">
            <w:pPr>
              <w:jc w:val="left"/>
              <w:rPr>
                <w:rFonts w:cs="Times New Roman"/>
                <w:szCs w:val="24"/>
                <w:lang w:bidi="ar"/>
              </w:rPr>
            </w:pPr>
            <w:r>
              <w:rPr>
                <w:rFonts w:cs="Times New Roman"/>
                <w:b/>
                <w:bCs/>
                <w:color w:val="000000"/>
                <w:szCs w:val="24"/>
              </w:rPr>
              <w:t>4.3.5</w:t>
            </w:r>
            <w:r>
              <w:rPr>
                <w:rFonts w:cs="Times New Roman"/>
                <w:color w:val="000000"/>
                <w:szCs w:val="24"/>
              </w:rPr>
              <w:t xml:space="preserve"> </w:t>
            </w:r>
            <w:r>
              <w:rPr>
                <w:rFonts w:cs="Times New Roman"/>
                <w:szCs w:val="24"/>
                <w:lang w:bidi="ar"/>
              </w:rPr>
              <w:t>Eat small, frequent meals; 3–5 meals per day is recommended.</w:t>
            </w:r>
          </w:p>
        </w:tc>
      </w:tr>
      <w:tr w14:paraId="6DF4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C247F97">
            <w:pPr>
              <w:jc w:val="center"/>
              <w:rPr>
                <w:rFonts w:cs="Times New Roman"/>
                <w:szCs w:val="24"/>
                <w:lang w:bidi="ar"/>
              </w:rPr>
            </w:pPr>
          </w:p>
        </w:tc>
        <w:tc>
          <w:tcPr>
            <w:tcW w:w="1798" w:type="dxa"/>
            <w:vMerge w:val="continue"/>
            <w:vAlign w:val="center"/>
          </w:tcPr>
          <w:p w14:paraId="0F3F9C0D">
            <w:pPr>
              <w:jc w:val="center"/>
              <w:rPr>
                <w:rFonts w:cs="Times New Roman"/>
                <w:szCs w:val="24"/>
                <w:lang w:bidi="ar"/>
              </w:rPr>
            </w:pPr>
          </w:p>
        </w:tc>
        <w:tc>
          <w:tcPr>
            <w:tcW w:w="10495" w:type="dxa"/>
            <w:gridSpan w:val="4"/>
            <w:vAlign w:val="center"/>
          </w:tcPr>
          <w:p w14:paraId="16524A2F">
            <w:pPr>
              <w:jc w:val="left"/>
              <w:rPr>
                <w:rFonts w:cs="Times New Roman"/>
                <w:szCs w:val="24"/>
                <w:lang w:bidi="ar"/>
              </w:rPr>
            </w:pPr>
            <w:r>
              <w:rPr>
                <w:rFonts w:cs="Times New Roman"/>
                <w:b/>
                <w:bCs/>
                <w:color w:val="000000"/>
                <w:szCs w:val="24"/>
              </w:rPr>
              <w:t xml:space="preserve">4.3.6 </w:t>
            </w:r>
            <w:r>
              <w:rPr>
                <w:rFonts w:cs="Times New Roman"/>
                <w:szCs w:val="24"/>
                <w:lang w:bidi="ar"/>
              </w:rPr>
              <w:t>For patients with comorbidities such as diabetes, hypertension, kidney disease, or obesity, adjustments should be made dynamically by the attending physician and nutritionist based on changes in the condition.</w:t>
            </w:r>
          </w:p>
        </w:tc>
      </w:tr>
      <w:tr w14:paraId="6768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EC57B9D">
            <w:pPr>
              <w:jc w:val="center"/>
              <w:rPr>
                <w:rFonts w:cs="Times New Roman"/>
                <w:szCs w:val="24"/>
                <w:lang w:bidi="ar"/>
              </w:rPr>
            </w:pPr>
          </w:p>
        </w:tc>
        <w:tc>
          <w:tcPr>
            <w:tcW w:w="1798" w:type="dxa"/>
            <w:vMerge w:val="restart"/>
            <w:vAlign w:val="center"/>
          </w:tcPr>
          <w:p w14:paraId="5924290D">
            <w:pPr>
              <w:jc w:val="center"/>
              <w:rPr>
                <w:rFonts w:cs="Times New Roman"/>
                <w:szCs w:val="24"/>
                <w:lang w:bidi="ar"/>
              </w:rPr>
            </w:pPr>
            <w:r>
              <w:rPr>
                <w:rFonts w:cs="Times New Roman"/>
                <w:b/>
                <w:bCs/>
                <w:color w:val="000000"/>
                <w:szCs w:val="24"/>
              </w:rPr>
              <w:t xml:space="preserve">4.4 </w:t>
            </w:r>
            <w:r>
              <w:rPr>
                <w:rFonts w:cs="Times New Roman"/>
                <w:szCs w:val="24"/>
                <w:lang w:bidi="ar"/>
              </w:rPr>
              <w:t>Implementation methods</w:t>
            </w:r>
          </w:p>
        </w:tc>
        <w:tc>
          <w:tcPr>
            <w:tcW w:w="10495" w:type="dxa"/>
            <w:gridSpan w:val="4"/>
            <w:vAlign w:val="center"/>
          </w:tcPr>
          <w:p w14:paraId="5B47AA98">
            <w:pPr>
              <w:jc w:val="left"/>
              <w:rPr>
                <w:rFonts w:cs="Times New Roman"/>
                <w:szCs w:val="24"/>
              </w:rPr>
            </w:pPr>
            <w:r>
              <w:rPr>
                <w:rFonts w:cs="Times New Roman"/>
                <w:b/>
                <w:bCs/>
                <w:color w:val="000000"/>
                <w:szCs w:val="24"/>
              </w:rPr>
              <w:t xml:space="preserve">4.4.1 </w:t>
            </w:r>
            <w:r>
              <w:rPr>
                <w:rFonts w:cs="Times New Roman"/>
                <w:szCs w:val="24"/>
                <w:lang w:bidi="ar"/>
              </w:rPr>
              <w:t>Provide health education through diverse channels, including face-to-face instruction, educational brochures, online platforms (WeChat groups, short video platforms, mini-programs, etc.), community activities, and regular home visits.</w:t>
            </w:r>
          </w:p>
        </w:tc>
      </w:tr>
      <w:tr w14:paraId="77D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A11CF1B">
            <w:pPr>
              <w:jc w:val="center"/>
              <w:rPr>
                <w:rFonts w:cs="Times New Roman"/>
                <w:szCs w:val="24"/>
                <w:lang w:bidi="ar"/>
              </w:rPr>
            </w:pPr>
          </w:p>
        </w:tc>
        <w:tc>
          <w:tcPr>
            <w:tcW w:w="1798" w:type="dxa"/>
            <w:vMerge w:val="continue"/>
            <w:vAlign w:val="center"/>
          </w:tcPr>
          <w:p w14:paraId="0843108F">
            <w:pPr>
              <w:jc w:val="center"/>
              <w:rPr>
                <w:rFonts w:cs="Times New Roman"/>
                <w:szCs w:val="24"/>
                <w:lang w:bidi="ar"/>
              </w:rPr>
            </w:pPr>
          </w:p>
        </w:tc>
        <w:tc>
          <w:tcPr>
            <w:tcW w:w="10495" w:type="dxa"/>
            <w:gridSpan w:val="4"/>
            <w:vAlign w:val="center"/>
          </w:tcPr>
          <w:p w14:paraId="0FDEF7F2">
            <w:pPr>
              <w:jc w:val="left"/>
              <w:rPr>
                <w:rFonts w:cs="Times New Roman"/>
                <w:szCs w:val="24"/>
              </w:rPr>
            </w:pPr>
            <w:r>
              <w:rPr>
                <w:rFonts w:cs="Times New Roman"/>
                <w:b/>
                <w:bCs/>
                <w:color w:val="000000"/>
                <w:szCs w:val="24"/>
              </w:rPr>
              <w:t>4.4.2</w:t>
            </w:r>
            <w:r>
              <w:rPr>
                <w:rFonts w:cs="Times New Roman"/>
                <w:color w:val="000000"/>
                <w:szCs w:val="24"/>
              </w:rPr>
              <w:t xml:space="preserve"> </w:t>
            </w:r>
            <w:r>
              <w:rPr>
                <w:rFonts w:cs="Times New Roman"/>
                <w:szCs w:val="24"/>
                <w:lang w:bidi="ar"/>
              </w:rPr>
              <w:t>Education methods should be tailored to local conditions and individual circumstances, taking into account the patient's living environment, receptivity to knowledge, family support, and cultural background, to ensure the feasibility and effectiveness of the guidance.</w:t>
            </w:r>
          </w:p>
        </w:tc>
      </w:tr>
      <w:tr w14:paraId="27E4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883" w:type="dxa"/>
            <w:vMerge w:val="restart"/>
            <w:vAlign w:val="center"/>
          </w:tcPr>
          <w:p w14:paraId="1F5E90F2">
            <w:pPr>
              <w:widowControl/>
              <w:adjustRightInd/>
              <w:snapToGrid/>
              <w:spacing w:line="240" w:lineRule="auto"/>
              <w:jc w:val="center"/>
              <w:rPr>
                <w:rFonts w:cs="Times New Roman"/>
                <w:color w:val="000000"/>
                <w:szCs w:val="24"/>
              </w:rPr>
            </w:pPr>
            <w:r>
              <w:rPr>
                <w:rFonts w:cs="Times New Roman"/>
                <w:b/>
                <w:bCs/>
                <w:color w:val="000000"/>
                <w:szCs w:val="24"/>
              </w:rPr>
              <w:t>5</w:t>
            </w:r>
            <w:r>
              <w:rPr>
                <w:rFonts w:cs="Times New Roman"/>
                <w:color w:val="000000"/>
                <w:szCs w:val="24"/>
              </w:rPr>
              <w:t xml:space="preserve"> </w:t>
            </w:r>
            <w:r>
              <w:rPr>
                <w:rFonts w:cs="Times New Roman"/>
                <w:szCs w:val="24"/>
                <w:lang w:bidi="ar"/>
              </w:rPr>
              <w:t>Psychological Support</w:t>
            </w:r>
          </w:p>
        </w:tc>
        <w:tc>
          <w:tcPr>
            <w:tcW w:w="1798" w:type="dxa"/>
            <w:vAlign w:val="center"/>
          </w:tcPr>
          <w:p w14:paraId="09EB5C60">
            <w:pPr>
              <w:jc w:val="center"/>
              <w:rPr>
                <w:rFonts w:cs="Times New Roman"/>
                <w:szCs w:val="24"/>
                <w:lang w:bidi="ar"/>
              </w:rPr>
            </w:pPr>
            <w:r>
              <w:rPr>
                <w:rFonts w:cs="Times New Roman"/>
                <w:b/>
                <w:bCs/>
                <w:color w:val="000000"/>
                <w:szCs w:val="24"/>
              </w:rPr>
              <w:t xml:space="preserve">5.1 </w:t>
            </w:r>
            <w:r>
              <w:rPr>
                <w:rFonts w:cs="Times New Roman"/>
                <w:szCs w:val="24"/>
                <w:lang w:bidi="ar"/>
              </w:rPr>
              <w:t>Psychological state assessment</w:t>
            </w:r>
          </w:p>
        </w:tc>
        <w:tc>
          <w:tcPr>
            <w:tcW w:w="10495" w:type="dxa"/>
            <w:gridSpan w:val="4"/>
            <w:vAlign w:val="center"/>
          </w:tcPr>
          <w:p w14:paraId="254374CA">
            <w:pPr>
              <w:jc w:val="left"/>
              <w:rPr>
                <w:rFonts w:cs="Times New Roman"/>
                <w:szCs w:val="24"/>
              </w:rPr>
            </w:pPr>
            <w:r>
              <w:rPr>
                <w:rFonts w:cs="Times New Roman"/>
                <w:b/>
                <w:bCs/>
                <w:color w:val="000000"/>
                <w:szCs w:val="24"/>
              </w:rPr>
              <w:t>5.1.1</w:t>
            </w:r>
            <w:r>
              <w:rPr>
                <w:rFonts w:cs="Times New Roman"/>
                <w:color w:val="000000"/>
                <w:szCs w:val="24"/>
              </w:rPr>
              <w:t xml:space="preserve"> </w:t>
            </w:r>
            <w:r>
              <w:rPr>
                <w:rFonts w:cs="Times New Roman"/>
                <w:szCs w:val="24"/>
                <w:lang w:bidi="ar"/>
              </w:rPr>
              <w:t>Assess the patient’s psychological status; patients identified with moderate to severe anxiety or depression should receive professional intervention from a psychologist.</w:t>
            </w:r>
          </w:p>
        </w:tc>
      </w:tr>
      <w:tr w14:paraId="3377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A6F7953">
            <w:pPr>
              <w:jc w:val="center"/>
              <w:rPr>
                <w:rFonts w:cs="Times New Roman"/>
                <w:szCs w:val="24"/>
                <w:lang w:bidi="ar"/>
              </w:rPr>
            </w:pPr>
          </w:p>
        </w:tc>
        <w:tc>
          <w:tcPr>
            <w:tcW w:w="1798" w:type="dxa"/>
            <w:vMerge w:val="restart"/>
            <w:vAlign w:val="center"/>
          </w:tcPr>
          <w:p w14:paraId="218E62A9">
            <w:pPr>
              <w:jc w:val="center"/>
              <w:rPr>
                <w:rFonts w:cs="Times New Roman"/>
                <w:szCs w:val="24"/>
                <w:lang w:bidi="ar"/>
              </w:rPr>
            </w:pPr>
            <w:r>
              <w:rPr>
                <w:rFonts w:cs="Times New Roman"/>
                <w:b/>
                <w:bCs/>
                <w:color w:val="000000"/>
                <w:szCs w:val="24"/>
              </w:rPr>
              <w:t xml:space="preserve">5.2 </w:t>
            </w:r>
            <w:r>
              <w:rPr>
                <w:rFonts w:cs="Times New Roman"/>
                <w:szCs w:val="24"/>
                <w:lang w:bidi="ar"/>
              </w:rPr>
              <w:t>Psychological empowerment</w:t>
            </w:r>
          </w:p>
        </w:tc>
        <w:tc>
          <w:tcPr>
            <w:tcW w:w="10495" w:type="dxa"/>
            <w:gridSpan w:val="4"/>
            <w:vAlign w:val="center"/>
          </w:tcPr>
          <w:p w14:paraId="6E6BAA75">
            <w:pPr>
              <w:jc w:val="left"/>
              <w:rPr>
                <w:rFonts w:cs="Times New Roman"/>
                <w:szCs w:val="24"/>
                <w:lang w:bidi="ar"/>
              </w:rPr>
            </w:pPr>
            <w:r>
              <w:rPr>
                <w:rFonts w:cs="Times New Roman"/>
                <w:b/>
                <w:bCs/>
                <w:color w:val="000000"/>
                <w:szCs w:val="24"/>
              </w:rPr>
              <w:t xml:space="preserve">5.2.1 </w:t>
            </w:r>
            <w:r>
              <w:rPr>
                <w:rFonts w:cs="Times New Roman"/>
                <w:szCs w:val="24"/>
                <w:lang w:bidi="ar"/>
              </w:rPr>
              <w:t>Behavior recording: encourage patients to record daily activities and emotions; healthcare providers review with patients to reinforce positive behaviors and identify and improve avoidance behaviors.</w:t>
            </w:r>
          </w:p>
        </w:tc>
      </w:tr>
      <w:tr w14:paraId="516F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2B0711F">
            <w:pPr>
              <w:jc w:val="center"/>
              <w:rPr>
                <w:rFonts w:cs="Times New Roman"/>
                <w:szCs w:val="24"/>
                <w:lang w:bidi="ar"/>
              </w:rPr>
            </w:pPr>
          </w:p>
        </w:tc>
        <w:tc>
          <w:tcPr>
            <w:tcW w:w="1798" w:type="dxa"/>
            <w:vMerge w:val="continue"/>
            <w:vAlign w:val="center"/>
          </w:tcPr>
          <w:p w14:paraId="45F071A7">
            <w:pPr>
              <w:jc w:val="center"/>
              <w:rPr>
                <w:rFonts w:cs="Times New Roman"/>
                <w:szCs w:val="24"/>
                <w:lang w:bidi="ar"/>
              </w:rPr>
            </w:pPr>
          </w:p>
        </w:tc>
        <w:tc>
          <w:tcPr>
            <w:tcW w:w="10495" w:type="dxa"/>
            <w:gridSpan w:val="4"/>
            <w:vAlign w:val="center"/>
          </w:tcPr>
          <w:p w14:paraId="3444E0C6">
            <w:pPr>
              <w:jc w:val="left"/>
              <w:rPr>
                <w:rFonts w:cs="Times New Roman"/>
                <w:szCs w:val="24"/>
                <w:lang w:bidi="ar"/>
              </w:rPr>
            </w:pPr>
            <w:r>
              <w:rPr>
                <w:rFonts w:cs="Times New Roman"/>
                <w:b/>
                <w:bCs/>
                <w:color w:val="000000"/>
                <w:szCs w:val="24"/>
              </w:rPr>
              <w:t>5.2.2</w:t>
            </w:r>
            <w:r>
              <w:rPr>
                <w:rFonts w:cs="Times New Roman"/>
                <w:color w:val="000000"/>
                <w:szCs w:val="24"/>
              </w:rPr>
              <w:t xml:space="preserve"> </w:t>
            </w:r>
            <w:r>
              <w:rPr>
                <w:rFonts w:cs="Times New Roman"/>
                <w:szCs w:val="24"/>
                <w:lang w:bidi="ar"/>
              </w:rPr>
              <w:t>Positive reinforcement: praise patients who achieve phased goals; for those who do not, discuss obstacles and provide encouragement to enhance adherence.</w:t>
            </w:r>
          </w:p>
        </w:tc>
      </w:tr>
      <w:tr w14:paraId="2EED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9FA28D4">
            <w:pPr>
              <w:jc w:val="center"/>
              <w:rPr>
                <w:rFonts w:cs="Times New Roman"/>
                <w:szCs w:val="24"/>
                <w:lang w:bidi="ar"/>
              </w:rPr>
            </w:pPr>
          </w:p>
        </w:tc>
        <w:tc>
          <w:tcPr>
            <w:tcW w:w="1798" w:type="dxa"/>
            <w:vMerge w:val="continue"/>
            <w:vAlign w:val="center"/>
          </w:tcPr>
          <w:p w14:paraId="1CFD291B">
            <w:pPr>
              <w:jc w:val="center"/>
              <w:rPr>
                <w:rFonts w:cs="Times New Roman"/>
                <w:szCs w:val="24"/>
                <w:lang w:bidi="ar"/>
              </w:rPr>
            </w:pPr>
          </w:p>
        </w:tc>
        <w:tc>
          <w:tcPr>
            <w:tcW w:w="10495" w:type="dxa"/>
            <w:gridSpan w:val="4"/>
            <w:vAlign w:val="center"/>
          </w:tcPr>
          <w:p w14:paraId="371EAD5A">
            <w:pPr>
              <w:jc w:val="left"/>
              <w:rPr>
                <w:rFonts w:cs="Times New Roman"/>
                <w:szCs w:val="24"/>
                <w:lang w:bidi="ar"/>
              </w:rPr>
            </w:pPr>
            <w:r>
              <w:rPr>
                <w:rFonts w:cs="Times New Roman"/>
                <w:b/>
                <w:bCs/>
                <w:color w:val="000000"/>
                <w:szCs w:val="24"/>
              </w:rPr>
              <w:t xml:space="preserve">5.2.3 </w:t>
            </w:r>
            <w:r>
              <w:rPr>
                <w:rFonts w:cs="Times New Roman"/>
                <w:szCs w:val="24"/>
                <w:lang w:bidi="ar"/>
              </w:rPr>
              <w:t>Cognitive restructuring: help patients develop objective and rational understanding of the disease and identify automatic negative thoughts related to the condition.</w:t>
            </w:r>
          </w:p>
        </w:tc>
      </w:tr>
      <w:tr w14:paraId="5053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AEC7BF6">
            <w:pPr>
              <w:jc w:val="center"/>
              <w:rPr>
                <w:rFonts w:cs="Times New Roman"/>
                <w:szCs w:val="24"/>
                <w:lang w:bidi="ar"/>
              </w:rPr>
            </w:pPr>
          </w:p>
        </w:tc>
        <w:tc>
          <w:tcPr>
            <w:tcW w:w="1798" w:type="dxa"/>
            <w:vMerge w:val="continue"/>
            <w:vAlign w:val="center"/>
          </w:tcPr>
          <w:p w14:paraId="3D5C6190">
            <w:pPr>
              <w:jc w:val="center"/>
              <w:rPr>
                <w:rFonts w:cs="Times New Roman"/>
                <w:szCs w:val="24"/>
                <w:lang w:bidi="ar"/>
              </w:rPr>
            </w:pPr>
          </w:p>
        </w:tc>
        <w:tc>
          <w:tcPr>
            <w:tcW w:w="10495" w:type="dxa"/>
            <w:gridSpan w:val="4"/>
            <w:vAlign w:val="center"/>
          </w:tcPr>
          <w:p w14:paraId="1C1798F2">
            <w:pPr>
              <w:jc w:val="left"/>
              <w:rPr>
                <w:rFonts w:cs="Times New Roman"/>
                <w:szCs w:val="24"/>
                <w:lang w:bidi="ar"/>
              </w:rPr>
            </w:pPr>
            <w:r>
              <w:rPr>
                <w:rFonts w:cs="Times New Roman"/>
                <w:b/>
                <w:bCs/>
                <w:color w:val="000000"/>
                <w:szCs w:val="24"/>
              </w:rPr>
              <w:t xml:space="preserve">5.2.4 </w:t>
            </w:r>
            <w:r>
              <w:rPr>
                <w:rFonts w:cs="Times New Roman"/>
                <w:szCs w:val="24"/>
                <w:lang w:bidi="ar"/>
              </w:rPr>
              <w:t>Peer education: encourage communication among patients to share personal pulmonary rehabilitation experiences.</w:t>
            </w:r>
          </w:p>
        </w:tc>
      </w:tr>
      <w:tr w14:paraId="4366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6083611">
            <w:pPr>
              <w:jc w:val="center"/>
              <w:rPr>
                <w:rFonts w:cs="Times New Roman"/>
                <w:szCs w:val="24"/>
                <w:lang w:bidi="ar"/>
              </w:rPr>
            </w:pPr>
          </w:p>
        </w:tc>
        <w:tc>
          <w:tcPr>
            <w:tcW w:w="1798" w:type="dxa"/>
            <w:vMerge w:val="continue"/>
            <w:vAlign w:val="center"/>
          </w:tcPr>
          <w:p w14:paraId="240EEA17">
            <w:pPr>
              <w:jc w:val="center"/>
              <w:rPr>
                <w:rFonts w:cs="Times New Roman"/>
                <w:szCs w:val="24"/>
                <w:lang w:bidi="ar"/>
              </w:rPr>
            </w:pPr>
          </w:p>
        </w:tc>
        <w:tc>
          <w:tcPr>
            <w:tcW w:w="10495" w:type="dxa"/>
            <w:gridSpan w:val="4"/>
            <w:vAlign w:val="center"/>
          </w:tcPr>
          <w:p w14:paraId="6B374BDF">
            <w:pPr>
              <w:jc w:val="left"/>
              <w:rPr>
                <w:rFonts w:cs="Times New Roman"/>
                <w:szCs w:val="24"/>
                <w:lang w:bidi="ar"/>
              </w:rPr>
            </w:pPr>
            <w:r>
              <w:rPr>
                <w:rFonts w:cs="Times New Roman"/>
                <w:b/>
                <w:bCs/>
                <w:color w:val="000000"/>
                <w:szCs w:val="24"/>
              </w:rPr>
              <w:t>5.2.5</w:t>
            </w:r>
            <w:r>
              <w:rPr>
                <w:rFonts w:cs="Times New Roman"/>
                <w:szCs w:val="24"/>
                <w:lang w:bidi="ar"/>
              </w:rPr>
              <w:t xml:space="preserve"> Family support: encourage and guide family members to provide effective emotional support and psychological care for the patient.</w:t>
            </w:r>
          </w:p>
        </w:tc>
      </w:tr>
      <w:tr w14:paraId="53E2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4FC30998">
            <w:pPr>
              <w:widowControl/>
              <w:adjustRightInd/>
              <w:snapToGrid/>
              <w:spacing w:line="240" w:lineRule="auto"/>
              <w:jc w:val="center"/>
              <w:rPr>
                <w:rFonts w:cs="Times New Roman"/>
                <w:szCs w:val="24"/>
              </w:rPr>
            </w:pPr>
            <w:r>
              <w:rPr>
                <w:rFonts w:cs="Times New Roman"/>
                <w:b/>
                <w:bCs/>
                <w:szCs w:val="24"/>
              </w:rPr>
              <w:t xml:space="preserve">6 </w:t>
            </w:r>
            <w:r>
              <w:rPr>
                <w:rFonts w:cs="Times New Roman"/>
                <w:szCs w:val="24"/>
                <w:lang w:bidi="ar"/>
              </w:rPr>
              <w:t>Follow-up Management</w:t>
            </w:r>
          </w:p>
        </w:tc>
        <w:tc>
          <w:tcPr>
            <w:tcW w:w="1798" w:type="dxa"/>
            <w:vAlign w:val="center"/>
          </w:tcPr>
          <w:p w14:paraId="0853FC2A">
            <w:pPr>
              <w:jc w:val="center"/>
              <w:rPr>
                <w:rFonts w:cs="Times New Roman"/>
                <w:szCs w:val="24"/>
                <w:lang w:bidi="ar"/>
              </w:rPr>
            </w:pPr>
            <w:r>
              <w:rPr>
                <w:rFonts w:cs="Times New Roman"/>
                <w:b/>
                <w:bCs/>
                <w:szCs w:val="24"/>
              </w:rPr>
              <w:t>6.1</w:t>
            </w:r>
            <w:r>
              <w:rPr>
                <w:rFonts w:cs="Times New Roman"/>
                <w:szCs w:val="24"/>
                <w:lang w:bidi="ar"/>
              </w:rPr>
              <w:t xml:space="preserve"> Follow-up</w:t>
            </w:r>
            <w:r>
              <w:rPr>
                <w:rFonts w:cs="Times New Roman"/>
                <w:szCs w:val="24"/>
              </w:rPr>
              <w:t xml:space="preserve"> content</w:t>
            </w:r>
          </w:p>
        </w:tc>
        <w:tc>
          <w:tcPr>
            <w:tcW w:w="10495" w:type="dxa"/>
            <w:gridSpan w:val="4"/>
            <w:vAlign w:val="center"/>
          </w:tcPr>
          <w:p w14:paraId="18FD98F9">
            <w:pPr>
              <w:jc w:val="left"/>
              <w:rPr>
                <w:rFonts w:cs="Times New Roman"/>
                <w:szCs w:val="24"/>
                <w:lang w:bidi="ar"/>
              </w:rPr>
            </w:pPr>
            <w:r>
              <w:rPr>
                <w:rFonts w:cs="Times New Roman"/>
                <w:b/>
                <w:bCs/>
                <w:szCs w:val="24"/>
              </w:rPr>
              <w:t>6.1.1</w:t>
            </w:r>
            <w:r>
              <w:rPr>
                <w:rFonts w:cs="Times New Roman"/>
                <w:szCs w:val="24"/>
              </w:rPr>
              <w:t xml:space="preserve"> </w:t>
            </w:r>
            <w:r>
              <w:rPr>
                <w:rFonts w:hint="eastAsia" w:cs="Times New Roman"/>
                <w:szCs w:val="24"/>
              </w:rPr>
              <w:t>D</w:t>
            </w:r>
            <w:r>
              <w:rPr>
                <w:rFonts w:cs="Times New Roman"/>
                <w:szCs w:val="24"/>
                <w:lang w:bidi="ar"/>
              </w:rPr>
              <w:t xml:space="preserve">yspnea score, 6-minute walking distance, cardiopulmonary exercise testing, echocardiography, </w:t>
            </w:r>
            <w:r>
              <w:rPr>
                <w:rFonts w:hint="eastAsia" w:cs="Times New Roman"/>
                <w:szCs w:val="24"/>
                <w:lang w:bidi="ar"/>
              </w:rPr>
              <w:t>c</w:t>
            </w:r>
            <w:r>
              <w:rPr>
                <w:rFonts w:cs="Times New Roman"/>
                <w:szCs w:val="24"/>
                <w:lang w:bidi="ar"/>
              </w:rPr>
              <w:t xml:space="preserve">ardiac </w:t>
            </w:r>
            <w:r>
              <w:rPr>
                <w:rFonts w:hint="eastAsia" w:cs="Times New Roman"/>
                <w:szCs w:val="24"/>
                <w:lang w:bidi="ar"/>
              </w:rPr>
              <w:t>f</w:t>
            </w:r>
            <w:r>
              <w:rPr>
                <w:rFonts w:cs="Times New Roman"/>
                <w:szCs w:val="24"/>
                <w:lang w:bidi="ar"/>
              </w:rPr>
              <w:t xml:space="preserve">unction </w:t>
            </w:r>
            <w:r>
              <w:rPr>
                <w:rFonts w:hint="eastAsia" w:cs="Times New Roman"/>
                <w:szCs w:val="24"/>
                <w:lang w:bidi="ar"/>
              </w:rPr>
              <w:t>c</w:t>
            </w:r>
            <w:r>
              <w:rPr>
                <w:rFonts w:cs="Times New Roman"/>
                <w:szCs w:val="24"/>
                <w:lang w:bidi="ar"/>
              </w:rPr>
              <w:t xml:space="preserve">lassification, resting and post-exercise oxygen saturation (SpO₂), heart rate, blood pressure, body weight, </w:t>
            </w:r>
            <w:r>
              <w:rPr>
                <w:rFonts w:hint="eastAsia" w:cs="Times New Roman"/>
                <w:szCs w:val="24"/>
                <w:lang w:bidi="ar"/>
              </w:rPr>
              <w:t>n</w:t>
            </w:r>
            <w:r>
              <w:rPr>
                <w:rFonts w:cs="Times New Roman"/>
                <w:szCs w:val="24"/>
                <w:lang w:bidi="ar"/>
              </w:rPr>
              <w:t xml:space="preserve">utritional </w:t>
            </w:r>
            <w:r>
              <w:rPr>
                <w:rFonts w:hint="eastAsia" w:cs="Times New Roman"/>
                <w:szCs w:val="24"/>
                <w:lang w:bidi="ar"/>
              </w:rPr>
              <w:t>s</w:t>
            </w:r>
            <w:r>
              <w:rPr>
                <w:rFonts w:cs="Times New Roman"/>
                <w:szCs w:val="24"/>
                <w:lang w:bidi="ar"/>
              </w:rPr>
              <w:t>tatus</w:t>
            </w:r>
            <w:r>
              <w:rPr>
                <w:rFonts w:hint="eastAsia" w:cs="Times New Roman"/>
                <w:szCs w:val="24"/>
                <w:lang w:bidi="ar"/>
              </w:rPr>
              <w:t>,</w:t>
            </w:r>
            <w:r>
              <w:rPr>
                <w:rFonts w:cs="Times New Roman"/>
                <w:szCs w:val="24"/>
                <w:lang w:bidi="ar"/>
              </w:rPr>
              <w:t xml:space="preserve"> laboratory tests (</w:t>
            </w:r>
            <w:r>
              <w:rPr>
                <w:rFonts w:cs="Times New Roman"/>
                <w:szCs w:val="24"/>
              </w:rPr>
              <w:t>BNP or NT-proBNP,</w:t>
            </w:r>
            <w:r>
              <w:rPr>
                <w:rFonts w:hint="eastAsia" w:cs="Times New Roman"/>
                <w:szCs w:val="24"/>
              </w:rPr>
              <w:t xml:space="preserve"> </w:t>
            </w:r>
            <w:r>
              <w:rPr>
                <w:rFonts w:cs="Times New Roman"/>
                <w:szCs w:val="24"/>
                <w:lang w:bidi="ar"/>
              </w:rPr>
              <w:t>complete blood count, blood biochemistry, biomarkers, etc.),</w:t>
            </w:r>
            <w:r>
              <w:rPr>
                <w:rFonts w:cs="Times New Roman"/>
                <w:szCs w:val="24"/>
              </w:rPr>
              <w:t xml:space="preserve"> right heart catheterization (RHC)</w:t>
            </w:r>
            <w:r>
              <w:rPr>
                <w:rFonts w:hint="eastAsia" w:cs="Times New Roman"/>
                <w:szCs w:val="24"/>
              </w:rPr>
              <w:t>,</w:t>
            </w:r>
            <w:r>
              <w:rPr>
                <w:rFonts w:cs="Times New Roman"/>
                <w:szCs w:val="24"/>
                <w:lang w:bidi="ar"/>
              </w:rPr>
              <w:t xml:space="preserve"> peripheral muscle strength, activities of daily living, anxiety and depression scores, medication adherence, home oxygen therapy compliance, symptom changes, quality of life questionnaire, etc.</w:t>
            </w:r>
            <w:r>
              <w:rPr>
                <w:rFonts w:cs="Times New Roman"/>
                <w:szCs w:val="24"/>
              </w:rPr>
              <w:t xml:space="preserve"> </w:t>
            </w:r>
          </w:p>
        </w:tc>
      </w:tr>
      <w:tr w14:paraId="75A5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AD9DDB6">
            <w:pPr>
              <w:jc w:val="center"/>
              <w:rPr>
                <w:rFonts w:cs="Times New Roman"/>
                <w:szCs w:val="24"/>
                <w:lang w:bidi="ar"/>
              </w:rPr>
            </w:pPr>
          </w:p>
        </w:tc>
        <w:tc>
          <w:tcPr>
            <w:tcW w:w="1798" w:type="dxa"/>
            <w:vMerge w:val="restart"/>
            <w:vAlign w:val="center"/>
          </w:tcPr>
          <w:p w14:paraId="031B57CD">
            <w:pPr>
              <w:jc w:val="center"/>
              <w:rPr>
                <w:rFonts w:cs="Times New Roman"/>
                <w:szCs w:val="24"/>
                <w:lang w:bidi="ar"/>
              </w:rPr>
            </w:pPr>
            <w:r>
              <w:rPr>
                <w:rFonts w:cs="Times New Roman"/>
                <w:b/>
                <w:bCs/>
                <w:szCs w:val="24"/>
              </w:rPr>
              <w:t>6.2</w:t>
            </w:r>
            <w:r>
              <w:rPr>
                <w:rFonts w:cs="Times New Roman"/>
                <w:szCs w:val="24"/>
                <w:lang w:bidi="ar"/>
              </w:rPr>
              <w:t xml:space="preserve"> Follow-up</w:t>
            </w:r>
            <w:r>
              <w:rPr>
                <w:rFonts w:cs="Times New Roman"/>
                <w:szCs w:val="24"/>
              </w:rPr>
              <w:t xml:space="preserve"> </w:t>
            </w:r>
            <w:r>
              <w:rPr>
                <w:rFonts w:cs="Times New Roman"/>
                <w:szCs w:val="24"/>
                <w:lang w:bidi="ar"/>
              </w:rPr>
              <w:t>frequency</w:t>
            </w:r>
          </w:p>
        </w:tc>
        <w:tc>
          <w:tcPr>
            <w:tcW w:w="10495" w:type="dxa"/>
            <w:gridSpan w:val="4"/>
            <w:vAlign w:val="center"/>
          </w:tcPr>
          <w:p w14:paraId="4B040E4B">
            <w:pPr>
              <w:jc w:val="left"/>
              <w:rPr>
                <w:rFonts w:cs="Times New Roman"/>
                <w:szCs w:val="24"/>
                <w:lang w:bidi="ar"/>
              </w:rPr>
            </w:pPr>
            <w:r>
              <w:rPr>
                <w:rFonts w:cs="Times New Roman"/>
                <w:b/>
                <w:bCs/>
                <w:szCs w:val="24"/>
              </w:rPr>
              <w:t xml:space="preserve">6.2.1 </w:t>
            </w:r>
            <w:r>
              <w:rPr>
                <w:rFonts w:cs="Times New Roman"/>
                <w:szCs w:val="24"/>
                <w:lang w:bidi="ar"/>
              </w:rPr>
              <w:t>Follow-up evaluation every 3–6 months.</w:t>
            </w:r>
          </w:p>
        </w:tc>
      </w:tr>
      <w:tr w14:paraId="3991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A6108F4">
            <w:pPr>
              <w:jc w:val="center"/>
              <w:rPr>
                <w:rFonts w:cs="Times New Roman"/>
                <w:szCs w:val="24"/>
                <w:lang w:bidi="ar"/>
              </w:rPr>
            </w:pPr>
          </w:p>
        </w:tc>
        <w:tc>
          <w:tcPr>
            <w:tcW w:w="1798" w:type="dxa"/>
            <w:vMerge w:val="continue"/>
            <w:vAlign w:val="center"/>
          </w:tcPr>
          <w:p w14:paraId="57A162AA">
            <w:pPr>
              <w:jc w:val="center"/>
              <w:rPr>
                <w:rFonts w:cs="Times New Roman"/>
                <w:szCs w:val="24"/>
                <w:lang w:bidi="ar"/>
              </w:rPr>
            </w:pPr>
          </w:p>
        </w:tc>
        <w:tc>
          <w:tcPr>
            <w:tcW w:w="10495" w:type="dxa"/>
            <w:gridSpan w:val="4"/>
            <w:vAlign w:val="center"/>
          </w:tcPr>
          <w:p w14:paraId="6552EE6B">
            <w:pPr>
              <w:jc w:val="left"/>
              <w:rPr>
                <w:rFonts w:cs="Times New Roman"/>
                <w:szCs w:val="24"/>
                <w:lang w:bidi="ar"/>
              </w:rPr>
            </w:pPr>
            <w:r>
              <w:rPr>
                <w:rFonts w:cs="Times New Roman"/>
                <w:b/>
                <w:bCs/>
                <w:szCs w:val="24"/>
              </w:rPr>
              <w:t>6.2.2</w:t>
            </w:r>
            <w:r>
              <w:rPr>
                <w:rFonts w:cs="Times New Roman"/>
                <w:szCs w:val="24"/>
                <w:lang w:bidi="ar"/>
              </w:rPr>
              <w:t>If the condition becomes unstable or new/worsening symptoms develop, the patient should return to the hospital immediately for re-evaluation.</w:t>
            </w:r>
          </w:p>
        </w:tc>
      </w:tr>
      <w:tr w14:paraId="050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C889BCD">
            <w:pPr>
              <w:jc w:val="center"/>
              <w:rPr>
                <w:rFonts w:cs="Times New Roman"/>
                <w:szCs w:val="24"/>
                <w:lang w:bidi="ar"/>
              </w:rPr>
            </w:pPr>
          </w:p>
        </w:tc>
        <w:tc>
          <w:tcPr>
            <w:tcW w:w="1798" w:type="dxa"/>
            <w:vMerge w:val="restart"/>
            <w:vAlign w:val="center"/>
          </w:tcPr>
          <w:p w14:paraId="3FCDD9D2">
            <w:pPr>
              <w:jc w:val="center"/>
              <w:rPr>
                <w:rFonts w:cs="Times New Roman"/>
                <w:szCs w:val="24"/>
                <w:lang w:bidi="ar"/>
              </w:rPr>
            </w:pPr>
            <w:r>
              <w:rPr>
                <w:rFonts w:cs="Times New Roman"/>
                <w:b/>
                <w:bCs/>
                <w:szCs w:val="24"/>
              </w:rPr>
              <w:t>6.3</w:t>
            </w:r>
            <w:r>
              <w:rPr>
                <w:rFonts w:cs="Times New Roman"/>
                <w:szCs w:val="24"/>
              </w:rPr>
              <w:t xml:space="preserve"> </w:t>
            </w:r>
            <w:r>
              <w:rPr>
                <w:rFonts w:cs="Times New Roman"/>
                <w:szCs w:val="24"/>
                <w:lang w:bidi="ar"/>
              </w:rPr>
              <w:t>Follow-up methods</w:t>
            </w:r>
          </w:p>
        </w:tc>
        <w:tc>
          <w:tcPr>
            <w:tcW w:w="10495" w:type="dxa"/>
            <w:gridSpan w:val="4"/>
            <w:vAlign w:val="center"/>
          </w:tcPr>
          <w:p w14:paraId="572A18AA">
            <w:pPr>
              <w:jc w:val="left"/>
              <w:rPr>
                <w:rFonts w:cs="Times New Roman"/>
                <w:szCs w:val="24"/>
                <w:lang w:bidi="ar"/>
              </w:rPr>
            </w:pPr>
            <w:r>
              <w:rPr>
                <w:rFonts w:cs="Times New Roman"/>
                <w:b/>
                <w:bCs/>
                <w:szCs w:val="24"/>
              </w:rPr>
              <w:t>6.3.1</w:t>
            </w:r>
            <w:r>
              <w:rPr>
                <w:rFonts w:cs="Times New Roman"/>
                <w:szCs w:val="24"/>
              </w:rPr>
              <w:t xml:space="preserve"> </w:t>
            </w:r>
            <w:r>
              <w:rPr>
                <w:rFonts w:cs="Times New Roman"/>
                <w:szCs w:val="24"/>
                <w:lang w:bidi="ar"/>
              </w:rPr>
              <w:t>High-risk/unstable patients: hospital follow-up as the core, with community/home follow-up providing close support and online follow-up for daily monitoring.</w:t>
            </w:r>
          </w:p>
        </w:tc>
      </w:tr>
      <w:tr w14:paraId="6873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859CDE4">
            <w:pPr>
              <w:jc w:val="center"/>
              <w:rPr>
                <w:rFonts w:cs="Times New Roman"/>
                <w:szCs w:val="24"/>
                <w:lang w:bidi="ar"/>
              </w:rPr>
            </w:pPr>
          </w:p>
        </w:tc>
        <w:tc>
          <w:tcPr>
            <w:tcW w:w="1798" w:type="dxa"/>
            <w:vMerge w:val="continue"/>
            <w:vAlign w:val="center"/>
          </w:tcPr>
          <w:p w14:paraId="483C501C">
            <w:pPr>
              <w:jc w:val="center"/>
              <w:rPr>
                <w:rFonts w:cs="Times New Roman"/>
                <w:szCs w:val="24"/>
                <w:lang w:bidi="ar"/>
              </w:rPr>
            </w:pPr>
          </w:p>
        </w:tc>
        <w:tc>
          <w:tcPr>
            <w:tcW w:w="10495" w:type="dxa"/>
            <w:gridSpan w:val="4"/>
            <w:vAlign w:val="center"/>
          </w:tcPr>
          <w:p w14:paraId="4CDA296C">
            <w:pPr>
              <w:jc w:val="left"/>
              <w:rPr>
                <w:rFonts w:cs="Times New Roman"/>
                <w:szCs w:val="24"/>
                <w:lang w:bidi="ar"/>
              </w:rPr>
            </w:pPr>
            <w:r>
              <w:rPr>
                <w:rFonts w:cs="Times New Roman"/>
                <w:b/>
                <w:bCs/>
                <w:szCs w:val="24"/>
              </w:rPr>
              <w:t xml:space="preserve">6.3.2 </w:t>
            </w:r>
            <w:r>
              <w:rPr>
                <w:rFonts w:cs="Times New Roman"/>
                <w:szCs w:val="24"/>
                <w:lang w:bidi="ar"/>
              </w:rPr>
              <w:t>For stable, remotely residing, or elderly patients: online follow-up for daily management, combined with periodic community follow-up or hospital follow-up for completion of indicator assessments.</w:t>
            </w:r>
          </w:p>
        </w:tc>
      </w:tr>
      <w:bookmarkEnd w:id="2"/>
    </w:tbl>
    <w:p w14:paraId="443BCCA8">
      <w:pPr>
        <w:rPr>
          <w:sz w:val="30"/>
          <w:szCs w:val="30"/>
        </w:rPr>
      </w:pPr>
    </w:p>
    <w:p w14:paraId="452733F4"/>
    <w:p w14:paraId="0C00F933">
      <w:pPr>
        <w:jc w:val="center"/>
        <w:rPr>
          <w:b/>
          <w:bCs/>
          <w:sz w:val="30"/>
          <w:szCs w:val="30"/>
        </w:rPr>
        <w:sectPr>
          <w:pgSz w:w="16838" w:h="11906" w:orient="landscape"/>
          <w:pgMar w:top="1797" w:right="1440" w:bottom="1797" w:left="1440" w:header="851" w:footer="992" w:gutter="0"/>
          <w:cols w:space="425" w:num="1"/>
          <w:docGrid w:type="linesAndChars" w:linePitch="312" w:charSpace="0"/>
        </w:sectPr>
      </w:pPr>
    </w:p>
    <w:p w14:paraId="1C64E00A">
      <w:pPr>
        <w:pStyle w:val="3"/>
        <w:spacing w:before="156" w:after="156"/>
      </w:pPr>
      <w:bookmarkStart w:id="4" w:name="_Toc225442461"/>
      <w:r>
        <w:t>S</w:t>
      </w:r>
      <w:r>
        <w:rPr>
          <w:rFonts w:hint="eastAsia"/>
        </w:rPr>
        <w:t>3</w:t>
      </w:r>
      <w:r>
        <w:t xml:space="preserve">: </w:t>
      </w:r>
      <w:r>
        <w:rPr>
          <w:rFonts w:hint="eastAsia"/>
        </w:rPr>
        <w:t>First</w:t>
      </w:r>
      <w:r>
        <w:t>-round Delphi expert opinions</w:t>
      </w:r>
      <w:bookmarkEnd w:id="4"/>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842"/>
        <w:gridCol w:w="2820"/>
        <w:gridCol w:w="8286"/>
        <w:gridCol w:w="1430"/>
      </w:tblGrid>
      <w:tr w14:paraId="20E7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4F3902F">
            <w:pPr>
              <w:jc w:val="center"/>
              <w:rPr>
                <w:rFonts w:cs="Times New Roman"/>
                <w:szCs w:val="24"/>
                <w:lang w:bidi="ar"/>
              </w:rPr>
            </w:pPr>
            <w:r>
              <w:rPr>
                <w:rFonts w:hint="eastAsia" w:cs="Times New Roman"/>
                <w:szCs w:val="24"/>
                <w:lang w:bidi="ar"/>
              </w:rPr>
              <w:t>No.</w:t>
            </w:r>
          </w:p>
        </w:tc>
        <w:tc>
          <w:tcPr>
            <w:tcW w:w="842" w:type="dxa"/>
          </w:tcPr>
          <w:p w14:paraId="6EEF4FE3">
            <w:pPr>
              <w:jc w:val="center"/>
              <w:rPr>
                <w:rFonts w:cs="Times New Roman"/>
                <w:szCs w:val="24"/>
                <w:lang w:bidi="ar"/>
              </w:rPr>
            </w:pPr>
            <w:r>
              <w:rPr>
                <w:rFonts w:hint="eastAsia" w:cs="Times New Roman"/>
                <w:szCs w:val="24"/>
                <w:lang w:bidi="ar"/>
              </w:rPr>
              <w:t>Items</w:t>
            </w:r>
          </w:p>
        </w:tc>
        <w:tc>
          <w:tcPr>
            <w:tcW w:w="2820" w:type="dxa"/>
          </w:tcPr>
          <w:p w14:paraId="6DD8981F">
            <w:pPr>
              <w:jc w:val="center"/>
              <w:rPr>
                <w:rFonts w:cs="Times New Roman"/>
                <w:szCs w:val="24"/>
                <w:lang w:bidi="ar"/>
              </w:rPr>
            </w:pPr>
            <w:r>
              <w:rPr>
                <w:rFonts w:cs="Times New Roman"/>
                <w:szCs w:val="24"/>
                <w:lang w:bidi="ar"/>
              </w:rPr>
              <w:t xml:space="preserve">Expert </w:t>
            </w:r>
            <w:r>
              <w:rPr>
                <w:rFonts w:hint="eastAsia" w:cs="Times New Roman"/>
                <w:szCs w:val="24"/>
                <w:lang w:bidi="ar"/>
              </w:rPr>
              <w:t>o</w:t>
            </w:r>
            <w:r>
              <w:rPr>
                <w:rFonts w:cs="Times New Roman"/>
                <w:szCs w:val="24"/>
                <w:lang w:bidi="ar"/>
              </w:rPr>
              <w:t>pinion</w:t>
            </w:r>
          </w:p>
        </w:tc>
        <w:tc>
          <w:tcPr>
            <w:tcW w:w="8286" w:type="dxa"/>
          </w:tcPr>
          <w:p w14:paraId="2950C364">
            <w:pPr>
              <w:jc w:val="center"/>
              <w:rPr>
                <w:rFonts w:cs="Times New Roman"/>
                <w:szCs w:val="24"/>
                <w:lang w:bidi="ar"/>
              </w:rPr>
            </w:pPr>
            <w:r>
              <w:rPr>
                <w:rFonts w:cs="Times New Roman"/>
                <w:szCs w:val="24"/>
                <w:lang w:bidi="ar"/>
              </w:rPr>
              <w:t>Research</w:t>
            </w:r>
            <w:r>
              <w:rPr>
                <w:rFonts w:hint="eastAsia" w:cs="Times New Roman"/>
                <w:szCs w:val="24"/>
                <w:lang w:bidi="ar"/>
              </w:rPr>
              <w:t xml:space="preserve"> t</w:t>
            </w:r>
            <w:r>
              <w:rPr>
                <w:rFonts w:cs="Times New Roman"/>
                <w:szCs w:val="24"/>
                <w:lang w:bidi="ar"/>
              </w:rPr>
              <w:t xml:space="preserve">eam </w:t>
            </w:r>
            <w:r>
              <w:rPr>
                <w:rFonts w:hint="eastAsia" w:cs="Times New Roman"/>
                <w:szCs w:val="24"/>
                <w:lang w:bidi="ar"/>
              </w:rPr>
              <w:t>o</w:t>
            </w:r>
            <w:r>
              <w:rPr>
                <w:rFonts w:cs="Times New Roman"/>
                <w:szCs w:val="24"/>
                <w:lang w:bidi="ar"/>
              </w:rPr>
              <w:t>pinion</w:t>
            </w:r>
          </w:p>
        </w:tc>
        <w:tc>
          <w:tcPr>
            <w:tcW w:w="1430" w:type="dxa"/>
          </w:tcPr>
          <w:p w14:paraId="1A649CFC">
            <w:pPr>
              <w:jc w:val="center"/>
              <w:rPr>
                <w:rFonts w:cs="Times New Roman"/>
                <w:szCs w:val="24"/>
                <w:lang w:bidi="ar"/>
              </w:rPr>
            </w:pPr>
            <w:r>
              <w:rPr>
                <w:rFonts w:cs="Times New Roman"/>
                <w:szCs w:val="24"/>
                <w:lang w:bidi="ar"/>
              </w:rPr>
              <w:t>Adopted</w:t>
            </w:r>
          </w:p>
        </w:tc>
      </w:tr>
      <w:tr w14:paraId="272F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164EA40">
            <w:pPr>
              <w:jc w:val="center"/>
              <w:rPr>
                <w:rFonts w:cs="Times New Roman"/>
                <w:szCs w:val="24"/>
              </w:rPr>
            </w:pPr>
            <w:r>
              <w:rPr>
                <w:rFonts w:hint="eastAsia" w:cs="Times New Roman"/>
                <w:szCs w:val="24"/>
              </w:rPr>
              <w:t>1</w:t>
            </w:r>
          </w:p>
        </w:tc>
        <w:tc>
          <w:tcPr>
            <w:tcW w:w="842" w:type="dxa"/>
          </w:tcPr>
          <w:p w14:paraId="777B89A4">
            <w:pPr>
              <w:jc w:val="center"/>
              <w:rPr>
                <w:rFonts w:cs="Times New Roman"/>
                <w:szCs w:val="24"/>
                <w:lang w:bidi="ar"/>
              </w:rPr>
            </w:pPr>
            <w:r>
              <w:rPr>
                <w:rFonts w:hint="eastAsia" w:cs="Times New Roman"/>
                <w:szCs w:val="24"/>
              </w:rPr>
              <w:t>1.1</w:t>
            </w:r>
          </w:p>
        </w:tc>
        <w:tc>
          <w:tcPr>
            <w:tcW w:w="2820" w:type="dxa"/>
          </w:tcPr>
          <w:p w14:paraId="595C4419">
            <w:pPr>
              <w:jc w:val="left"/>
              <w:rPr>
                <w:rFonts w:cs="Times New Roman"/>
                <w:szCs w:val="24"/>
                <w:lang w:bidi="ar"/>
              </w:rPr>
            </w:pPr>
            <w:r>
              <w:rPr>
                <w:rFonts w:cs="Times New Roman"/>
                <w:szCs w:val="24"/>
                <w:lang w:bidi="ar"/>
              </w:rPr>
              <w:t>It is suggested to add traditional Chinese medicine (TCM) physicians and cardiologists. Some minority patients in Tibet prefer TCM treatment.</w:t>
            </w:r>
          </w:p>
        </w:tc>
        <w:tc>
          <w:tcPr>
            <w:tcW w:w="8286" w:type="dxa"/>
          </w:tcPr>
          <w:p w14:paraId="43AD6619">
            <w:pPr>
              <w:jc w:val="left"/>
              <w:rPr>
                <w:rFonts w:cs="Times New Roman"/>
                <w:szCs w:val="24"/>
                <w:lang w:bidi="ar"/>
              </w:rPr>
            </w:pPr>
            <w:r>
              <w:rPr>
                <w:rFonts w:cs="Times New Roman"/>
                <w:szCs w:val="24"/>
                <w:lang w:bidi="ar"/>
              </w:rPr>
              <w:t>PH is essentially a cardiopulmonary comorbidity. The safety boundary of pulmonary rehabilitation, especially exercise rehabilitation, depends on cardiac function and hemodynamic status. Cardiologists have authority in assessing and managing this core issue. TCM has unique value in chronic disease management and the application of traditional exercises, making it particularly suitable for chronic disease rehabilitation in high-altitude areas. However, not all participating medical institutions have well-established TCM departments or integrated TCM and Western medicine conditions. Therefore, TCM physicians are included in the extended team.</w:t>
            </w:r>
          </w:p>
        </w:tc>
        <w:tc>
          <w:tcPr>
            <w:tcW w:w="1430" w:type="dxa"/>
          </w:tcPr>
          <w:p w14:paraId="6E329FF3">
            <w:pPr>
              <w:jc w:val="left"/>
              <w:rPr>
                <w:rFonts w:cs="Times New Roman"/>
                <w:szCs w:val="24"/>
                <w:lang w:bidi="ar"/>
              </w:rPr>
            </w:pPr>
            <w:r>
              <w:rPr>
                <w:rFonts w:cs="Times New Roman"/>
                <w:szCs w:val="24"/>
                <w:lang w:bidi="ar"/>
              </w:rPr>
              <w:t>Adopted</w:t>
            </w:r>
          </w:p>
        </w:tc>
      </w:tr>
      <w:tr w14:paraId="4D09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755606A">
            <w:pPr>
              <w:ind w:left="240" w:hanging="240" w:hangingChars="100"/>
              <w:jc w:val="center"/>
              <w:rPr>
                <w:rFonts w:cs="Times New Roman"/>
                <w:szCs w:val="24"/>
              </w:rPr>
            </w:pPr>
            <w:r>
              <w:rPr>
                <w:rFonts w:hint="eastAsia" w:cs="Times New Roman"/>
                <w:szCs w:val="24"/>
              </w:rPr>
              <w:t>2</w:t>
            </w:r>
          </w:p>
        </w:tc>
        <w:tc>
          <w:tcPr>
            <w:tcW w:w="842" w:type="dxa"/>
          </w:tcPr>
          <w:p w14:paraId="01609B3A">
            <w:pPr>
              <w:jc w:val="center"/>
              <w:rPr>
                <w:rFonts w:cs="Times New Roman"/>
                <w:szCs w:val="24"/>
              </w:rPr>
            </w:pPr>
            <w:r>
              <w:rPr>
                <w:rFonts w:hint="eastAsia" w:cs="Times New Roman"/>
                <w:szCs w:val="24"/>
              </w:rPr>
              <w:t>1.2</w:t>
            </w:r>
          </w:p>
        </w:tc>
        <w:tc>
          <w:tcPr>
            <w:tcW w:w="2820" w:type="dxa"/>
          </w:tcPr>
          <w:p w14:paraId="722FB5F1">
            <w:pPr>
              <w:jc w:val="left"/>
              <w:rPr>
                <w:rFonts w:cs="Times New Roman"/>
                <w:szCs w:val="24"/>
                <w:lang w:bidi="ar"/>
              </w:rPr>
            </w:pPr>
            <w:r>
              <w:rPr>
                <w:rFonts w:cs="Times New Roman"/>
                <w:szCs w:val="24"/>
                <w:lang w:bidi="ar"/>
              </w:rPr>
              <w:t>The description of the 'Personnel Qualifications' section is overly detailed, with some content overlapping with job responsibilities and leaning toward personnel management requirements within healthcare institutions, which does not fall under the core content of a pulmonary rehabilitation program. It is recommended that the personnel qualifications be appropriately condensed and consolidated.</w:t>
            </w:r>
          </w:p>
        </w:tc>
        <w:tc>
          <w:tcPr>
            <w:tcW w:w="8286" w:type="dxa"/>
          </w:tcPr>
          <w:p w14:paraId="2B63CF65">
            <w:pPr>
              <w:jc w:val="left"/>
              <w:rPr>
                <w:rFonts w:cs="Times New Roman"/>
                <w:szCs w:val="24"/>
                <w:lang w:bidi="ar"/>
              </w:rPr>
            </w:pPr>
            <w:r>
              <w:rPr>
                <w:rFonts w:cs="Times New Roman"/>
                <w:szCs w:val="24"/>
                <w:lang w:bidi="ar"/>
              </w:rPr>
              <w:t>The primary focus of a pulmonary rehabilitation program is to define the composition of the multidisciplinary team and the processes of continuous rehabilitation management, rather than specific job entry requirements. Overly detailed descriptions of qualifications may lead to content redundancy and hinder the emphasis on the core elements of the program. Therefore, the personnel qualification items have been integrated and simplified, retaining only the basic professional competency requirements that team members should possess, in order to enhance the conciseness, standardization, and clinical applicability of the program.</w:t>
            </w:r>
          </w:p>
        </w:tc>
        <w:tc>
          <w:tcPr>
            <w:tcW w:w="1430" w:type="dxa"/>
          </w:tcPr>
          <w:p w14:paraId="2F1829D6">
            <w:pPr>
              <w:jc w:val="left"/>
              <w:rPr>
                <w:rFonts w:cs="Times New Roman"/>
                <w:szCs w:val="24"/>
                <w:lang w:bidi="ar"/>
              </w:rPr>
            </w:pPr>
            <w:r>
              <w:rPr>
                <w:rFonts w:cs="Times New Roman"/>
                <w:szCs w:val="24"/>
                <w:lang w:bidi="ar"/>
              </w:rPr>
              <w:t>Adopted</w:t>
            </w:r>
          </w:p>
        </w:tc>
      </w:tr>
      <w:tr w14:paraId="70EF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C79D6F8">
            <w:pPr>
              <w:ind w:left="240" w:hanging="240" w:hangingChars="100"/>
              <w:jc w:val="center"/>
              <w:rPr>
                <w:rFonts w:cs="Times New Roman"/>
                <w:szCs w:val="24"/>
              </w:rPr>
            </w:pPr>
            <w:r>
              <w:rPr>
                <w:rFonts w:hint="eastAsia" w:cs="Times New Roman"/>
                <w:szCs w:val="24"/>
              </w:rPr>
              <w:t>3</w:t>
            </w:r>
          </w:p>
        </w:tc>
        <w:tc>
          <w:tcPr>
            <w:tcW w:w="842" w:type="dxa"/>
          </w:tcPr>
          <w:p w14:paraId="393899D9">
            <w:pPr>
              <w:jc w:val="center"/>
              <w:rPr>
                <w:rFonts w:cs="Times New Roman" w:eastAsiaTheme="minorEastAsia"/>
                <w:szCs w:val="24"/>
                <w:lang w:bidi="ar"/>
              </w:rPr>
            </w:pPr>
            <w:r>
              <w:rPr>
                <w:rFonts w:hint="eastAsia" w:cs="Times New Roman"/>
                <w:szCs w:val="24"/>
              </w:rPr>
              <w:t xml:space="preserve">1.2.7 </w:t>
            </w:r>
            <w:r>
              <w:rPr>
                <w:rFonts w:hint="eastAsia" w:cs="Times New Roman"/>
                <w:szCs w:val="24"/>
                <w:lang w:bidi="ar"/>
              </w:rPr>
              <w:t>and</w:t>
            </w:r>
            <w:r>
              <w:rPr>
                <w:rFonts w:hint="eastAsia" w:cs="Times New Roman"/>
                <w:szCs w:val="24"/>
              </w:rPr>
              <w:t xml:space="preserve"> 1.2.8</w:t>
            </w:r>
          </w:p>
        </w:tc>
        <w:tc>
          <w:tcPr>
            <w:tcW w:w="2820" w:type="dxa"/>
          </w:tcPr>
          <w:p w14:paraId="4B72E4AF">
            <w:pPr>
              <w:jc w:val="left"/>
              <w:rPr>
                <w:rFonts w:cs="Times New Roman"/>
                <w:szCs w:val="24"/>
                <w:lang w:bidi="ar"/>
              </w:rPr>
            </w:pPr>
            <w:r>
              <w:rPr>
                <w:rFonts w:hint="eastAsia" w:cs="Times New Roman"/>
                <w:szCs w:val="24"/>
                <w:lang w:bidi="ar"/>
              </w:rPr>
              <w:t>“</w:t>
            </w:r>
            <w:r>
              <w:rPr>
                <w:rFonts w:cs="Times New Roman"/>
                <w:szCs w:val="24"/>
                <w:lang w:bidi="ar"/>
              </w:rPr>
              <w:t>Patient and family member qualifications” is not an operable requirement and could be deleted.</w:t>
            </w:r>
          </w:p>
        </w:tc>
        <w:tc>
          <w:tcPr>
            <w:tcW w:w="8286" w:type="dxa"/>
          </w:tcPr>
          <w:p w14:paraId="11BBF906">
            <w:pPr>
              <w:jc w:val="left"/>
              <w:rPr>
                <w:rFonts w:cs="Times New Roman"/>
                <w:szCs w:val="24"/>
                <w:lang w:bidi="ar"/>
              </w:rPr>
            </w:pPr>
            <w:r>
              <w:rPr>
                <w:rFonts w:hint="eastAsia" w:cs="Times New Roman"/>
                <w:szCs w:val="24"/>
                <w:lang w:bidi="ar"/>
              </w:rPr>
              <w:t>“</w:t>
            </w:r>
            <w:r>
              <w:rPr>
                <w:rFonts w:cs="Times New Roman"/>
                <w:szCs w:val="24"/>
                <w:lang w:bidi="ar"/>
              </w:rPr>
              <w:t>Qualifications” refers to the professional credentials and capabilities of professionals (physicians, nurses, therapists) that are certified by external authorities or measurable through clear standards (e.g., professional licenses, work experience). The requirements for patients and family members (learning ability, willingness, compassion) are expected attributes and conditions, which cannot be subject to mandatory certification or standardized management in the same way as professional qualifications.</w:t>
            </w:r>
          </w:p>
        </w:tc>
        <w:tc>
          <w:tcPr>
            <w:tcW w:w="1430" w:type="dxa"/>
          </w:tcPr>
          <w:p w14:paraId="734D20C9">
            <w:pPr>
              <w:jc w:val="left"/>
              <w:rPr>
                <w:rFonts w:cs="Times New Roman"/>
                <w:szCs w:val="24"/>
                <w:lang w:bidi="ar"/>
              </w:rPr>
            </w:pPr>
            <w:r>
              <w:rPr>
                <w:rFonts w:cs="Times New Roman"/>
                <w:szCs w:val="24"/>
                <w:lang w:bidi="ar"/>
              </w:rPr>
              <w:t>Adopted</w:t>
            </w:r>
          </w:p>
        </w:tc>
      </w:tr>
      <w:tr w14:paraId="4E3D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70F3052">
            <w:pPr>
              <w:jc w:val="center"/>
              <w:rPr>
                <w:rFonts w:cs="Times New Roman"/>
                <w:sz w:val="22"/>
              </w:rPr>
            </w:pPr>
            <w:bookmarkStart w:id="5" w:name="_Hlk225447441"/>
            <w:r>
              <w:rPr>
                <w:rFonts w:hint="eastAsia" w:cs="Times New Roman"/>
                <w:sz w:val="22"/>
              </w:rPr>
              <w:t>4</w:t>
            </w:r>
          </w:p>
        </w:tc>
        <w:tc>
          <w:tcPr>
            <w:tcW w:w="842" w:type="dxa"/>
          </w:tcPr>
          <w:p w14:paraId="5CBD9606">
            <w:pPr>
              <w:jc w:val="center"/>
              <w:rPr>
                <w:rFonts w:cs="Times New Roman"/>
                <w:szCs w:val="24"/>
                <w:lang w:bidi="ar"/>
              </w:rPr>
            </w:pPr>
            <w:r>
              <w:rPr>
                <w:rFonts w:hint="eastAsia" w:cs="Times New Roman"/>
                <w:sz w:val="22"/>
              </w:rPr>
              <w:t>3.1</w:t>
            </w:r>
          </w:p>
        </w:tc>
        <w:tc>
          <w:tcPr>
            <w:tcW w:w="2820" w:type="dxa"/>
          </w:tcPr>
          <w:p w14:paraId="70315505">
            <w:pPr>
              <w:jc w:val="left"/>
              <w:rPr>
                <w:rFonts w:cs="Times New Roman"/>
                <w:szCs w:val="24"/>
                <w:lang w:bidi="ar"/>
              </w:rPr>
            </w:pPr>
            <w:r>
              <w:rPr>
                <w:rFonts w:cs="Times New Roman"/>
                <w:szCs w:val="24"/>
                <w:lang w:bidi="ar"/>
              </w:rPr>
              <w:t>A progressive, stepwise training approach should be adopted for bedridden patients.</w:t>
            </w:r>
          </w:p>
        </w:tc>
        <w:tc>
          <w:tcPr>
            <w:tcW w:w="8286" w:type="dxa"/>
          </w:tcPr>
          <w:p w14:paraId="2F978FC9">
            <w:pPr>
              <w:jc w:val="left"/>
              <w:rPr>
                <w:rFonts w:cs="Times New Roman"/>
                <w:szCs w:val="24"/>
                <w:lang w:bidi="ar"/>
              </w:rPr>
            </w:pPr>
            <w:r>
              <w:rPr>
                <w:rFonts w:cs="Times New Roman"/>
                <w:szCs w:val="24"/>
                <w:lang w:bidi="ar"/>
              </w:rPr>
              <w:t>The program previously did not consider patients with severe illness and extremely poor functional status who are bedridden. This suggestion upgrades the pulmonary rehabilitation program from “applicable to patients who can ambulate” to “covering the full spectrum of functional status.”</w:t>
            </w:r>
          </w:p>
        </w:tc>
        <w:tc>
          <w:tcPr>
            <w:tcW w:w="1430" w:type="dxa"/>
          </w:tcPr>
          <w:p w14:paraId="6473EC4E">
            <w:pPr>
              <w:rPr>
                <w:rFonts w:cs="Times New Roman"/>
                <w:szCs w:val="24"/>
                <w:lang w:bidi="ar"/>
              </w:rPr>
            </w:pPr>
            <w:r>
              <w:rPr>
                <w:rFonts w:cs="Times New Roman"/>
                <w:szCs w:val="24"/>
                <w:lang w:bidi="ar"/>
              </w:rPr>
              <w:t>Adopted</w:t>
            </w:r>
          </w:p>
        </w:tc>
      </w:tr>
      <w:tr w14:paraId="4999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4C4A3F4">
            <w:pPr>
              <w:jc w:val="center"/>
              <w:rPr>
                <w:rFonts w:cs="Times New Roman"/>
                <w:sz w:val="22"/>
              </w:rPr>
            </w:pPr>
            <w:r>
              <w:rPr>
                <w:rFonts w:hint="eastAsia" w:cs="Times New Roman"/>
                <w:sz w:val="22"/>
              </w:rPr>
              <w:t>5</w:t>
            </w:r>
          </w:p>
        </w:tc>
        <w:tc>
          <w:tcPr>
            <w:tcW w:w="842" w:type="dxa"/>
          </w:tcPr>
          <w:p w14:paraId="26D2981E">
            <w:pPr>
              <w:jc w:val="center"/>
              <w:rPr>
                <w:rFonts w:cs="Times New Roman"/>
                <w:szCs w:val="24"/>
                <w:lang w:bidi="ar"/>
              </w:rPr>
            </w:pPr>
            <w:r>
              <w:rPr>
                <w:rFonts w:hint="eastAsia" w:cs="Times New Roman"/>
                <w:sz w:val="22"/>
              </w:rPr>
              <w:t>3.5</w:t>
            </w:r>
          </w:p>
        </w:tc>
        <w:tc>
          <w:tcPr>
            <w:tcW w:w="2820" w:type="dxa"/>
          </w:tcPr>
          <w:p w14:paraId="78226D85">
            <w:pPr>
              <w:jc w:val="left"/>
              <w:rPr>
                <w:rFonts w:cs="Times New Roman"/>
                <w:szCs w:val="24"/>
                <w:lang w:bidi="ar"/>
              </w:rPr>
            </w:pPr>
            <w:r>
              <w:rPr>
                <w:rFonts w:cs="Times New Roman"/>
                <w:szCs w:val="24"/>
                <w:lang w:bidi="ar"/>
              </w:rPr>
              <w:t>It is suggested to add “Borg score” as an auxiliary indicator of exercise intensity.</w:t>
            </w:r>
          </w:p>
        </w:tc>
        <w:tc>
          <w:tcPr>
            <w:tcW w:w="8286" w:type="dxa"/>
          </w:tcPr>
          <w:p w14:paraId="5BD0711D">
            <w:pPr>
              <w:jc w:val="left"/>
              <w:rPr>
                <w:rFonts w:cs="Times New Roman"/>
                <w:szCs w:val="24"/>
                <w:lang w:bidi="ar"/>
              </w:rPr>
            </w:pPr>
            <w:r>
              <w:rPr>
                <w:rFonts w:cs="Times New Roman"/>
                <w:szCs w:val="24"/>
                <w:lang w:bidi="ar"/>
              </w:rPr>
              <w:t>Using an appropriate Borg score range based on the patient’s disease severity as an auxiliary indicator complements objective physiological indicators (heart rate, oxygen consumption), making intensity monitoring more comprehensive and individualized. This should be added to the description of aerobic exercise intensity for each risk level to ensure a more thorough intensity assessment.</w:t>
            </w:r>
          </w:p>
        </w:tc>
        <w:tc>
          <w:tcPr>
            <w:tcW w:w="1430" w:type="dxa"/>
          </w:tcPr>
          <w:p w14:paraId="669051A8">
            <w:pPr>
              <w:rPr>
                <w:rFonts w:cs="Times New Roman"/>
                <w:szCs w:val="24"/>
                <w:lang w:bidi="ar"/>
              </w:rPr>
            </w:pPr>
            <w:r>
              <w:rPr>
                <w:rFonts w:cs="Times New Roman"/>
                <w:szCs w:val="24"/>
                <w:lang w:bidi="ar"/>
              </w:rPr>
              <w:t>Adopted</w:t>
            </w:r>
          </w:p>
        </w:tc>
      </w:tr>
      <w:bookmarkEnd w:id="5"/>
      <w:tr w14:paraId="6244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F9D1C93">
            <w:pPr>
              <w:jc w:val="center"/>
              <w:rPr>
                <w:rFonts w:cs="Times New Roman"/>
                <w:sz w:val="22"/>
              </w:rPr>
            </w:pPr>
            <w:r>
              <w:rPr>
                <w:rFonts w:hint="eastAsia" w:cs="Times New Roman"/>
                <w:sz w:val="22"/>
              </w:rPr>
              <w:t>6</w:t>
            </w:r>
          </w:p>
        </w:tc>
        <w:tc>
          <w:tcPr>
            <w:tcW w:w="842" w:type="dxa"/>
          </w:tcPr>
          <w:p w14:paraId="695DE9F3">
            <w:pPr>
              <w:jc w:val="center"/>
            </w:pPr>
            <w:r>
              <w:rPr>
                <w:rFonts w:hint="eastAsia" w:cs="Times New Roman"/>
                <w:sz w:val="22"/>
              </w:rPr>
              <w:t>3.5</w:t>
            </w:r>
          </w:p>
        </w:tc>
        <w:tc>
          <w:tcPr>
            <w:tcW w:w="2820" w:type="dxa"/>
          </w:tcPr>
          <w:p w14:paraId="52E4F21B">
            <w:pPr>
              <w:jc w:val="left"/>
            </w:pPr>
            <w:r>
              <w:rPr>
                <w:rFonts w:cs="Times New Roman"/>
                <w:szCs w:val="24"/>
                <w:lang w:bidi="ar"/>
              </w:rPr>
              <w:t>VO₂max measurement can only be performed in hospitals and is not feasible for home-based exercise.</w:t>
            </w:r>
          </w:p>
        </w:tc>
        <w:tc>
          <w:tcPr>
            <w:tcW w:w="8286" w:type="dxa"/>
          </w:tcPr>
          <w:p w14:paraId="3428E60D">
            <w:pPr>
              <w:jc w:val="left"/>
              <w:rPr>
                <w:rFonts w:cs="Times New Roman"/>
                <w:szCs w:val="24"/>
                <w:lang w:bidi="ar"/>
              </w:rPr>
            </w:pPr>
            <w:r>
              <w:rPr>
                <w:rFonts w:cs="Times New Roman"/>
                <w:szCs w:val="24"/>
                <w:lang w:bidi="ar"/>
              </w:rPr>
              <w:t>VO₂max is the gold standard for assessing cardiopulmonary function and prescribing exercise intensity; removing it would weaken the scientific basis of the program. Considering the expert’s concern about feasibility for home-based implementation, we adopted this practical consideration. The program specifies that for home-based rehabilitation, the heart rate reserve (HRR) method combined with the Borg Rating of Perceived Exertion scale should be used as the primary monitoring tools, while VO₂max is retained as a gold standard for hospital-based assessment.</w:t>
            </w:r>
          </w:p>
        </w:tc>
        <w:tc>
          <w:tcPr>
            <w:tcW w:w="1430" w:type="dxa"/>
          </w:tcPr>
          <w:p w14:paraId="200E5E4F">
            <w:pPr>
              <w:rPr>
                <w:rFonts w:cs="Times New Roman"/>
                <w:szCs w:val="24"/>
                <w:lang w:bidi="ar"/>
              </w:rPr>
            </w:pPr>
            <w:r>
              <w:rPr>
                <w:rFonts w:cs="Times New Roman"/>
                <w:szCs w:val="24"/>
                <w:lang w:bidi="ar"/>
              </w:rPr>
              <w:t xml:space="preserve">Partially </w:t>
            </w:r>
            <w:r>
              <w:rPr>
                <w:rFonts w:hint="eastAsia" w:cs="Times New Roman"/>
                <w:szCs w:val="24"/>
                <w:lang w:bidi="ar"/>
              </w:rPr>
              <w:t>a</w:t>
            </w:r>
            <w:r>
              <w:rPr>
                <w:rFonts w:cs="Times New Roman"/>
                <w:szCs w:val="24"/>
                <w:lang w:bidi="ar"/>
              </w:rPr>
              <w:t>dopted</w:t>
            </w:r>
            <w:r>
              <w:rPr>
                <w:rFonts w:ascii="Segoe UI" w:hAnsi="Segoe UI" w:cs="Segoe UI"/>
                <w:color w:val="0F1115"/>
                <w:sz w:val="23"/>
                <w:szCs w:val="23"/>
                <w:shd w:val="clear" w:color="auto" w:fill="FFFFFF"/>
              </w:rPr>
              <w:t xml:space="preserve"> </w:t>
            </w:r>
            <w:r>
              <w:rPr>
                <w:rFonts w:cs="Times New Roman"/>
                <w:szCs w:val="24"/>
                <w:lang w:bidi="ar"/>
              </w:rPr>
              <w:t>(with adjusted formulation)</w:t>
            </w:r>
          </w:p>
        </w:tc>
      </w:tr>
      <w:tr w14:paraId="6A1F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526A679">
            <w:pPr>
              <w:jc w:val="center"/>
              <w:rPr>
                <w:rFonts w:cs="Times New Roman"/>
                <w:sz w:val="22"/>
              </w:rPr>
            </w:pPr>
            <w:r>
              <w:rPr>
                <w:rFonts w:hint="eastAsia" w:cs="Times New Roman"/>
                <w:sz w:val="22"/>
              </w:rPr>
              <w:t>7</w:t>
            </w:r>
          </w:p>
        </w:tc>
        <w:tc>
          <w:tcPr>
            <w:tcW w:w="842" w:type="dxa"/>
          </w:tcPr>
          <w:p w14:paraId="36CD2A8D">
            <w:pPr>
              <w:jc w:val="center"/>
              <w:rPr>
                <w:rFonts w:eastAsiaTheme="minorEastAsia"/>
              </w:rPr>
            </w:pPr>
            <w:r>
              <w:rPr>
                <w:rFonts w:hint="eastAsia" w:cs="Times New Roman"/>
                <w:sz w:val="22"/>
              </w:rPr>
              <w:t>3.6 and 3.7</w:t>
            </w:r>
          </w:p>
        </w:tc>
        <w:tc>
          <w:tcPr>
            <w:tcW w:w="2820" w:type="dxa"/>
          </w:tcPr>
          <w:p w14:paraId="77E63EB5">
            <w:pPr>
              <w:jc w:val="left"/>
            </w:pPr>
            <w:r>
              <w:t>It is suggested to combine and streamline the two items.</w:t>
            </w:r>
          </w:p>
        </w:tc>
        <w:tc>
          <w:tcPr>
            <w:tcW w:w="8286" w:type="dxa"/>
          </w:tcPr>
          <w:p w14:paraId="57009DA3">
            <w:pPr>
              <w:jc w:val="left"/>
              <w:rPr>
                <w:rFonts w:cs="Times New Roman"/>
                <w:szCs w:val="24"/>
                <w:lang w:bidi="ar"/>
              </w:rPr>
            </w:pPr>
            <w:r>
              <w:rPr>
                <w:rFonts w:cs="Times New Roman"/>
                <w:szCs w:val="24"/>
                <w:lang w:bidi="ar"/>
              </w:rPr>
              <w:t>The precautions section covers continuous monitoring and preventive guidance during exercise, whereas the indications for suspension are termination criteria for specific circumstances. Currently, some content indeed has a progressive relationship, and combining them can enhance the conciseness and logical coherence of the program.</w:t>
            </w:r>
          </w:p>
        </w:tc>
        <w:tc>
          <w:tcPr>
            <w:tcW w:w="1430" w:type="dxa"/>
          </w:tcPr>
          <w:p w14:paraId="4DAC6808">
            <w:pPr>
              <w:rPr>
                <w:rFonts w:cs="Times New Roman"/>
                <w:szCs w:val="24"/>
                <w:lang w:bidi="ar"/>
              </w:rPr>
            </w:pPr>
            <w:r>
              <w:rPr>
                <w:rFonts w:cs="Times New Roman"/>
                <w:szCs w:val="24"/>
                <w:lang w:bidi="ar"/>
              </w:rPr>
              <w:t>Adopted</w:t>
            </w:r>
          </w:p>
        </w:tc>
      </w:tr>
      <w:tr w14:paraId="7E5F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1B01AE0">
            <w:pPr>
              <w:jc w:val="center"/>
              <w:rPr>
                <w:rFonts w:cs="Times New Roman"/>
                <w:sz w:val="22"/>
              </w:rPr>
            </w:pPr>
            <w:r>
              <w:rPr>
                <w:rFonts w:hint="eastAsia" w:cs="Times New Roman"/>
                <w:sz w:val="22"/>
              </w:rPr>
              <w:t>8</w:t>
            </w:r>
          </w:p>
        </w:tc>
        <w:tc>
          <w:tcPr>
            <w:tcW w:w="842" w:type="dxa"/>
          </w:tcPr>
          <w:p w14:paraId="3C03FCC2">
            <w:pPr>
              <w:jc w:val="center"/>
              <w:rPr>
                <w:rFonts w:eastAsiaTheme="minorEastAsia"/>
              </w:rPr>
            </w:pPr>
            <w:r>
              <w:rPr>
                <w:rFonts w:hint="eastAsia" w:cs="Times New Roman"/>
                <w:sz w:val="22"/>
              </w:rPr>
              <w:t>3.8</w:t>
            </w:r>
          </w:p>
        </w:tc>
        <w:tc>
          <w:tcPr>
            <w:tcW w:w="2820" w:type="dxa"/>
          </w:tcPr>
          <w:p w14:paraId="00048236">
            <w:pPr>
              <w:jc w:val="left"/>
            </w:pPr>
            <w:r>
              <w:t>Altitude varies greatly in plateau regions; can a reference correction coefficient be provided?</w:t>
            </w:r>
          </w:p>
        </w:tc>
        <w:tc>
          <w:tcPr>
            <w:tcW w:w="8286" w:type="dxa"/>
          </w:tcPr>
          <w:p w14:paraId="4803FC07">
            <w:pPr>
              <w:jc w:val="left"/>
              <w:rPr>
                <w:rFonts w:cs="Times New Roman"/>
                <w:szCs w:val="24"/>
                <w:lang w:bidi="ar"/>
              </w:rPr>
            </w:pPr>
            <w:r>
              <w:rPr>
                <w:rFonts w:cs="Times New Roman"/>
                <w:szCs w:val="24"/>
                <w:lang w:bidi="ar"/>
              </w:rPr>
              <w:t>A systematic literature review revealed that no universally applicable altitude–exercise intensity correction formula for pulmonary rehabilitation in patients with pulmonary hypertension has been established internationally. The initial plan proposed a single adjustment coefficient (a 20% reduction in exercise intensity and duration for every additional 1000 meters in altitude), which was derived from preliminary discussions among the research team based on high-altitude exercise physiology principles. However, this single-coefficient approach failed to consider the differences in hypoxic stress and physiological adaptation across different altitude intervals, leading to insufficient clinical operability. To address this, we further refined the adjustment strategy through in-depth re-discussions among the multidisciplinary research team (covering respiratory, cardiovascular, and rehabilitation fields), defining recommended percentage ranges for reducing exercise intensity and duration at different altitude intervals (2500–3000 m, 3000–4000 m). This refinement is an optimized clarification of the initial team-discussed coefficient, rather than a new adjustment standard, ensuring better adaptation to the actual altitude differences in the Qinghai-Tibet Plateau. It is emphasized that all numerical adjustments must adhere to the overarching safety principle of “not causing significant discomfort to the patient,” and individualized fine-tuning should be performed based on the patient’s real-time responses during implementation.</w:t>
            </w:r>
          </w:p>
        </w:tc>
        <w:tc>
          <w:tcPr>
            <w:tcW w:w="1430" w:type="dxa"/>
          </w:tcPr>
          <w:p w14:paraId="5BE86B0A">
            <w:pPr>
              <w:rPr>
                <w:rFonts w:cs="Times New Roman"/>
                <w:szCs w:val="24"/>
                <w:lang w:bidi="ar"/>
              </w:rPr>
            </w:pPr>
            <w:r>
              <w:rPr>
                <w:rFonts w:cs="Times New Roman"/>
                <w:szCs w:val="24"/>
                <w:lang w:bidi="ar"/>
              </w:rPr>
              <w:t>Partially Adopted (with adjusted formulation)</w:t>
            </w:r>
          </w:p>
        </w:tc>
      </w:tr>
      <w:tr w14:paraId="384C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805F49C">
            <w:pPr>
              <w:jc w:val="center"/>
              <w:rPr>
                <w:rFonts w:cs="Times New Roman"/>
                <w:sz w:val="22"/>
              </w:rPr>
            </w:pPr>
            <w:r>
              <w:rPr>
                <w:rFonts w:hint="eastAsia" w:cs="Times New Roman"/>
                <w:sz w:val="22"/>
              </w:rPr>
              <w:t>9</w:t>
            </w:r>
          </w:p>
        </w:tc>
        <w:tc>
          <w:tcPr>
            <w:tcW w:w="842" w:type="dxa"/>
          </w:tcPr>
          <w:p w14:paraId="0785D96B">
            <w:pPr>
              <w:jc w:val="center"/>
              <w:rPr>
                <w:rFonts w:cs="Times New Roman"/>
                <w:szCs w:val="24"/>
                <w:lang w:bidi="ar"/>
              </w:rPr>
            </w:pPr>
            <w:r>
              <w:rPr>
                <w:rFonts w:hint="eastAsia" w:cs="Times New Roman"/>
                <w:lang w:bidi="ar"/>
              </w:rPr>
              <w:t>3</w:t>
            </w:r>
          </w:p>
        </w:tc>
        <w:tc>
          <w:tcPr>
            <w:tcW w:w="2820" w:type="dxa"/>
          </w:tcPr>
          <w:p w14:paraId="34F2A20F">
            <w:pPr>
              <w:jc w:val="left"/>
              <w:rPr>
                <w:rFonts w:cs="Times New Roman"/>
                <w:szCs w:val="24"/>
                <w:lang w:bidi="ar"/>
              </w:rPr>
            </w:pPr>
            <w:r>
              <w:rPr>
                <w:rFonts w:cs="Times New Roman"/>
                <w:szCs w:val="24"/>
                <w:lang w:bidi="ar"/>
              </w:rPr>
              <w:t>Add “warm-up and cool-down” content to prevent exercise-related injuries and abrupt hemodynamic changes.</w:t>
            </w:r>
          </w:p>
        </w:tc>
        <w:tc>
          <w:tcPr>
            <w:tcW w:w="8286" w:type="dxa"/>
          </w:tcPr>
          <w:p w14:paraId="5B3FD82A">
            <w:pPr>
              <w:jc w:val="left"/>
              <w:rPr>
                <w:rFonts w:cs="Times New Roman"/>
                <w:szCs w:val="24"/>
                <w:lang w:bidi="ar"/>
              </w:rPr>
            </w:pPr>
            <w:r>
              <w:rPr>
                <w:rFonts w:cs="Times New Roman"/>
                <w:szCs w:val="24"/>
                <w:lang w:bidi="ar"/>
              </w:rPr>
              <w:t>In high-altitude hypoxic environments, the cardiovascular system is more susceptible to sudden changes. Clear warm-up and cool-down procedures are essential for ensuring patient safety and improving the structure of the exercise prescription.</w:t>
            </w:r>
          </w:p>
        </w:tc>
        <w:tc>
          <w:tcPr>
            <w:tcW w:w="1430" w:type="dxa"/>
          </w:tcPr>
          <w:p w14:paraId="3B549E5F">
            <w:pPr>
              <w:rPr>
                <w:rFonts w:cs="Times New Roman"/>
                <w:szCs w:val="24"/>
                <w:lang w:bidi="ar"/>
              </w:rPr>
            </w:pPr>
            <w:r>
              <w:rPr>
                <w:rFonts w:cs="Times New Roman"/>
                <w:szCs w:val="24"/>
                <w:lang w:bidi="ar"/>
              </w:rPr>
              <w:t>Adopted</w:t>
            </w:r>
          </w:p>
        </w:tc>
      </w:tr>
      <w:tr w14:paraId="5DE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89362A4">
            <w:pPr>
              <w:jc w:val="center"/>
              <w:rPr>
                <w:rFonts w:cs="Times New Roman"/>
                <w:sz w:val="22"/>
              </w:rPr>
            </w:pPr>
            <w:r>
              <w:rPr>
                <w:rFonts w:hint="eastAsia" w:cs="Times New Roman"/>
                <w:sz w:val="22"/>
              </w:rPr>
              <w:t>10</w:t>
            </w:r>
          </w:p>
        </w:tc>
        <w:tc>
          <w:tcPr>
            <w:tcW w:w="842" w:type="dxa"/>
          </w:tcPr>
          <w:p w14:paraId="793C2888">
            <w:pPr>
              <w:jc w:val="center"/>
            </w:pPr>
            <w:r>
              <w:rPr>
                <w:rFonts w:hint="eastAsia" w:cs="Times New Roman"/>
                <w:sz w:val="22"/>
              </w:rPr>
              <w:t>4.3</w:t>
            </w:r>
          </w:p>
        </w:tc>
        <w:tc>
          <w:tcPr>
            <w:tcW w:w="2820" w:type="dxa"/>
          </w:tcPr>
          <w:p w14:paraId="13EBEC62">
            <w:pPr>
              <w:jc w:val="left"/>
            </w:pPr>
            <w:r>
              <w:t>Some content is too detailed (e.g., macronutrient ratios) and may be difficult to implement uniformly in a rehabilitation program. It is recommended to retain only the most essential and universally applicable suggestions.</w:t>
            </w:r>
          </w:p>
        </w:tc>
        <w:tc>
          <w:tcPr>
            <w:tcW w:w="8286" w:type="dxa"/>
          </w:tcPr>
          <w:p w14:paraId="5CD8328F">
            <w:pPr>
              <w:jc w:val="left"/>
            </w:pPr>
            <w:r>
              <w:t>Overly detailed nutritional ratios may compromise the clarity, focus, and feasibility of the program in clinical practice. Therefore, only the most core and broadly applicable recommendations are retained to ensure the program remains suitable for all levels of healthcare institutions.</w:t>
            </w:r>
          </w:p>
        </w:tc>
        <w:tc>
          <w:tcPr>
            <w:tcW w:w="1430" w:type="dxa"/>
          </w:tcPr>
          <w:p w14:paraId="6D18724F">
            <w:pPr>
              <w:rPr>
                <w:rFonts w:cs="Times New Roman"/>
                <w:szCs w:val="24"/>
                <w:lang w:bidi="ar"/>
              </w:rPr>
            </w:pPr>
            <w:r>
              <w:rPr>
                <w:rFonts w:cs="Times New Roman"/>
                <w:szCs w:val="24"/>
                <w:lang w:bidi="ar"/>
              </w:rPr>
              <w:t>Adopted</w:t>
            </w:r>
          </w:p>
        </w:tc>
      </w:tr>
      <w:tr w14:paraId="6CE2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5AAEBC8">
            <w:pPr>
              <w:jc w:val="center"/>
              <w:rPr>
                <w:rFonts w:cs="Times New Roman"/>
                <w:sz w:val="22"/>
              </w:rPr>
            </w:pPr>
            <w:r>
              <w:rPr>
                <w:rFonts w:hint="eastAsia" w:cs="Times New Roman"/>
                <w:sz w:val="22"/>
              </w:rPr>
              <w:t>11</w:t>
            </w:r>
          </w:p>
        </w:tc>
        <w:tc>
          <w:tcPr>
            <w:tcW w:w="842" w:type="dxa"/>
          </w:tcPr>
          <w:p w14:paraId="692455D5">
            <w:pPr>
              <w:jc w:val="center"/>
            </w:pPr>
            <w:r>
              <w:rPr>
                <w:rFonts w:hint="eastAsia" w:cs="Times New Roman"/>
                <w:sz w:val="22"/>
              </w:rPr>
              <w:t>4</w:t>
            </w:r>
          </w:p>
        </w:tc>
        <w:tc>
          <w:tcPr>
            <w:tcW w:w="2820" w:type="dxa"/>
          </w:tcPr>
          <w:p w14:paraId="31FDC816">
            <w:pPr>
              <w:jc w:val="left"/>
            </w:pPr>
            <w:r>
              <w:t>Patients with</w:t>
            </w:r>
            <w:r>
              <w:rPr>
                <w:rFonts w:hint="eastAsia"/>
              </w:rPr>
              <w:t xml:space="preserve"> PH</w:t>
            </w:r>
            <w:r>
              <w:t xml:space="preserve"> require long-term standardized medication. It is suggested to add an item on medication management and adherence education.</w:t>
            </w:r>
          </w:p>
        </w:tc>
        <w:tc>
          <w:tcPr>
            <w:tcW w:w="8286" w:type="dxa"/>
          </w:tcPr>
          <w:p w14:paraId="6FF1C98F">
            <w:pPr>
              <w:jc w:val="left"/>
              <w:rPr>
                <w:rFonts w:cs="Times New Roman"/>
                <w:szCs w:val="24"/>
                <w:lang w:bidi="ar"/>
              </w:rPr>
            </w:pPr>
            <w:r>
              <w:rPr>
                <w:rFonts w:cs="Times New Roman"/>
                <w:szCs w:val="24"/>
                <w:lang w:bidi="ar"/>
              </w:rPr>
              <w:t xml:space="preserve">Medication management is the cornerstone of </w:t>
            </w:r>
            <w:r>
              <w:rPr>
                <w:rFonts w:hint="eastAsia" w:cs="Times New Roman"/>
                <w:szCs w:val="24"/>
                <w:lang w:bidi="ar"/>
              </w:rPr>
              <w:t xml:space="preserve">PH </w:t>
            </w:r>
            <w:r>
              <w:rPr>
                <w:rFonts w:cs="Times New Roman"/>
                <w:szCs w:val="24"/>
                <w:lang w:bidi="ar"/>
              </w:rPr>
              <w:t>treatment. Its standardization and adherence directly determine patient survival and quality of life. Incorporating this into the rehabilitation education system is critical to the scientific validity and completeness of the program.</w:t>
            </w:r>
          </w:p>
        </w:tc>
        <w:tc>
          <w:tcPr>
            <w:tcW w:w="1430" w:type="dxa"/>
          </w:tcPr>
          <w:p w14:paraId="29CE5D6D">
            <w:pPr>
              <w:rPr>
                <w:rFonts w:cs="Times New Roman"/>
                <w:szCs w:val="24"/>
                <w:lang w:bidi="ar"/>
              </w:rPr>
            </w:pPr>
            <w:r>
              <w:rPr>
                <w:rFonts w:cs="Times New Roman"/>
                <w:szCs w:val="24"/>
                <w:lang w:bidi="ar"/>
              </w:rPr>
              <w:t>Adopted</w:t>
            </w:r>
          </w:p>
        </w:tc>
      </w:tr>
      <w:tr w14:paraId="433E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548AD13">
            <w:pPr>
              <w:jc w:val="center"/>
              <w:rPr>
                <w:rFonts w:cs="Times New Roman"/>
                <w:sz w:val="22"/>
              </w:rPr>
            </w:pPr>
            <w:r>
              <w:rPr>
                <w:rFonts w:hint="eastAsia" w:cs="Times New Roman"/>
                <w:sz w:val="22"/>
              </w:rPr>
              <w:t>12</w:t>
            </w:r>
          </w:p>
        </w:tc>
        <w:tc>
          <w:tcPr>
            <w:tcW w:w="842" w:type="dxa"/>
          </w:tcPr>
          <w:p w14:paraId="60248273">
            <w:pPr>
              <w:jc w:val="center"/>
            </w:pPr>
            <w:r>
              <w:rPr>
                <w:rFonts w:hint="eastAsia" w:cs="Times New Roman"/>
                <w:sz w:val="22"/>
              </w:rPr>
              <w:t>4</w:t>
            </w:r>
          </w:p>
        </w:tc>
        <w:tc>
          <w:tcPr>
            <w:tcW w:w="2820" w:type="dxa"/>
          </w:tcPr>
          <w:p w14:paraId="73AD59BB">
            <w:pPr>
              <w:jc w:val="left"/>
            </w:pPr>
            <w:r>
              <w:rPr>
                <w:rFonts w:cs="Times New Roman"/>
                <w:szCs w:val="24"/>
                <w:lang w:bidi="ar"/>
              </w:rPr>
              <w:t>Add lifestyle guidance.</w:t>
            </w:r>
          </w:p>
        </w:tc>
        <w:tc>
          <w:tcPr>
            <w:tcW w:w="8286" w:type="dxa"/>
          </w:tcPr>
          <w:p w14:paraId="5C58409C">
            <w:pPr>
              <w:jc w:val="left"/>
              <w:rPr>
                <w:rFonts w:cs="Times New Roman"/>
                <w:szCs w:val="24"/>
                <w:lang w:bidi="ar"/>
              </w:rPr>
            </w:pPr>
            <w:r>
              <w:rPr>
                <w:rFonts w:cs="Times New Roman"/>
                <w:szCs w:val="24"/>
                <w:lang w:bidi="ar"/>
              </w:rPr>
              <w:t xml:space="preserve">Patients with </w:t>
            </w:r>
            <w:r>
              <w:rPr>
                <w:rFonts w:hint="eastAsia" w:cs="Times New Roman"/>
                <w:szCs w:val="24"/>
                <w:lang w:bidi="ar"/>
              </w:rPr>
              <w:t xml:space="preserve">PH </w:t>
            </w:r>
            <w:r>
              <w:rPr>
                <w:rFonts w:cs="Times New Roman"/>
                <w:szCs w:val="24"/>
                <w:lang w:bidi="ar"/>
              </w:rPr>
              <w:t>often experience fatigue and dyspnea, which directly affect their daily routines, sleep, and social participation.</w:t>
            </w:r>
          </w:p>
        </w:tc>
        <w:tc>
          <w:tcPr>
            <w:tcW w:w="1430" w:type="dxa"/>
          </w:tcPr>
          <w:p w14:paraId="40B38D3E">
            <w:pPr>
              <w:rPr>
                <w:rFonts w:cs="Times New Roman"/>
                <w:szCs w:val="24"/>
                <w:lang w:bidi="ar"/>
              </w:rPr>
            </w:pPr>
            <w:r>
              <w:rPr>
                <w:rFonts w:cs="Times New Roman"/>
                <w:szCs w:val="24"/>
                <w:lang w:bidi="ar"/>
              </w:rPr>
              <w:t>Adopted</w:t>
            </w:r>
          </w:p>
        </w:tc>
      </w:tr>
      <w:tr w14:paraId="1546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BB2DD65">
            <w:pPr>
              <w:jc w:val="center"/>
              <w:rPr>
                <w:rFonts w:cs="Times New Roman"/>
                <w:sz w:val="22"/>
              </w:rPr>
            </w:pPr>
            <w:r>
              <w:rPr>
                <w:rFonts w:hint="eastAsia" w:cs="Times New Roman"/>
                <w:sz w:val="22"/>
              </w:rPr>
              <w:t>13</w:t>
            </w:r>
          </w:p>
        </w:tc>
        <w:tc>
          <w:tcPr>
            <w:tcW w:w="842" w:type="dxa"/>
          </w:tcPr>
          <w:p w14:paraId="27E44ADA">
            <w:pPr>
              <w:jc w:val="center"/>
            </w:pPr>
            <w:r>
              <w:rPr>
                <w:rFonts w:hint="eastAsia" w:cs="Times New Roman"/>
                <w:sz w:val="22"/>
              </w:rPr>
              <w:t>4</w:t>
            </w:r>
          </w:p>
        </w:tc>
        <w:tc>
          <w:tcPr>
            <w:tcW w:w="2820" w:type="dxa"/>
          </w:tcPr>
          <w:p w14:paraId="7C185AE5">
            <w:pPr>
              <w:jc w:val="left"/>
            </w:pPr>
            <w:r>
              <w:t>In health education, oxygen therapy and nutritional guidance should be listed as first-level items.</w:t>
            </w:r>
          </w:p>
        </w:tc>
        <w:tc>
          <w:tcPr>
            <w:tcW w:w="8286" w:type="dxa"/>
          </w:tcPr>
          <w:p w14:paraId="4D63EAE4">
            <w:pPr>
              <w:jc w:val="left"/>
              <w:rPr>
                <w:rFonts w:cs="Times New Roman"/>
                <w:szCs w:val="24"/>
                <w:lang w:bidi="ar"/>
              </w:rPr>
            </w:pPr>
            <w:r>
              <w:rPr>
                <w:rFonts w:hint="eastAsia" w:cs="Times New Roman"/>
                <w:szCs w:val="24"/>
                <w:lang w:bidi="ar"/>
              </w:rPr>
              <w:t>The current six first-level items form a complete and clear rehabilitation process loop: “who delivers (team) → what to assess first (assessment) → core intervention (exercise) → supporting knowledge (education) → psychological support (psychosocial) → lon</w:t>
            </w:r>
            <w:r>
              <w:rPr>
                <w:rFonts w:cs="Times New Roman"/>
                <w:szCs w:val="24"/>
                <w:lang w:bidi="ar"/>
              </w:rPr>
              <w:t>g-term management (follow-up).” Separating oxygen therapy and nutritional guidance from health education and elevating them to the same level as exercise prescription or psychological support would disrupt this logic, making the first-level items overly complex and inconsistent in classification.</w:t>
            </w:r>
          </w:p>
        </w:tc>
        <w:tc>
          <w:tcPr>
            <w:tcW w:w="1430" w:type="dxa"/>
          </w:tcPr>
          <w:p w14:paraId="0D3715A8">
            <w:pPr>
              <w:rPr>
                <w:rFonts w:cs="Times New Roman"/>
                <w:szCs w:val="24"/>
                <w:lang w:bidi="ar"/>
              </w:rPr>
            </w:pPr>
            <w:r>
              <w:rPr>
                <w:rFonts w:cs="Times New Roman"/>
                <w:szCs w:val="24"/>
                <w:lang w:bidi="ar"/>
              </w:rPr>
              <w:t xml:space="preserve">Not </w:t>
            </w:r>
            <w:r>
              <w:rPr>
                <w:rFonts w:hint="eastAsia" w:cs="Times New Roman"/>
                <w:szCs w:val="24"/>
                <w:lang w:bidi="ar"/>
              </w:rPr>
              <w:t>a</w:t>
            </w:r>
            <w:r>
              <w:rPr>
                <w:rFonts w:cs="Times New Roman"/>
                <w:szCs w:val="24"/>
                <w:lang w:bidi="ar"/>
              </w:rPr>
              <w:t>dopted</w:t>
            </w:r>
          </w:p>
        </w:tc>
      </w:tr>
      <w:tr w14:paraId="4747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D8CC245">
            <w:pPr>
              <w:jc w:val="center"/>
              <w:rPr>
                <w:rFonts w:cs="Times New Roman"/>
                <w:sz w:val="22"/>
              </w:rPr>
            </w:pPr>
            <w:r>
              <w:rPr>
                <w:rFonts w:hint="eastAsia" w:cs="Times New Roman"/>
                <w:sz w:val="22"/>
              </w:rPr>
              <w:t>14</w:t>
            </w:r>
          </w:p>
        </w:tc>
        <w:tc>
          <w:tcPr>
            <w:tcW w:w="842" w:type="dxa"/>
          </w:tcPr>
          <w:p w14:paraId="2C059D7F">
            <w:pPr>
              <w:jc w:val="center"/>
            </w:pPr>
            <w:r>
              <w:rPr>
                <w:rFonts w:hint="eastAsia" w:cs="Times New Roman"/>
                <w:sz w:val="22"/>
              </w:rPr>
              <w:t>5</w:t>
            </w:r>
          </w:p>
        </w:tc>
        <w:tc>
          <w:tcPr>
            <w:tcW w:w="2820" w:type="dxa"/>
          </w:tcPr>
          <w:p w14:paraId="6E77CF1A">
            <w:pPr>
              <w:jc w:val="left"/>
            </w:pPr>
            <w:r>
              <w:rPr>
                <w:rFonts w:cs="Times New Roman"/>
                <w:szCs w:val="24"/>
                <w:lang w:bidi="ar"/>
              </w:rPr>
              <w:t>Add “coping strategies training” content, which could include physical interventions such as transcranial magnetic stimulation, acupuncture, music therapy, etc.</w:t>
            </w:r>
          </w:p>
        </w:tc>
        <w:tc>
          <w:tcPr>
            <w:tcW w:w="8286" w:type="dxa"/>
          </w:tcPr>
          <w:p w14:paraId="0550FA9B">
            <w:pPr>
              <w:jc w:val="left"/>
              <w:rPr>
                <w:rFonts w:cs="Times New Roman"/>
                <w:szCs w:val="24"/>
                <w:lang w:bidi="ar"/>
              </w:rPr>
            </w:pPr>
            <w:r>
              <w:rPr>
                <w:rFonts w:hint="eastAsia" w:cs="Times New Roman"/>
                <w:szCs w:val="24"/>
                <w:lang w:bidi="ar"/>
              </w:rPr>
              <w:t>“</w:t>
            </w:r>
            <w:r>
              <w:rPr>
                <w:rFonts w:cs="Times New Roman"/>
                <w:szCs w:val="24"/>
                <w:lang w:bidi="ar"/>
              </w:rPr>
              <w:t>Psychological empowerment” focuses more on motivating attitudes and intentions, while “coping strategies training” provides specific, actionable psychological and behavioral skills. Combining the two allows the psychological support module to move from “encouragement” to “capacity building,” forming a complete loop. However, some techniques (e.g., transcranial magnetic stimulation, acupuncture) require specialized equipment and trained personnel, making them difficult to implement widely in primary care settings in high-altitude areas.</w:t>
            </w:r>
          </w:p>
        </w:tc>
        <w:tc>
          <w:tcPr>
            <w:tcW w:w="1430" w:type="dxa"/>
          </w:tcPr>
          <w:p w14:paraId="0EAABDFD">
            <w:pPr>
              <w:rPr>
                <w:rFonts w:cs="Times New Roman"/>
                <w:szCs w:val="24"/>
                <w:lang w:bidi="ar"/>
              </w:rPr>
            </w:pPr>
            <w:r>
              <w:rPr>
                <w:rFonts w:cs="Times New Roman"/>
                <w:szCs w:val="24"/>
                <w:lang w:bidi="ar"/>
              </w:rPr>
              <w:t xml:space="preserve">Partially </w:t>
            </w:r>
            <w:r>
              <w:rPr>
                <w:rFonts w:hint="eastAsia" w:cs="Times New Roman"/>
                <w:szCs w:val="24"/>
                <w:lang w:bidi="ar"/>
              </w:rPr>
              <w:t>a</w:t>
            </w:r>
            <w:r>
              <w:rPr>
                <w:rFonts w:cs="Times New Roman"/>
                <w:szCs w:val="24"/>
                <w:lang w:bidi="ar"/>
              </w:rPr>
              <w:t>dopted</w:t>
            </w:r>
          </w:p>
        </w:tc>
      </w:tr>
      <w:tr w14:paraId="4B28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6D99951">
            <w:pPr>
              <w:jc w:val="center"/>
              <w:rPr>
                <w:rFonts w:cs="Times New Roman"/>
                <w:sz w:val="22"/>
              </w:rPr>
            </w:pPr>
            <w:r>
              <w:rPr>
                <w:rFonts w:hint="eastAsia" w:cs="Times New Roman"/>
                <w:sz w:val="22"/>
              </w:rPr>
              <w:t>15</w:t>
            </w:r>
          </w:p>
        </w:tc>
        <w:tc>
          <w:tcPr>
            <w:tcW w:w="842" w:type="dxa"/>
          </w:tcPr>
          <w:p w14:paraId="34DB7DA9">
            <w:pPr>
              <w:jc w:val="center"/>
              <w:rPr>
                <w:rFonts w:cs="Times New Roman"/>
                <w:sz w:val="22"/>
              </w:rPr>
            </w:pPr>
            <w:r>
              <w:rPr>
                <w:rFonts w:hint="eastAsia" w:cs="Times New Roman"/>
                <w:sz w:val="22"/>
              </w:rPr>
              <w:t>6.1.1</w:t>
            </w:r>
          </w:p>
        </w:tc>
        <w:tc>
          <w:tcPr>
            <w:tcW w:w="2820" w:type="dxa"/>
          </w:tcPr>
          <w:p w14:paraId="63708FF0">
            <w:pPr>
              <w:jc w:val="left"/>
              <w:rPr>
                <w:rFonts w:cs="Times New Roman"/>
                <w:szCs w:val="24"/>
                <w:lang w:bidi="ar"/>
              </w:rPr>
            </w:pPr>
            <w:r>
              <w:t>It is suggested to categorize the content into “mandatory assessment items” and “optional assessment items.”</w:t>
            </w:r>
          </w:p>
        </w:tc>
        <w:tc>
          <w:tcPr>
            <w:tcW w:w="8286" w:type="dxa"/>
          </w:tcPr>
          <w:p w14:paraId="704ED854">
            <w:pPr>
              <w:jc w:val="left"/>
              <w:rPr>
                <w:rFonts w:cs="Times New Roman"/>
                <w:szCs w:val="24"/>
                <w:lang w:bidi="ar"/>
              </w:rPr>
            </w:pPr>
            <w:r>
              <w:rPr>
                <w:rFonts w:cs="Times New Roman"/>
                <w:szCs w:val="24"/>
                <w:lang w:bidi="ar"/>
              </w:rPr>
              <w:t xml:space="preserve">Follow-up </w:t>
            </w:r>
            <w:r>
              <w:rPr>
                <w:rFonts w:hint="eastAsia" w:cs="Times New Roman"/>
                <w:szCs w:val="24"/>
                <w:lang w:bidi="ar"/>
              </w:rPr>
              <w:t xml:space="preserve">management </w:t>
            </w:r>
            <w:r>
              <w:rPr>
                <w:rFonts w:cs="Times New Roman"/>
                <w:szCs w:val="24"/>
                <w:lang w:bidi="ar"/>
              </w:rPr>
              <w:t>aims to monitor rehabilitation outcomes and disease changes. The content should be individualized based on the patient’s risk stratification, disease stability, and local healthcare resources.</w:t>
            </w:r>
          </w:p>
        </w:tc>
        <w:tc>
          <w:tcPr>
            <w:tcW w:w="1430" w:type="dxa"/>
          </w:tcPr>
          <w:p w14:paraId="1BCE0F2C">
            <w:pPr>
              <w:rPr>
                <w:rFonts w:cs="Times New Roman"/>
                <w:szCs w:val="24"/>
                <w:lang w:bidi="ar"/>
              </w:rPr>
            </w:pPr>
            <w:r>
              <w:rPr>
                <w:rFonts w:cs="Times New Roman"/>
                <w:szCs w:val="24"/>
                <w:lang w:bidi="ar"/>
              </w:rPr>
              <w:t>Adopted</w:t>
            </w:r>
          </w:p>
        </w:tc>
      </w:tr>
      <w:tr w14:paraId="4D21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46D4E8E">
            <w:pPr>
              <w:jc w:val="center"/>
              <w:rPr>
                <w:rFonts w:cs="Times New Roman"/>
                <w:sz w:val="22"/>
              </w:rPr>
            </w:pPr>
            <w:r>
              <w:rPr>
                <w:rFonts w:hint="eastAsia" w:cs="Times New Roman"/>
                <w:sz w:val="22"/>
              </w:rPr>
              <w:t>16</w:t>
            </w:r>
          </w:p>
        </w:tc>
        <w:tc>
          <w:tcPr>
            <w:tcW w:w="842" w:type="dxa"/>
          </w:tcPr>
          <w:p w14:paraId="206B904E">
            <w:pPr>
              <w:jc w:val="center"/>
            </w:pPr>
            <w:r>
              <w:rPr>
                <w:rFonts w:hint="eastAsia" w:cs="Times New Roman"/>
                <w:sz w:val="22"/>
              </w:rPr>
              <w:t>6.1.1</w:t>
            </w:r>
          </w:p>
        </w:tc>
        <w:tc>
          <w:tcPr>
            <w:tcW w:w="2820" w:type="dxa"/>
          </w:tcPr>
          <w:p w14:paraId="598BB768">
            <w:pPr>
              <w:jc w:val="left"/>
            </w:pPr>
            <w:r>
              <w:rPr>
                <w:rFonts w:cs="Times New Roman"/>
                <w:szCs w:val="24"/>
                <w:lang w:bidi="ar"/>
              </w:rPr>
              <w:t>It is recommended to remove routine blood tests, blood biochemistry, peripheral muscle strength, and biomarkers.</w:t>
            </w:r>
          </w:p>
        </w:tc>
        <w:tc>
          <w:tcPr>
            <w:tcW w:w="8286" w:type="dxa"/>
          </w:tcPr>
          <w:p w14:paraId="6007FE06">
            <w:pPr>
              <w:jc w:val="left"/>
              <w:rPr>
                <w:rFonts w:cs="Times New Roman"/>
                <w:szCs w:val="24"/>
                <w:lang w:bidi="ar"/>
              </w:rPr>
            </w:pPr>
            <w:r>
              <w:rPr>
                <w:rFonts w:cs="Times New Roman"/>
                <w:szCs w:val="24"/>
                <w:lang w:bidi="ar"/>
              </w:rPr>
              <w:t>Although these indicators may face practical limitations as mandatory items for routine follow-up in high-altitude areas, they provide important reference information for assessing overall condition, nutritional status, inflammatory levels, and skeletal muscle function in patients with pulmonary hypertension, and have potential value for identifying rehabilitation risks and evaluating outcomes. Therefore, these items are classified as “optional” rather than “mandatory.”</w:t>
            </w:r>
          </w:p>
        </w:tc>
        <w:tc>
          <w:tcPr>
            <w:tcW w:w="1430" w:type="dxa"/>
          </w:tcPr>
          <w:p w14:paraId="2DA925F1">
            <w:pPr>
              <w:rPr>
                <w:rFonts w:cs="Times New Roman"/>
                <w:szCs w:val="24"/>
                <w:lang w:bidi="ar"/>
              </w:rPr>
            </w:pPr>
            <w:r>
              <w:rPr>
                <w:rFonts w:cs="Times New Roman"/>
                <w:szCs w:val="24"/>
                <w:lang w:bidi="ar"/>
              </w:rPr>
              <w:t>Not Adopted</w:t>
            </w:r>
          </w:p>
        </w:tc>
      </w:tr>
      <w:tr w14:paraId="6785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0E32D3A">
            <w:pPr>
              <w:jc w:val="center"/>
              <w:rPr>
                <w:rFonts w:cs="Times New Roman"/>
                <w:sz w:val="22"/>
              </w:rPr>
            </w:pPr>
            <w:r>
              <w:rPr>
                <w:rFonts w:hint="eastAsia" w:cs="Times New Roman"/>
                <w:sz w:val="22"/>
              </w:rPr>
              <w:t>17</w:t>
            </w:r>
          </w:p>
        </w:tc>
        <w:tc>
          <w:tcPr>
            <w:tcW w:w="842" w:type="dxa"/>
          </w:tcPr>
          <w:p w14:paraId="764AB813">
            <w:pPr>
              <w:jc w:val="center"/>
            </w:pPr>
            <w:r>
              <w:rPr>
                <w:rFonts w:hint="eastAsia" w:cs="Times New Roman"/>
                <w:sz w:val="22"/>
              </w:rPr>
              <w:t>6.1.1</w:t>
            </w:r>
          </w:p>
        </w:tc>
        <w:tc>
          <w:tcPr>
            <w:tcW w:w="2820" w:type="dxa"/>
          </w:tcPr>
          <w:p w14:paraId="2B849EF9">
            <w:pPr>
              <w:jc w:val="left"/>
            </w:pPr>
            <w:r>
              <w:t>Add rehabilitation adherence and satisfaction to the follow-up content to reflect the patient’s implementation and acceptance.</w:t>
            </w:r>
          </w:p>
        </w:tc>
        <w:tc>
          <w:tcPr>
            <w:tcW w:w="8286" w:type="dxa"/>
          </w:tcPr>
          <w:p w14:paraId="19D389DB">
            <w:pPr>
              <w:jc w:val="left"/>
              <w:rPr>
                <w:rFonts w:cs="Times New Roman"/>
                <w:szCs w:val="24"/>
                <w:lang w:bidi="ar"/>
              </w:rPr>
            </w:pPr>
            <w:r>
              <w:rPr>
                <w:rFonts w:cs="Times New Roman"/>
                <w:szCs w:val="24"/>
                <w:lang w:bidi="ar"/>
              </w:rPr>
              <w:t>Assessing the patient’s implementation of and subjective experience with the rehabilitation program is a core basis for optimizing rehabilitation services and improving management quality.</w:t>
            </w:r>
          </w:p>
        </w:tc>
        <w:tc>
          <w:tcPr>
            <w:tcW w:w="1430" w:type="dxa"/>
          </w:tcPr>
          <w:p w14:paraId="635C5067">
            <w:pPr>
              <w:rPr>
                <w:rFonts w:cs="Times New Roman"/>
                <w:szCs w:val="24"/>
                <w:lang w:bidi="ar"/>
              </w:rPr>
            </w:pPr>
            <w:r>
              <w:rPr>
                <w:rFonts w:cs="Times New Roman"/>
                <w:szCs w:val="24"/>
                <w:lang w:bidi="ar"/>
              </w:rPr>
              <w:t>Adopted</w:t>
            </w:r>
          </w:p>
        </w:tc>
      </w:tr>
    </w:tbl>
    <w:p w14:paraId="030B7BA7">
      <w:pPr>
        <w:jc w:val="center"/>
        <w:rPr>
          <w:b/>
          <w:bCs/>
          <w:sz w:val="30"/>
          <w:szCs w:val="30"/>
        </w:rPr>
      </w:pPr>
    </w:p>
    <w:p w14:paraId="6A935702">
      <w:pPr>
        <w:rPr>
          <w:b/>
          <w:bCs/>
          <w:sz w:val="30"/>
          <w:szCs w:val="30"/>
        </w:rPr>
        <w:sectPr>
          <w:pgSz w:w="16838" w:h="11906" w:orient="landscape"/>
          <w:pgMar w:top="1797" w:right="1440" w:bottom="1797" w:left="1440" w:header="851" w:footer="992" w:gutter="0"/>
          <w:cols w:space="425" w:num="1"/>
          <w:docGrid w:type="linesAndChars" w:linePitch="312" w:charSpace="0"/>
        </w:sectPr>
      </w:pPr>
    </w:p>
    <w:p w14:paraId="317DE16A">
      <w:pPr>
        <w:pStyle w:val="3"/>
        <w:spacing w:before="156" w:after="156"/>
      </w:pPr>
      <w:bookmarkStart w:id="6" w:name="_Toc225442462"/>
      <w:r>
        <w:t>S</w:t>
      </w:r>
      <w:r>
        <w:rPr>
          <w:rFonts w:hint="eastAsia"/>
        </w:rPr>
        <w:t>4</w:t>
      </w:r>
      <w:r>
        <w:t xml:space="preserve">: </w:t>
      </w:r>
      <w:r>
        <w:rPr>
          <w:rFonts w:hint="eastAsia"/>
        </w:rPr>
        <w:t>Second</w:t>
      </w:r>
      <w:r>
        <w:t>-</w:t>
      </w:r>
      <w:r>
        <w:rPr>
          <w:rFonts w:hint="eastAsia"/>
        </w:rPr>
        <w:t>r</w:t>
      </w:r>
      <w:r>
        <w:t xml:space="preserve">ound Delphi </w:t>
      </w:r>
      <w:r>
        <w:rPr>
          <w:rFonts w:hint="eastAsia"/>
        </w:rPr>
        <w:t>i</w:t>
      </w:r>
      <w:r>
        <w:t xml:space="preserve">tems for the </w:t>
      </w:r>
      <w:r>
        <w:rPr>
          <w:rFonts w:hint="eastAsia"/>
        </w:rPr>
        <w:t>PR p</w:t>
      </w:r>
      <w:r>
        <w:t>rogram (</w:t>
      </w:r>
      <w:r>
        <w:rPr>
          <w:rFonts w:hint="eastAsia"/>
        </w:rPr>
        <w:t>R</w:t>
      </w:r>
      <w:r>
        <w:t xml:space="preserve">evised </w:t>
      </w:r>
      <w:r>
        <w:rPr>
          <w:rFonts w:hint="eastAsia"/>
        </w:rPr>
        <w:t>PR p</w:t>
      </w:r>
      <w:r>
        <w:t>rogram)</w:t>
      </w:r>
      <w:bookmarkEnd w:id="6"/>
    </w:p>
    <w:tbl>
      <w:tblPr>
        <w:tblStyle w:val="19"/>
        <w:tblW w:w="14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788"/>
        <w:gridCol w:w="826"/>
        <w:gridCol w:w="2744"/>
        <w:gridCol w:w="2252"/>
        <w:gridCol w:w="2007"/>
        <w:gridCol w:w="2676"/>
      </w:tblGrid>
      <w:tr w14:paraId="290A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exact"/>
          <w:jc w:val="center"/>
        </w:trPr>
        <w:tc>
          <w:tcPr>
            <w:tcW w:w="1883" w:type="dxa"/>
            <w:vMerge w:val="restart"/>
            <w:vAlign w:val="center"/>
          </w:tcPr>
          <w:p w14:paraId="453D6963">
            <w:pPr>
              <w:spacing w:line="240" w:lineRule="auto"/>
              <w:jc w:val="center"/>
              <w:rPr>
                <w:rFonts w:cs="Times New Roman"/>
                <w:b/>
                <w:bCs/>
                <w:szCs w:val="24"/>
                <w:lang w:bidi="ar"/>
              </w:rPr>
            </w:pPr>
            <w:r>
              <w:rPr>
                <w:rFonts w:cs="Times New Roman"/>
                <w:b/>
                <w:bCs/>
                <w:szCs w:val="24"/>
                <w:lang w:bidi="ar"/>
              </w:rPr>
              <w:t>First-Level Item</w:t>
            </w:r>
          </w:p>
        </w:tc>
        <w:tc>
          <w:tcPr>
            <w:tcW w:w="1788" w:type="dxa"/>
            <w:vMerge w:val="restart"/>
            <w:vAlign w:val="center"/>
          </w:tcPr>
          <w:p w14:paraId="6000D88C">
            <w:pPr>
              <w:spacing w:line="240" w:lineRule="auto"/>
              <w:jc w:val="center"/>
              <w:rPr>
                <w:rFonts w:cs="Times New Roman"/>
                <w:b/>
                <w:bCs/>
                <w:szCs w:val="24"/>
                <w:lang w:bidi="ar"/>
              </w:rPr>
            </w:pPr>
            <w:r>
              <w:rPr>
                <w:rFonts w:cs="Times New Roman"/>
                <w:b/>
                <w:bCs/>
                <w:szCs w:val="24"/>
                <w:lang w:bidi="ar"/>
              </w:rPr>
              <w:t>Second-Level Item</w:t>
            </w:r>
          </w:p>
        </w:tc>
        <w:tc>
          <w:tcPr>
            <w:tcW w:w="10505" w:type="dxa"/>
            <w:gridSpan w:val="5"/>
            <w:vMerge w:val="restart"/>
            <w:vAlign w:val="center"/>
          </w:tcPr>
          <w:p w14:paraId="1B806E0B">
            <w:pPr>
              <w:spacing w:line="240" w:lineRule="auto"/>
              <w:jc w:val="center"/>
              <w:rPr>
                <w:rFonts w:cs="Times New Roman"/>
                <w:b/>
                <w:bCs/>
                <w:szCs w:val="24"/>
                <w:lang w:bidi="ar"/>
              </w:rPr>
            </w:pPr>
            <w:r>
              <w:rPr>
                <w:rFonts w:cs="Times New Roman"/>
                <w:b/>
                <w:bCs/>
                <w:szCs w:val="24"/>
                <w:lang w:bidi="ar"/>
              </w:rPr>
              <w:t>Third-Level Item</w:t>
            </w:r>
          </w:p>
        </w:tc>
      </w:tr>
      <w:tr w14:paraId="79E2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vAlign w:val="center"/>
          </w:tcPr>
          <w:p w14:paraId="0F23FDC4">
            <w:pPr>
              <w:jc w:val="center"/>
              <w:rPr>
                <w:rFonts w:cs="Times New Roman"/>
                <w:szCs w:val="24"/>
                <w:lang w:bidi="ar"/>
              </w:rPr>
            </w:pPr>
          </w:p>
        </w:tc>
        <w:tc>
          <w:tcPr>
            <w:tcW w:w="1788" w:type="dxa"/>
            <w:vMerge w:val="continue"/>
            <w:vAlign w:val="center"/>
          </w:tcPr>
          <w:p w14:paraId="72CAFD53">
            <w:pPr>
              <w:jc w:val="center"/>
              <w:rPr>
                <w:rFonts w:cs="Times New Roman"/>
                <w:szCs w:val="24"/>
                <w:lang w:bidi="ar"/>
              </w:rPr>
            </w:pPr>
          </w:p>
        </w:tc>
        <w:tc>
          <w:tcPr>
            <w:tcW w:w="10505" w:type="dxa"/>
            <w:gridSpan w:val="5"/>
            <w:vMerge w:val="continue"/>
            <w:vAlign w:val="center"/>
          </w:tcPr>
          <w:p w14:paraId="70655109">
            <w:pPr>
              <w:jc w:val="center"/>
              <w:rPr>
                <w:rFonts w:cs="Times New Roman"/>
                <w:szCs w:val="24"/>
                <w:lang w:bidi="ar"/>
              </w:rPr>
            </w:pPr>
          </w:p>
        </w:tc>
      </w:tr>
      <w:tr w14:paraId="3CE4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883" w:type="dxa"/>
            <w:vMerge w:val="continue"/>
            <w:vAlign w:val="center"/>
          </w:tcPr>
          <w:p w14:paraId="09BCFA8A">
            <w:pPr>
              <w:jc w:val="center"/>
              <w:rPr>
                <w:rFonts w:cs="Times New Roman"/>
                <w:szCs w:val="24"/>
                <w:lang w:bidi="ar"/>
              </w:rPr>
            </w:pPr>
          </w:p>
        </w:tc>
        <w:tc>
          <w:tcPr>
            <w:tcW w:w="1788" w:type="dxa"/>
            <w:vMerge w:val="continue"/>
            <w:vAlign w:val="center"/>
          </w:tcPr>
          <w:p w14:paraId="31E42BD1">
            <w:pPr>
              <w:jc w:val="center"/>
              <w:rPr>
                <w:rFonts w:cs="Times New Roman"/>
                <w:szCs w:val="24"/>
                <w:lang w:bidi="ar"/>
              </w:rPr>
            </w:pPr>
          </w:p>
        </w:tc>
        <w:tc>
          <w:tcPr>
            <w:tcW w:w="10505" w:type="dxa"/>
            <w:gridSpan w:val="5"/>
            <w:vMerge w:val="continue"/>
            <w:vAlign w:val="center"/>
          </w:tcPr>
          <w:p w14:paraId="1971C6CC">
            <w:pPr>
              <w:jc w:val="center"/>
              <w:rPr>
                <w:rFonts w:cs="Times New Roman"/>
                <w:szCs w:val="24"/>
                <w:lang w:bidi="ar"/>
              </w:rPr>
            </w:pPr>
          </w:p>
        </w:tc>
      </w:tr>
      <w:tr w14:paraId="14A8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1A878890">
            <w:pPr>
              <w:widowControl/>
              <w:adjustRightInd/>
              <w:snapToGrid/>
              <w:spacing w:line="240" w:lineRule="auto"/>
              <w:jc w:val="center"/>
              <w:rPr>
                <w:rFonts w:cs="Times New Roman"/>
                <w:szCs w:val="24"/>
              </w:rPr>
            </w:pPr>
            <w:r>
              <w:rPr>
                <w:rFonts w:cs="Times New Roman"/>
                <w:b/>
                <w:bCs/>
                <w:szCs w:val="24"/>
              </w:rPr>
              <w:t xml:space="preserve">1 </w:t>
            </w:r>
            <w:r>
              <w:rPr>
                <w:rFonts w:cs="Times New Roman"/>
                <w:szCs w:val="24"/>
              </w:rPr>
              <w:t>Multidisciplinary Team</w:t>
            </w:r>
          </w:p>
        </w:tc>
        <w:tc>
          <w:tcPr>
            <w:tcW w:w="1788" w:type="dxa"/>
            <w:vMerge w:val="restart"/>
            <w:vAlign w:val="center"/>
          </w:tcPr>
          <w:p w14:paraId="5C8EB6AE">
            <w:pPr>
              <w:widowControl/>
              <w:adjustRightInd/>
              <w:snapToGrid/>
              <w:spacing w:line="240" w:lineRule="auto"/>
              <w:jc w:val="center"/>
              <w:rPr>
                <w:rFonts w:cs="Times New Roman"/>
                <w:szCs w:val="24"/>
              </w:rPr>
            </w:pPr>
            <w:r>
              <w:rPr>
                <w:rFonts w:cs="Times New Roman"/>
                <w:b/>
                <w:bCs/>
                <w:szCs w:val="24"/>
              </w:rPr>
              <w:t>1.1</w:t>
            </w:r>
            <w:r>
              <w:rPr>
                <w:rFonts w:cs="Times New Roman"/>
                <w:szCs w:val="24"/>
              </w:rPr>
              <w:t xml:space="preserve"> Team composition</w:t>
            </w:r>
          </w:p>
        </w:tc>
        <w:tc>
          <w:tcPr>
            <w:tcW w:w="10505" w:type="dxa"/>
            <w:gridSpan w:val="5"/>
            <w:vAlign w:val="center"/>
          </w:tcPr>
          <w:p w14:paraId="6A031E28">
            <w:pPr>
              <w:widowControl/>
              <w:adjustRightInd/>
              <w:snapToGrid/>
              <w:spacing w:line="240" w:lineRule="auto"/>
              <w:jc w:val="left"/>
              <w:rPr>
                <w:rFonts w:cs="Times New Roman"/>
                <w:szCs w:val="24"/>
              </w:rPr>
            </w:pPr>
            <w:r>
              <w:rPr>
                <w:rFonts w:cs="Times New Roman"/>
                <w:b/>
                <w:bCs/>
                <w:szCs w:val="24"/>
              </w:rPr>
              <w:t>1.1.1</w:t>
            </w:r>
            <w:r>
              <w:rPr>
                <w:rFonts w:cs="Times New Roman"/>
                <w:szCs w:val="24"/>
              </w:rPr>
              <w:t xml:space="preserve"> </w:t>
            </w:r>
            <w:r>
              <w:rPr>
                <w:rFonts w:cs="Times New Roman"/>
                <w:szCs w:val="24"/>
                <w:lang w:bidi="ar"/>
              </w:rPr>
              <w:t>Core team: respiratory physicians, respiratory nurses, rehabilitation physicians, rehabilitation therapists, cardiologists, patients, and family members.</w:t>
            </w:r>
          </w:p>
        </w:tc>
      </w:tr>
      <w:tr w14:paraId="2BFD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9374D34">
            <w:pPr>
              <w:jc w:val="center"/>
              <w:rPr>
                <w:rFonts w:cs="Times New Roman"/>
                <w:szCs w:val="24"/>
                <w:lang w:bidi="ar"/>
              </w:rPr>
            </w:pPr>
          </w:p>
        </w:tc>
        <w:tc>
          <w:tcPr>
            <w:tcW w:w="1788" w:type="dxa"/>
            <w:vMerge w:val="continue"/>
            <w:vAlign w:val="center"/>
          </w:tcPr>
          <w:p w14:paraId="49997E8F">
            <w:pPr>
              <w:jc w:val="center"/>
              <w:rPr>
                <w:rFonts w:cs="Times New Roman"/>
                <w:szCs w:val="24"/>
                <w:lang w:bidi="ar"/>
              </w:rPr>
            </w:pPr>
          </w:p>
        </w:tc>
        <w:tc>
          <w:tcPr>
            <w:tcW w:w="10505" w:type="dxa"/>
            <w:gridSpan w:val="5"/>
            <w:vAlign w:val="center"/>
          </w:tcPr>
          <w:p w14:paraId="20991668">
            <w:pPr>
              <w:widowControl/>
              <w:adjustRightInd/>
              <w:snapToGrid/>
              <w:spacing w:line="240" w:lineRule="auto"/>
              <w:jc w:val="left"/>
              <w:rPr>
                <w:rFonts w:cs="Times New Roman"/>
                <w:szCs w:val="24"/>
              </w:rPr>
            </w:pPr>
            <w:r>
              <w:rPr>
                <w:rFonts w:cs="Times New Roman"/>
                <w:b/>
                <w:bCs/>
                <w:szCs w:val="24"/>
              </w:rPr>
              <w:t>1.1.2</w:t>
            </w:r>
            <w:r>
              <w:rPr>
                <w:rFonts w:cs="Times New Roman"/>
                <w:szCs w:val="24"/>
              </w:rPr>
              <w:t xml:space="preserve"> </w:t>
            </w:r>
            <w:r>
              <w:rPr>
                <w:rFonts w:cs="Times New Roman"/>
                <w:szCs w:val="24"/>
                <w:lang w:bidi="ar"/>
              </w:rPr>
              <w:t>Extended team (as needed): nutritionists, psychologists, traditional Chinese medicine physicians.</w:t>
            </w:r>
          </w:p>
        </w:tc>
      </w:tr>
      <w:tr w14:paraId="206A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28613E7">
            <w:pPr>
              <w:jc w:val="center"/>
              <w:rPr>
                <w:rFonts w:cs="Times New Roman"/>
                <w:szCs w:val="24"/>
                <w:lang w:bidi="ar"/>
              </w:rPr>
            </w:pPr>
          </w:p>
        </w:tc>
        <w:tc>
          <w:tcPr>
            <w:tcW w:w="1788" w:type="dxa"/>
            <w:vAlign w:val="center"/>
          </w:tcPr>
          <w:p w14:paraId="5CB657DD">
            <w:pPr>
              <w:widowControl/>
              <w:adjustRightInd/>
              <w:snapToGrid/>
              <w:spacing w:line="240" w:lineRule="auto"/>
              <w:jc w:val="center"/>
              <w:rPr>
                <w:rFonts w:cs="Times New Roman"/>
                <w:szCs w:val="24"/>
              </w:rPr>
            </w:pPr>
            <w:r>
              <w:rPr>
                <w:rFonts w:cs="Times New Roman"/>
                <w:b/>
                <w:bCs/>
                <w:szCs w:val="24"/>
              </w:rPr>
              <w:t>1.2</w:t>
            </w:r>
            <w:r>
              <w:rPr>
                <w:rFonts w:cs="Times New Roman"/>
                <w:szCs w:val="24"/>
              </w:rPr>
              <w:t xml:space="preserve"> Personnel qualifications</w:t>
            </w:r>
          </w:p>
        </w:tc>
        <w:tc>
          <w:tcPr>
            <w:tcW w:w="10505" w:type="dxa"/>
            <w:gridSpan w:val="5"/>
            <w:vAlign w:val="center"/>
          </w:tcPr>
          <w:p w14:paraId="5A55960C">
            <w:pPr>
              <w:widowControl/>
              <w:adjustRightInd/>
              <w:snapToGrid/>
              <w:spacing w:line="240" w:lineRule="auto"/>
              <w:jc w:val="left"/>
              <w:rPr>
                <w:rFonts w:cs="Times New Roman"/>
                <w:szCs w:val="24"/>
              </w:rPr>
            </w:pPr>
            <w:r>
              <w:rPr>
                <w:rFonts w:cs="Times New Roman"/>
                <w:b/>
                <w:bCs/>
                <w:szCs w:val="24"/>
              </w:rPr>
              <w:t xml:space="preserve">1.2.1 </w:t>
            </w:r>
            <w:r>
              <w:rPr>
                <w:rFonts w:cs="Times New Roman"/>
                <w:szCs w:val="24"/>
                <w:lang w:bidi="ar"/>
              </w:rPr>
              <w:t>Professionals: Professional team members involved in pulmonary rehabilitation should possess relevant professional knowledge and clinical practical competencies, and be capable of conducting assessments, providing pulmonary rehabilitation guidance, and managing care for patients with pulmonary arterial hypertension.</w:t>
            </w:r>
          </w:p>
        </w:tc>
      </w:tr>
      <w:tr w14:paraId="7DF4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23DD2BD">
            <w:pPr>
              <w:jc w:val="center"/>
              <w:rPr>
                <w:rFonts w:cs="Times New Roman"/>
                <w:szCs w:val="24"/>
                <w:lang w:bidi="ar"/>
              </w:rPr>
            </w:pPr>
          </w:p>
        </w:tc>
        <w:tc>
          <w:tcPr>
            <w:tcW w:w="1788" w:type="dxa"/>
            <w:vMerge w:val="restart"/>
            <w:vAlign w:val="center"/>
          </w:tcPr>
          <w:p w14:paraId="38CA5322">
            <w:pPr>
              <w:widowControl/>
              <w:adjustRightInd/>
              <w:snapToGrid/>
              <w:spacing w:line="240" w:lineRule="auto"/>
              <w:jc w:val="center"/>
              <w:rPr>
                <w:rFonts w:cs="Times New Roman"/>
                <w:szCs w:val="24"/>
              </w:rPr>
            </w:pPr>
            <w:r>
              <w:rPr>
                <w:rFonts w:cs="Times New Roman"/>
                <w:b/>
                <w:bCs/>
                <w:szCs w:val="24"/>
              </w:rPr>
              <w:t xml:space="preserve">1.3 </w:t>
            </w:r>
            <w:r>
              <w:rPr>
                <w:rFonts w:cs="Times New Roman"/>
                <w:szCs w:val="24"/>
              </w:rPr>
              <w:t>Personnel responsibilities</w:t>
            </w:r>
          </w:p>
        </w:tc>
        <w:tc>
          <w:tcPr>
            <w:tcW w:w="10505" w:type="dxa"/>
            <w:gridSpan w:val="5"/>
            <w:vAlign w:val="center"/>
          </w:tcPr>
          <w:p w14:paraId="44E41B37">
            <w:pPr>
              <w:widowControl/>
              <w:adjustRightInd/>
              <w:snapToGrid/>
              <w:spacing w:line="240" w:lineRule="auto"/>
              <w:jc w:val="left"/>
              <w:rPr>
                <w:rFonts w:cs="Times New Roman"/>
                <w:szCs w:val="24"/>
              </w:rPr>
            </w:pPr>
            <w:r>
              <w:rPr>
                <w:rFonts w:cs="Times New Roman"/>
                <w:b/>
                <w:bCs/>
                <w:szCs w:val="24"/>
              </w:rPr>
              <w:t>1.3.1</w:t>
            </w:r>
            <w:r>
              <w:rPr>
                <w:rFonts w:cs="Times New Roman"/>
                <w:szCs w:val="24"/>
              </w:rPr>
              <w:t xml:space="preserve"> Respiratory physician: conduct condition assessments for hospitalized patients with pulmonary hypertension and accurately determine the timing of pulmonary rehabilitation intervention; collaborate with rehabilitation physician to develop individualized pulmonary rehabilitation plans; instruct patients and family members on key aspects of training methods, frequency, intensity, indications for safe termination, and management of comorbidities.</w:t>
            </w:r>
          </w:p>
        </w:tc>
      </w:tr>
      <w:tr w14:paraId="5A1E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581AC65">
            <w:pPr>
              <w:jc w:val="center"/>
              <w:rPr>
                <w:rFonts w:cs="Times New Roman"/>
                <w:szCs w:val="24"/>
                <w:lang w:bidi="ar"/>
              </w:rPr>
            </w:pPr>
          </w:p>
        </w:tc>
        <w:tc>
          <w:tcPr>
            <w:tcW w:w="1788" w:type="dxa"/>
            <w:vMerge w:val="continue"/>
            <w:vAlign w:val="center"/>
          </w:tcPr>
          <w:p w14:paraId="4ABF7708">
            <w:pPr>
              <w:jc w:val="center"/>
              <w:rPr>
                <w:rFonts w:cs="Times New Roman"/>
                <w:szCs w:val="24"/>
                <w:lang w:bidi="ar"/>
              </w:rPr>
            </w:pPr>
          </w:p>
        </w:tc>
        <w:tc>
          <w:tcPr>
            <w:tcW w:w="10505" w:type="dxa"/>
            <w:gridSpan w:val="5"/>
            <w:vAlign w:val="center"/>
          </w:tcPr>
          <w:p w14:paraId="2E464DAA">
            <w:pPr>
              <w:widowControl/>
              <w:adjustRightInd/>
              <w:snapToGrid/>
              <w:spacing w:line="240" w:lineRule="auto"/>
              <w:jc w:val="left"/>
              <w:rPr>
                <w:rFonts w:cs="Times New Roman"/>
                <w:szCs w:val="24"/>
              </w:rPr>
            </w:pPr>
            <w:r>
              <w:rPr>
                <w:rFonts w:cs="Times New Roman"/>
                <w:b/>
                <w:bCs/>
                <w:szCs w:val="24"/>
              </w:rPr>
              <w:t>1.3.2</w:t>
            </w:r>
            <w:r>
              <w:rPr>
                <w:rFonts w:cs="Times New Roman"/>
                <w:szCs w:val="24"/>
              </w:rPr>
              <w:t xml:space="preserve"> Rehabilitation therapist: guide patients in individualized exercise training; conduct regular assessments; assist in adjusting rehabilitation plans; manage concurrent functional issues; and provide continuous rehabilitation guidance for patients both inside and outside the hospital.</w:t>
            </w:r>
          </w:p>
        </w:tc>
      </w:tr>
      <w:tr w14:paraId="6B7D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8369233">
            <w:pPr>
              <w:jc w:val="center"/>
              <w:rPr>
                <w:rFonts w:cs="Times New Roman"/>
                <w:szCs w:val="24"/>
                <w:lang w:bidi="ar"/>
              </w:rPr>
            </w:pPr>
          </w:p>
        </w:tc>
        <w:tc>
          <w:tcPr>
            <w:tcW w:w="1788" w:type="dxa"/>
            <w:vMerge w:val="continue"/>
            <w:vAlign w:val="center"/>
          </w:tcPr>
          <w:p w14:paraId="40939A59">
            <w:pPr>
              <w:jc w:val="center"/>
              <w:rPr>
                <w:rFonts w:cs="Times New Roman"/>
                <w:szCs w:val="24"/>
                <w:lang w:bidi="ar"/>
              </w:rPr>
            </w:pPr>
          </w:p>
        </w:tc>
        <w:tc>
          <w:tcPr>
            <w:tcW w:w="10505" w:type="dxa"/>
            <w:gridSpan w:val="5"/>
            <w:vAlign w:val="center"/>
          </w:tcPr>
          <w:p w14:paraId="799530C7">
            <w:pPr>
              <w:widowControl/>
              <w:adjustRightInd/>
              <w:snapToGrid/>
              <w:spacing w:line="240" w:lineRule="auto"/>
              <w:jc w:val="left"/>
              <w:rPr>
                <w:rFonts w:cs="Times New Roman"/>
                <w:szCs w:val="24"/>
              </w:rPr>
            </w:pPr>
            <w:r>
              <w:rPr>
                <w:rFonts w:cs="Times New Roman"/>
                <w:b/>
                <w:bCs/>
                <w:szCs w:val="24"/>
              </w:rPr>
              <w:t>1.3.3</w:t>
            </w:r>
            <w:r>
              <w:rPr>
                <w:rFonts w:cs="Times New Roman"/>
                <w:szCs w:val="24"/>
              </w:rPr>
              <w:t xml:space="preserve"> Respiratory nurse: assist physicians in conducting inpatient pulmonary rehabilitation guidance and outcome monitoring for patients, with a primary focus on pre-discharge health education, instructing patients and their families in home oxygen therapy, medication management, symptom monitoring, and self-care skills, as well as participating in post-discharge continuous rehabilitation follow-up and health management for patients.</w:t>
            </w:r>
          </w:p>
        </w:tc>
      </w:tr>
      <w:tr w14:paraId="6EE4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83" w:type="dxa"/>
            <w:vMerge w:val="continue"/>
            <w:vAlign w:val="center"/>
          </w:tcPr>
          <w:p w14:paraId="409D862D">
            <w:pPr>
              <w:jc w:val="center"/>
              <w:rPr>
                <w:rFonts w:cs="Times New Roman"/>
                <w:szCs w:val="24"/>
                <w:lang w:bidi="ar"/>
              </w:rPr>
            </w:pPr>
          </w:p>
        </w:tc>
        <w:tc>
          <w:tcPr>
            <w:tcW w:w="1788" w:type="dxa"/>
            <w:vMerge w:val="continue"/>
            <w:vAlign w:val="center"/>
          </w:tcPr>
          <w:p w14:paraId="76313DF1">
            <w:pPr>
              <w:jc w:val="center"/>
              <w:rPr>
                <w:rFonts w:cs="Times New Roman"/>
                <w:szCs w:val="24"/>
                <w:lang w:bidi="ar"/>
              </w:rPr>
            </w:pPr>
          </w:p>
        </w:tc>
        <w:tc>
          <w:tcPr>
            <w:tcW w:w="10505" w:type="dxa"/>
            <w:gridSpan w:val="5"/>
            <w:vAlign w:val="center"/>
          </w:tcPr>
          <w:p w14:paraId="5A223F55">
            <w:pPr>
              <w:spacing w:line="240" w:lineRule="auto"/>
              <w:jc w:val="left"/>
              <w:rPr>
                <w:rFonts w:cs="Times New Roman"/>
                <w:szCs w:val="24"/>
                <w:lang w:bidi="ar"/>
              </w:rPr>
            </w:pPr>
            <w:r>
              <w:rPr>
                <w:rFonts w:cs="Times New Roman"/>
                <w:b/>
                <w:bCs/>
                <w:szCs w:val="24"/>
              </w:rPr>
              <w:t xml:space="preserve">1.3.4 </w:t>
            </w:r>
            <w:r>
              <w:rPr>
                <w:rFonts w:cs="Times New Roman"/>
                <w:szCs w:val="24"/>
              </w:rPr>
              <w:t>Nutritionist (if available): provide nutritional consultation and dietary guidance based on the patient’s physical condition and rehabilitation needs.</w:t>
            </w:r>
          </w:p>
        </w:tc>
      </w:tr>
      <w:tr w14:paraId="703C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2BEA43C">
            <w:pPr>
              <w:jc w:val="center"/>
              <w:rPr>
                <w:rFonts w:cs="Times New Roman"/>
                <w:szCs w:val="24"/>
                <w:lang w:bidi="ar"/>
              </w:rPr>
            </w:pPr>
          </w:p>
        </w:tc>
        <w:tc>
          <w:tcPr>
            <w:tcW w:w="1788" w:type="dxa"/>
            <w:vMerge w:val="continue"/>
            <w:vAlign w:val="center"/>
          </w:tcPr>
          <w:p w14:paraId="76AF6171">
            <w:pPr>
              <w:jc w:val="center"/>
              <w:rPr>
                <w:rFonts w:cs="Times New Roman"/>
                <w:szCs w:val="24"/>
                <w:lang w:bidi="ar"/>
              </w:rPr>
            </w:pPr>
          </w:p>
        </w:tc>
        <w:tc>
          <w:tcPr>
            <w:tcW w:w="10505" w:type="dxa"/>
            <w:gridSpan w:val="5"/>
            <w:vAlign w:val="center"/>
          </w:tcPr>
          <w:p w14:paraId="413A2F7A">
            <w:pPr>
              <w:widowControl/>
              <w:adjustRightInd/>
              <w:snapToGrid/>
              <w:spacing w:line="240" w:lineRule="auto"/>
              <w:jc w:val="left"/>
              <w:rPr>
                <w:rFonts w:cs="Times New Roman"/>
                <w:szCs w:val="24"/>
              </w:rPr>
            </w:pPr>
            <w:r>
              <w:rPr>
                <w:rFonts w:cs="Times New Roman"/>
                <w:b/>
                <w:bCs/>
                <w:szCs w:val="24"/>
              </w:rPr>
              <w:t xml:space="preserve">1.3.5 </w:t>
            </w:r>
            <w:r>
              <w:rPr>
                <w:rFonts w:cs="Times New Roman"/>
                <w:szCs w:val="24"/>
              </w:rPr>
              <w:t>Psychologist (if available): provide psychological intervention for patients in need; help alleviate anxiety, depression, and other emotional issues.</w:t>
            </w:r>
          </w:p>
        </w:tc>
      </w:tr>
      <w:tr w14:paraId="20E0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E85D1F3">
            <w:pPr>
              <w:jc w:val="center"/>
              <w:rPr>
                <w:rFonts w:cs="Times New Roman"/>
                <w:szCs w:val="24"/>
                <w:lang w:bidi="ar"/>
              </w:rPr>
            </w:pPr>
          </w:p>
        </w:tc>
        <w:tc>
          <w:tcPr>
            <w:tcW w:w="1788" w:type="dxa"/>
            <w:vMerge w:val="continue"/>
            <w:vAlign w:val="center"/>
          </w:tcPr>
          <w:p w14:paraId="7ED42D84">
            <w:pPr>
              <w:jc w:val="center"/>
              <w:rPr>
                <w:rFonts w:cs="Times New Roman"/>
                <w:szCs w:val="24"/>
                <w:lang w:bidi="ar"/>
              </w:rPr>
            </w:pPr>
          </w:p>
        </w:tc>
        <w:tc>
          <w:tcPr>
            <w:tcW w:w="10505" w:type="dxa"/>
            <w:gridSpan w:val="5"/>
            <w:vAlign w:val="center"/>
          </w:tcPr>
          <w:p w14:paraId="2CE323C8">
            <w:pPr>
              <w:widowControl/>
              <w:adjustRightInd/>
              <w:snapToGrid/>
              <w:spacing w:line="240" w:lineRule="auto"/>
              <w:jc w:val="left"/>
              <w:rPr>
                <w:rFonts w:cs="Times New Roman"/>
                <w:szCs w:val="24"/>
              </w:rPr>
            </w:pPr>
            <w:r>
              <w:rPr>
                <w:rFonts w:cs="Times New Roman"/>
                <w:b/>
                <w:bCs/>
                <w:szCs w:val="24"/>
              </w:rPr>
              <w:t xml:space="preserve">1.3.6 </w:t>
            </w:r>
            <w:r>
              <w:rPr>
                <w:rFonts w:cs="Times New Roman"/>
                <w:szCs w:val="24"/>
              </w:rPr>
              <w:t>Traditional Chinese Medicine Physician (if available): Provide Chinese medicine-specific rehabilitation guidance based on the patient's condition, such as Tai Chi, Baduanjin, etc.</w:t>
            </w:r>
          </w:p>
        </w:tc>
      </w:tr>
      <w:tr w14:paraId="5C67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C225731">
            <w:pPr>
              <w:jc w:val="center"/>
              <w:rPr>
                <w:rFonts w:cs="Times New Roman"/>
                <w:szCs w:val="24"/>
                <w:lang w:bidi="ar"/>
              </w:rPr>
            </w:pPr>
          </w:p>
        </w:tc>
        <w:tc>
          <w:tcPr>
            <w:tcW w:w="1788" w:type="dxa"/>
            <w:vMerge w:val="continue"/>
            <w:vAlign w:val="center"/>
          </w:tcPr>
          <w:p w14:paraId="2C77EC43">
            <w:pPr>
              <w:jc w:val="center"/>
              <w:rPr>
                <w:rFonts w:cs="Times New Roman"/>
                <w:szCs w:val="24"/>
                <w:lang w:bidi="ar"/>
              </w:rPr>
            </w:pPr>
          </w:p>
        </w:tc>
        <w:tc>
          <w:tcPr>
            <w:tcW w:w="10505" w:type="dxa"/>
            <w:gridSpan w:val="5"/>
            <w:vAlign w:val="center"/>
          </w:tcPr>
          <w:p w14:paraId="0FAF8AAD">
            <w:pPr>
              <w:widowControl/>
              <w:adjustRightInd/>
              <w:snapToGrid/>
              <w:spacing w:line="240" w:lineRule="auto"/>
              <w:jc w:val="left"/>
              <w:rPr>
                <w:rFonts w:cs="Times New Roman"/>
                <w:szCs w:val="24"/>
              </w:rPr>
            </w:pPr>
            <w:r>
              <w:rPr>
                <w:rFonts w:cs="Times New Roman"/>
                <w:b/>
                <w:bCs/>
                <w:szCs w:val="24"/>
              </w:rPr>
              <w:t>1.3.7</w:t>
            </w:r>
            <w:r>
              <w:rPr>
                <w:rFonts w:cs="Times New Roman"/>
                <w:szCs w:val="24"/>
              </w:rPr>
              <w:t xml:space="preserve"> Patient and family: patient actively participates in rehabilitation, performs daily exercises according to the plan, and learns disease management knowledge; family provides necessary daily care, emotional support, and assists in supervising the implementation of the rehabilitation plan.</w:t>
            </w:r>
          </w:p>
        </w:tc>
      </w:tr>
      <w:tr w14:paraId="3F34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175C9060">
            <w:pPr>
              <w:widowControl/>
              <w:adjustRightInd/>
              <w:snapToGrid/>
              <w:spacing w:line="240" w:lineRule="auto"/>
              <w:jc w:val="center"/>
              <w:rPr>
                <w:rFonts w:cs="Times New Roman"/>
                <w:b/>
                <w:bCs/>
                <w:szCs w:val="24"/>
              </w:rPr>
            </w:pPr>
            <w:r>
              <w:rPr>
                <w:rFonts w:cs="Times New Roman"/>
                <w:b/>
                <w:bCs/>
                <w:szCs w:val="24"/>
              </w:rPr>
              <w:t xml:space="preserve">2 </w:t>
            </w:r>
            <w:r>
              <w:rPr>
                <w:rFonts w:cs="Times New Roman"/>
                <w:szCs w:val="24"/>
                <w:lang w:bidi="ar"/>
              </w:rPr>
              <w:t>Rehabilitation Assessment</w:t>
            </w:r>
          </w:p>
        </w:tc>
        <w:tc>
          <w:tcPr>
            <w:tcW w:w="1788" w:type="dxa"/>
            <w:vAlign w:val="center"/>
          </w:tcPr>
          <w:p w14:paraId="551B624E">
            <w:pPr>
              <w:widowControl/>
              <w:adjustRightInd/>
              <w:snapToGrid/>
              <w:spacing w:line="240" w:lineRule="auto"/>
              <w:jc w:val="center"/>
              <w:rPr>
                <w:rFonts w:cs="Times New Roman"/>
                <w:szCs w:val="24"/>
              </w:rPr>
            </w:pPr>
            <w:r>
              <w:rPr>
                <w:rFonts w:cs="Times New Roman"/>
                <w:b/>
                <w:bCs/>
                <w:szCs w:val="24"/>
              </w:rPr>
              <w:t xml:space="preserve">2.1 </w:t>
            </w:r>
            <w:r>
              <w:rPr>
                <w:rFonts w:cs="Times New Roman"/>
                <w:szCs w:val="24"/>
              </w:rPr>
              <w:t>Assessment content</w:t>
            </w:r>
            <w:r>
              <w:rPr>
                <w:rFonts w:cs="Times New Roman"/>
                <w:szCs w:val="24"/>
                <w:lang w:bidi="ar"/>
              </w:rPr>
              <w:t xml:space="preserve"> </w:t>
            </w:r>
          </w:p>
        </w:tc>
        <w:tc>
          <w:tcPr>
            <w:tcW w:w="10505" w:type="dxa"/>
            <w:gridSpan w:val="5"/>
            <w:vAlign w:val="center"/>
          </w:tcPr>
          <w:p w14:paraId="1697235B">
            <w:pPr>
              <w:widowControl/>
              <w:adjustRightInd/>
              <w:snapToGrid/>
              <w:spacing w:line="240" w:lineRule="auto"/>
              <w:jc w:val="left"/>
              <w:rPr>
                <w:rFonts w:cs="Times New Roman"/>
                <w:szCs w:val="24"/>
              </w:rPr>
            </w:pPr>
            <w:r>
              <w:rPr>
                <w:rFonts w:cs="Times New Roman"/>
                <w:b/>
                <w:bCs/>
                <w:szCs w:val="24"/>
              </w:rPr>
              <w:t>2.1.1</w:t>
            </w:r>
            <w:r>
              <w:rPr>
                <w:rFonts w:cs="Times New Roman"/>
                <w:szCs w:val="24"/>
              </w:rPr>
              <w:t xml:space="preserve"> </w:t>
            </w:r>
            <w:r>
              <w:rPr>
                <w:rFonts w:cs="Times New Roman"/>
                <w:szCs w:val="24"/>
                <w:lang w:bidi="ar"/>
              </w:rPr>
              <w:t>Clinical characteristics, vital signs, imaging findings, laboratory tests, exercise tolerance, nutritional status, cardiopulmonary function, hemodynamic parameters, psychological and social factors, etc.</w:t>
            </w:r>
          </w:p>
        </w:tc>
      </w:tr>
      <w:tr w14:paraId="0B76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9C1A069">
            <w:pPr>
              <w:jc w:val="center"/>
              <w:rPr>
                <w:rFonts w:cs="Times New Roman"/>
                <w:szCs w:val="24"/>
                <w:lang w:bidi="ar"/>
              </w:rPr>
            </w:pPr>
          </w:p>
        </w:tc>
        <w:tc>
          <w:tcPr>
            <w:tcW w:w="1788" w:type="dxa"/>
            <w:vMerge w:val="restart"/>
            <w:vAlign w:val="center"/>
          </w:tcPr>
          <w:p w14:paraId="2433A640">
            <w:pPr>
              <w:widowControl/>
              <w:adjustRightInd/>
              <w:snapToGrid/>
              <w:spacing w:line="240" w:lineRule="auto"/>
              <w:jc w:val="center"/>
              <w:rPr>
                <w:rFonts w:cs="Times New Roman"/>
                <w:szCs w:val="24"/>
                <w:lang w:bidi="ar"/>
              </w:rPr>
            </w:pPr>
            <w:r>
              <w:rPr>
                <w:rFonts w:cs="Times New Roman"/>
                <w:b/>
                <w:bCs/>
                <w:szCs w:val="24"/>
              </w:rPr>
              <w:t>2.2</w:t>
            </w:r>
            <w:r>
              <w:rPr>
                <w:rFonts w:cs="Times New Roman"/>
                <w:szCs w:val="24"/>
              </w:rPr>
              <w:t xml:space="preserve"> </w:t>
            </w:r>
            <w:r>
              <w:rPr>
                <w:rFonts w:cs="Times New Roman"/>
                <w:szCs w:val="24"/>
                <w:lang w:bidi="ar"/>
              </w:rPr>
              <w:t>Assessment of exercise safety</w:t>
            </w:r>
          </w:p>
          <w:p w14:paraId="6C7DB160">
            <w:pPr>
              <w:widowControl/>
              <w:adjustRightInd/>
              <w:snapToGrid/>
              <w:spacing w:line="240" w:lineRule="auto"/>
              <w:jc w:val="center"/>
              <w:rPr>
                <w:rFonts w:cs="Times New Roman"/>
                <w:szCs w:val="24"/>
              </w:rPr>
            </w:pPr>
          </w:p>
        </w:tc>
        <w:tc>
          <w:tcPr>
            <w:tcW w:w="10505" w:type="dxa"/>
            <w:gridSpan w:val="5"/>
            <w:vAlign w:val="center"/>
          </w:tcPr>
          <w:p w14:paraId="2D0A9EB2">
            <w:pPr>
              <w:widowControl/>
              <w:adjustRightInd/>
              <w:snapToGrid/>
              <w:spacing w:line="240" w:lineRule="auto"/>
              <w:jc w:val="left"/>
              <w:rPr>
                <w:rFonts w:cs="Times New Roman"/>
                <w:szCs w:val="24"/>
              </w:rPr>
            </w:pPr>
            <w:r>
              <w:rPr>
                <w:rFonts w:cs="Times New Roman"/>
                <w:b/>
                <w:bCs/>
                <w:szCs w:val="24"/>
              </w:rPr>
              <w:t>2.2.1</w:t>
            </w:r>
            <w:r>
              <w:rPr>
                <w:rFonts w:cs="Times New Roman"/>
                <w:szCs w:val="24"/>
              </w:rPr>
              <w:t xml:space="preserve"> Safety indicators: At rest or before exercise, the following criteria must be met: </w:t>
            </w:r>
            <w:r>
              <w:rPr>
                <w:rFonts w:ascii="Cambria Math" w:hAnsi="Cambria Math" w:cs="Cambria Math"/>
                <w:szCs w:val="24"/>
              </w:rPr>
              <w:t>①</w:t>
            </w:r>
            <w:r>
              <w:rPr>
                <w:rFonts w:cs="Times New Roman"/>
                <w:szCs w:val="24"/>
              </w:rPr>
              <w:t xml:space="preserve"> mean arterial pressure (MAP) 60–100 mmHg; </w:t>
            </w:r>
            <w:r>
              <w:rPr>
                <w:rFonts w:ascii="Cambria Math" w:hAnsi="Cambria Math" w:cs="Cambria Math"/>
                <w:szCs w:val="24"/>
              </w:rPr>
              <w:t>②</w:t>
            </w:r>
            <w:r>
              <w:rPr>
                <w:rFonts w:cs="Times New Roman"/>
                <w:szCs w:val="24"/>
              </w:rPr>
              <w:t xml:space="preserve"> systolic blood pressure (SBP) 90–160 mmHg; </w:t>
            </w:r>
            <w:r>
              <w:rPr>
                <w:rFonts w:ascii="Cambria Math" w:hAnsi="Cambria Math" w:cs="Cambria Math"/>
                <w:szCs w:val="24"/>
              </w:rPr>
              <w:t>③</w:t>
            </w:r>
            <w:r>
              <w:rPr>
                <w:rFonts w:cs="Times New Roman"/>
                <w:szCs w:val="24"/>
              </w:rPr>
              <w:t xml:space="preserve"> resting heart rate 60–100 beats/min; </w:t>
            </w:r>
            <w:r>
              <w:rPr>
                <w:rFonts w:ascii="Cambria Math" w:hAnsi="Cambria Math" w:cs="Cambria Math"/>
                <w:szCs w:val="24"/>
              </w:rPr>
              <w:t>④</w:t>
            </w:r>
            <w:r>
              <w:rPr>
                <w:rFonts w:cs="Times New Roman"/>
                <w:szCs w:val="24"/>
              </w:rPr>
              <w:t xml:space="preserve"> respiratory rate 12–28 breaths/min; </w:t>
            </w:r>
            <w:r>
              <w:rPr>
                <w:rFonts w:ascii="Cambria Math" w:hAnsi="Cambria Math" w:cs="Cambria Math"/>
                <w:szCs w:val="24"/>
              </w:rPr>
              <w:t>⑤</w:t>
            </w:r>
            <w:r>
              <w:rPr>
                <w:rFonts w:cs="Times New Roman"/>
                <w:szCs w:val="24"/>
              </w:rPr>
              <w:t xml:space="preserve"> SpO₂ ≥ 80% (may be adjusted by healthcare professionals based on individual tolerance and altitude, but generally should not fall below 70%); </w:t>
            </w:r>
            <w:r>
              <w:rPr>
                <w:rFonts w:ascii="Cambria Math" w:hAnsi="Cambria Math" w:cs="Cambria Math"/>
                <w:szCs w:val="24"/>
              </w:rPr>
              <w:t>⑥</w:t>
            </w:r>
            <w:r>
              <w:rPr>
                <w:rFonts w:cs="Times New Roman"/>
                <w:szCs w:val="24"/>
              </w:rPr>
              <w:t xml:space="preserve"> alert and able to follow instructions.</w:t>
            </w:r>
          </w:p>
        </w:tc>
      </w:tr>
      <w:tr w14:paraId="151B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A5679D0">
            <w:pPr>
              <w:jc w:val="center"/>
              <w:rPr>
                <w:rFonts w:cs="Times New Roman"/>
                <w:szCs w:val="24"/>
                <w:lang w:bidi="ar"/>
              </w:rPr>
            </w:pPr>
          </w:p>
        </w:tc>
        <w:tc>
          <w:tcPr>
            <w:tcW w:w="1788" w:type="dxa"/>
            <w:vMerge w:val="continue"/>
            <w:vAlign w:val="center"/>
          </w:tcPr>
          <w:p w14:paraId="128C06D8">
            <w:pPr>
              <w:jc w:val="center"/>
              <w:rPr>
                <w:rFonts w:cs="Times New Roman"/>
                <w:szCs w:val="24"/>
                <w:lang w:bidi="ar"/>
              </w:rPr>
            </w:pPr>
          </w:p>
        </w:tc>
        <w:tc>
          <w:tcPr>
            <w:tcW w:w="10505" w:type="dxa"/>
            <w:gridSpan w:val="5"/>
            <w:vAlign w:val="center"/>
          </w:tcPr>
          <w:p w14:paraId="20EF3DA0">
            <w:pPr>
              <w:widowControl/>
              <w:adjustRightInd/>
              <w:snapToGrid/>
              <w:spacing w:line="240" w:lineRule="auto"/>
              <w:jc w:val="left"/>
              <w:rPr>
                <w:rFonts w:cs="Times New Roman"/>
                <w:szCs w:val="24"/>
              </w:rPr>
            </w:pPr>
            <w:r>
              <w:rPr>
                <w:rFonts w:cs="Times New Roman"/>
                <w:b/>
                <w:bCs/>
                <w:szCs w:val="24"/>
              </w:rPr>
              <w:t>2.2.2</w:t>
            </w:r>
            <w:r>
              <w:rPr>
                <w:rFonts w:cs="Times New Roman"/>
                <w:szCs w:val="24"/>
              </w:rPr>
              <w:t xml:space="preserve"> </w:t>
            </w:r>
            <w:r>
              <w:rPr>
                <w:rFonts w:cs="Times New Roman"/>
                <w:szCs w:val="24"/>
                <w:lang w:bidi="ar"/>
              </w:rPr>
              <w:t>Relative contraindications: Conditions requiring careful evaluation and possible postponement or adjustment of the rehabilitation program: severe cognitive impairment, progressive neuromuscular disease, uncorrectable severe anemia, lack of motivation, severe fatigue related to debilitation, uncorrectable severe visual impairment, short life expectancy (&lt;6 months), etc.</w:t>
            </w:r>
          </w:p>
        </w:tc>
      </w:tr>
      <w:tr w14:paraId="31E9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8EA9945">
            <w:pPr>
              <w:jc w:val="center"/>
              <w:rPr>
                <w:rFonts w:cs="Times New Roman"/>
                <w:szCs w:val="24"/>
                <w:lang w:bidi="ar"/>
              </w:rPr>
            </w:pPr>
          </w:p>
        </w:tc>
        <w:tc>
          <w:tcPr>
            <w:tcW w:w="1788" w:type="dxa"/>
            <w:vMerge w:val="continue"/>
            <w:vAlign w:val="center"/>
          </w:tcPr>
          <w:p w14:paraId="0B06D50B">
            <w:pPr>
              <w:jc w:val="center"/>
              <w:rPr>
                <w:rFonts w:cs="Times New Roman"/>
                <w:szCs w:val="24"/>
                <w:lang w:bidi="ar"/>
              </w:rPr>
            </w:pPr>
          </w:p>
        </w:tc>
        <w:tc>
          <w:tcPr>
            <w:tcW w:w="10505" w:type="dxa"/>
            <w:gridSpan w:val="5"/>
            <w:vAlign w:val="center"/>
          </w:tcPr>
          <w:p w14:paraId="2027CCD5">
            <w:pPr>
              <w:widowControl/>
              <w:adjustRightInd/>
              <w:snapToGrid/>
              <w:spacing w:line="240" w:lineRule="auto"/>
              <w:jc w:val="left"/>
              <w:rPr>
                <w:rFonts w:cs="Times New Roman"/>
                <w:szCs w:val="24"/>
              </w:rPr>
            </w:pPr>
            <w:r>
              <w:rPr>
                <w:rFonts w:cs="Times New Roman"/>
                <w:b/>
                <w:bCs/>
                <w:szCs w:val="24"/>
              </w:rPr>
              <w:t xml:space="preserve">2.2.3 </w:t>
            </w:r>
            <w:r>
              <w:rPr>
                <w:rFonts w:cs="Times New Roman"/>
                <w:szCs w:val="24"/>
                <w:lang w:bidi="ar"/>
              </w:rPr>
              <w:t>Absolute contraindications: Conditions prohibiting exercise training: unstable angina or arrhythmia, decompensated heart failure, hemodynamic instability, unstable fractures, bleeding or hematoma at puncture sites, use of vasoactive drugs for life support, active deep vein thrombosis, infectious diseases that pose a risk to others at rest without isolation facilities, unstable psychiatric conditions with risk of self-harm or harm to others.</w:t>
            </w:r>
          </w:p>
        </w:tc>
      </w:tr>
      <w:tr w14:paraId="1033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05BA216">
            <w:pPr>
              <w:jc w:val="center"/>
              <w:rPr>
                <w:rFonts w:cs="Times New Roman"/>
                <w:szCs w:val="24"/>
                <w:lang w:bidi="ar"/>
              </w:rPr>
            </w:pPr>
          </w:p>
        </w:tc>
        <w:tc>
          <w:tcPr>
            <w:tcW w:w="1788" w:type="dxa"/>
            <w:vAlign w:val="center"/>
          </w:tcPr>
          <w:p w14:paraId="066629A5">
            <w:pPr>
              <w:widowControl/>
              <w:adjustRightInd/>
              <w:snapToGrid/>
              <w:spacing w:line="240" w:lineRule="auto"/>
              <w:jc w:val="center"/>
              <w:rPr>
                <w:rFonts w:cs="Times New Roman"/>
                <w:szCs w:val="24"/>
              </w:rPr>
            </w:pPr>
            <w:r>
              <w:rPr>
                <w:rFonts w:cs="Times New Roman"/>
                <w:b/>
                <w:bCs/>
                <w:szCs w:val="24"/>
              </w:rPr>
              <w:t>2.3</w:t>
            </w:r>
            <w:r>
              <w:rPr>
                <w:rFonts w:cs="Times New Roman"/>
                <w:szCs w:val="24"/>
              </w:rPr>
              <w:t xml:space="preserve"> </w:t>
            </w:r>
            <w:r>
              <w:rPr>
                <w:rFonts w:cs="Times New Roman"/>
                <w:szCs w:val="24"/>
                <w:lang w:bidi="ar"/>
              </w:rPr>
              <w:t>Assessment of risk stratification</w:t>
            </w:r>
          </w:p>
        </w:tc>
        <w:tc>
          <w:tcPr>
            <w:tcW w:w="10505" w:type="dxa"/>
            <w:gridSpan w:val="5"/>
            <w:tcBorders>
              <w:bottom w:val="single" w:color="auto" w:sz="12" w:space="0"/>
            </w:tcBorders>
            <w:vAlign w:val="center"/>
          </w:tcPr>
          <w:p w14:paraId="185857F7">
            <w:pPr>
              <w:widowControl/>
              <w:adjustRightInd/>
              <w:snapToGrid/>
              <w:spacing w:line="240" w:lineRule="auto"/>
              <w:jc w:val="left"/>
              <w:rPr>
                <w:rFonts w:cs="Times New Roman"/>
                <w:szCs w:val="24"/>
              </w:rPr>
            </w:pPr>
            <w:r>
              <w:rPr>
                <w:rFonts w:cs="Times New Roman"/>
                <w:b/>
                <w:bCs/>
                <w:szCs w:val="24"/>
              </w:rPr>
              <w:t>2.3.1</w:t>
            </w:r>
            <w:r>
              <w:rPr>
                <w:rFonts w:cs="Times New Roman"/>
                <w:szCs w:val="24"/>
              </w:rPr>
              <w:t xml:space="preserve"> Use the 2022 European Society of Cardiology/European Respiratory Society (ESC/ERS) Guidelines for the Diagnosis and Treatment of Pulmonary Hypertension to stratify patients with pulmonary hypertension (low-risk, intermediate-risk, high-risk) to guide overall treatment and rehabilitation strategies.</w:t>
            </w:r>
          </w:p>
        </w:tc>
      </w:tr>
      <w:tr w14:paraId="0D9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1D35DDCC">
            <w:pPr>
              <w:widowControl/>
              <w:adjustRightInd/>
              <w:snapToGrid/>
              <w:spacing w:line="240" w:lineRule="auto"/>
              <w:jc w:val="center"/>
              <w:rPr>
                <w:rFonts w:cs="Times New Roman"/>
                <w:szCs w:val="24"/>
              </w:rPr>
            </w:pPr>
            <w:r>
              <w:rPr>
                <w:rFonts w:cs="Times New Roman"/>
                <w:b/>
                <w:bCs/>
                <w:szCs w:val="24"/>
              </w:rPr>
              <w:t>3</w:t>
            </w:r>
            <w:r>
              <w:rPr>
                <w:rFonts w:cs="Times New Roman"/>
                <w:szCs w:val="24"/>
              </w:rPr>
              <w:t xml:space="preserve"> </w:t>
            </w:r>
            <w:r>
              <w:rPr>
                <w:rFonts w:cs="Times New Roman"/>
                <w:szCs w:val="24"/>
                <w:lang w:bidi="ar"/>
              </w:rPr>
              <w:t>Exercise Prescription</w:t>
            </w:r>
          </w:p>
        </w:tc>
        <w:tc>
          <w:tcPr>
            <w:tcW w:w="1788" w:type="dxa"/>
            <w:tcBorders>
              <w:right w:val="single" w:color="auto" w:sz="12" w:space="0"/>
            </w:tcBorders>
          </w:tcPr>
          <w:p w14:paraId="368A9EB2">
            <w:pPr>
              <w:widowControl/>
              <w:adjustRightInd/>
              <w:snapToGrid/>
              <w:spacing w:line="240" w:lineRule="auto"/>
              <w:jc w:val="center"/>
              <w:rPr>
                <w:rFonts w:cs="Times New Roman"/>
                <w:szCs w:val="24"/>
              </w:rPr>
            </w:pPr>
            <w:r>
              <w:rPr>
                <w:rFonts w:cs="Times New Roman"/>
                <w:b/>
                <w:bCs/>
                <w:szCs w:val="24"/>
              </w:rPr>
              <w:t>3.1</w:t>
            </w:r>
            <w:r>
              <w:rPr>
                <w:rFonts w:cs="Times New Roman"/>
                <w:szCs w:val="24"/>
                <w:lang w:bidi="ar"/>
              </w:rPr>
              <w:t>Type</w:t>
            </w:r>
          </w:p>
        </w:tc>
        <w:tc>
          <w:tcPr>
            <w:tcW w:w="826" w:type="dxa"/>
            <w:tcBorders>
              <w:top w:val="single" w:color="auto" w:sz="12" w:space="0"/>
              <w:left w:val="single" w:color="auto" w:sz="12" w:space="0"/>
              <w:bottom w:val="single" w:color="auto" w:sz="12" w:space="0"/>
            </w:tcBorders>
          </w:tcPr>
          <w:p w14:paraId="7EF6E65B">
            <w:pPr>
              <w:jc w:val="left"/>
              <w:rPr>
                <w:rFonts w:cs="Times New Roman"/>
                <w:b/>
                <w:bCs/>
                <w:szCs w:val="24"/>
              </w:rPr>
            </w:pPr>
            <w:r>
              <w:rPr>
                <w:rFonts w:cs="Times New Roman"/>
                <w:b/>
                <w:bCs/>
                <w:szCs w:val="24"/>
              </w:rPr>
              <w:t>3.1.1</w:t>
            </w:r>
          </w:p>
        </w:tc>
        <w:tc>
          <w:tcPr>
            <w:tcW w:w="2744" w:type="dxa"/>
            <w:tcBorders>
              <w:top w:val="single" w:color="auto" w:sz="12" w:space="0"/>
              <w:bottom w:val="single" w:color="auto" w:sz="12" w:space="0"/>
            </w:tcBorders>
          </w:tcPr>
          <w:p w14:paraId="60F02D23">
            <w:pPr>
              <w:jc w:val="left"/>
              <w:rPr>
                <w:rFonts w:cs="Times New Roman"/>
                <w:szCs w:val="24"/>
              </w:rPr>
            </w:pPr>
            <w:r>
              <w:rPr>
                <w:rFonts w:cs="Times New Roman"/>
                <w:szCs w:val="24"/>
              </w:rPr>
              <w:t>Aerobic exercise</w:t>
            </w:r>
          </w:p>
        </w:tc>
        <w:tc>
          <w:tcPr>
            <w:tcW w:w="2252" w:type="dxa"/>
            <w:tcBorders>
              <w:top w:val="single" w:color="auto" w:sz="12" w:space="0"/>
              <w:bottom w:val="single" w:color="auto" w:sz="12" w:space="0"/>
            </w:tcBorders>
          </w:tcPr>
          <w:p w14:paraId="7900901F">
            <w:pPr>
              <w:jc w:val="left"/>
              <w:rPr>
                <w:rFonts w:cs="Times New Roman"/>
                <w:szCs w:val="24"/>
              </w:rPr>
            </w:pPr>
            <w:r>
              <w:rPr>
                <w:rFonts w:cs="Times New Roman"/>
                <w:szCs w:val="24"/>
              </w:rPr>
              <w:t>Resistance exercise</w:t>
            </w:r>
          </w:p>
        </w:tc>
        <w:tc>
          <w:tcPr>
            <w:tcW w:w="2007" w:type="dxa"/>
            <w:tcBorders>
              <w:top w:val="single" w:color="auto" w:sz="12" w:space="0"/>
              <w:bottom w:val="single" w:color="auto" w:sz="12" w:space="0"/>
            </w:tcBorders>
          </w:tcPr>
          <w:p w14:paraId="25A5F17F">
            <w:pPr>
              <w:jc w:val="left"/>
              <w:rPr>
                <w:rFonts w:cs="Times New Roman"/>
                <w:szCs w:val="24"/>
              </w:rPr>
            </w:pPr>
            <w:r>
              <w:rPr>
                <w:rFonts w:cs="Times New Roman"/>
                <w:szCs w:val="24"/>
                <w:lang w:bidi="ar"/>
              </w:rPr>
              <w:t>Breathing exercises</w:t>
            </w:r>
          </w:p>
        </w:tc>
        <w:tc>
          <w:tcPr>
            <w:tcW w:w="2676" w:type="dxa"/>
            <w:tcBorders>
              <w:top w:val="single" w:color="auto" w:sz="12" w:space="0"/>
              <w:bottom w:val="single" w:color="auto" w:sz="12" w:space="0"/>
              <w:right w:val="single" w:color="auto" w:sz="12" w:space="0"/>
            </w:tcBorders>
          </w:tcPr>
          <w:p w14:paraId="6A2E4EE7">
            <w:pPr>
              <w:jc w:val="left"/>
              <w:rPr>
                <w:rFonts w:cs="Times New Roman"/>
                <w:szCs w:val="24"/>
                <w:lang w:bidi="ar"/>
              </w:rPr>
            </w:pPr>
            <w:r>
              <w:rPr>
                <w:rFonts w:cs="Times New Roman"/>
                <w:szCs w:val="24"/>
                <w:lang w:bidi="ar"/>
              </w:rPr>
              <w:t>Bed-based/Progressive Activities (for bedridden or severely functionally impaired patients)</w:t>
            </w:r>
          </w:p>
        </w:tc>
      </w:tr>
      <w:tr w14:paraId="4F73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D0537F5">
            <w:pPr>
              <w:jc w:val="center"/>
              <w:rPr>
                <w:rFonts w:cs="Times New Roman"/>
                <w:szCs w:val="24"/>
                <w:lang w:bidi="ar"/>
              </w:rPr>
            </w:pPr>
          </w:p>
        </w:tc>
        <w:tc>
          <w:tcPr>
            <w:tcW w:w="1788" w:type="dxa"/>
            <w:tcBorders>
              <w:right w:val="single" w:color="auto" w:sz="12" w:space="0"/>
            </w:tcBorders>
          </w:tcPr>
          <w:p w14:paraId="5C409FB3">
            <w:pPr>
              <w:widowControl/>
              <w:adjustRightInd/>
              <w:snapToGrid/>
              <w:spacing w:line="240" w:lineRule="auto"/>
              <w:jc w:val="center"/>
              <w:rPr>
                <w:rFonts w:cs="Times New Roman"/>
                <w:szCs w:val="24"/>
              </w:rPr>
            </w:pPr>
            <w:r>
              <w:rPr>
                <w:rFonts w:cs="Times New Roman"/>
                <w:b/>
                <w:bCs/>
                <w:szCs w:val="24"/>
              </w:rPr>
              <w:t xml:space="preserve">3.2 </w:t>
            </w:r>
            <w:r>
              <w:rPr>
                <w:rFonts w:cs="Times New Roman"/>
                <w:szCs w:val="24"/>
              </w:rPr>
              <w:t>Form</w:t>
            </w:r>
          </w:p>
        </w:tc>
        <w:tc>
          <w:tcPr>
            <w:tcW w:w="826" w:type="dxa"/>
            <w:tcBorders>
              <w:top w:val="single" w:color="auto" w:sz="12" w:space="0"/>
              <w:left w:val="single" w:color="auto" w:sz="12" w:space="0"/>
              <w:bottom w:val="single" w:color="auto" w:sz="12" w:space="0"/>
            </w:tcBorders>
          </w:tcPr>
          <w:p w14:paraId="363B6CDF">
            <w:pPr>
              <w:jc w:val="left"/>
              <w:rPr>
                <w:rFonts w:cs="Times New Roman"/>
                <w:b/>
                <w:bCs/>
                <w:szCs w:val="24"/>
              </w:rPr>
            </w:pPr>
            <w:r>
              <w:rPr>
                <w:rFonts w:cs="Times New Roman"/>
                <w:b/>
                <w:bCs/>
                <w:szCs w:val="24"/>
              </w:rPr>
              <w:t xml:space="preserve">3.2.1 </w:t>
            </w:r>
          </w:p>
        </w:tc>
        <w:tc>
          <w:tcPr>
            <w:tcW w:w="2744" w:type="dxa"/>
            <w:tcBorders>
              <w:top w:val="single" w:color="auto" w:sz="12" w:space="0"/>
              <w:bottom w:val="single" w:color="auto" w:sz="12" w:space="0"/>
            </w:tcBorders>
          </w:tcPr>
          <w:p w14:paraId="20CC6E7F">
            <w:pPr>
              <w:jc w:val="left"/>
              <w:rPr>
                <w:rFonts w:cs="Times New Roman"/>
                <w:szCs w:val="24"/>
              </w:rPr>
            </w:pPr>
            <w:r>
              <w:rPr>
                <w:rFonts w:cs="Times New Roman"/>
                <w:szCs w:val="24"/>
              </w:rPr>
              <w:t>Brisk walking, jogging, stationary cycling, Baduanjin, Tai Chi, etc.</w:t>
            </w:r>
          </w:p>
        </w:tc>
        <w:tc>
          <w:tcPr>
            <w:tcW w:w="2252" w:type="dxa"/>
            <w:tcBorders>
              <w:top w:val="single" w:color="auto" w:sz="12" w:space="0"/>
              <w:bottom w:val="single" w:color="auto" w:sz="12" w:space="0"/>
            </w:tcBorders>
          </w:tcPr>
          <w:p w14:paraId="5DB7BC8D">
            <w:pPr>
              <w:jc w:val="left"/>
              <w:rPr>
                <w:rFonts w:cs="Times New Roman"/>
                <w:szCs w:val="24"/>
              </w:rPr>
            </w:pPr>
            <w:r>
              <w:rPr>
                <w:rFonts w:cs="Times New Roman"/>
                <w:szCs w:val="24"/>
              </w:rPr>
              <w:t>Dumbbells, resistance bands, etc.</w:t>
            </w:r>
          </w:p>
        </w:tc>
        <w:tc>
          <w:tcPr>
            <w:tcW w:w="2007" w:type="dxa"/>
            <w:tcBorders>
              <w:top w:val="single" w:color="auto" w:sz="12" w:space="0"/>
              <w:bottom w:val="single" w:color="auto" w:sz="12" w:space="0"/>
            </w:tcBorders>
          </w:tcPr>
          <w:p w14:paraId="6CC952D3">
            <w:pPr>
              <w:jc w:val="left"/>
              <w:rPr>
                <w:rFonts w:cs="Times New Roman"/>
                <w:szCs w:val="24"/>
              </w:rPr>
            </w:pPr>
            <w:r>
              <w:rPr>
                <w:rFonts w:cs="Times New Roman"/>
                <w:szCs w:val="24"/>
              </w:rPr>
              <w:t>Diaphragmatic breathing, pursed-lip breathing, breathing exercises using devices (balloons, respiratory trainers, etc.)</w:t>
            </w:r>
          </w:p>
        </w:tc>
        <w:tc>
          <w:tcPr>
            <w:tcW w:w="2676" w:type="dxa"/>
            <w:tcBorders>
              <w:top w:val="single" w:color="auto" w:sz="12" w:space="0"/>
              <w:bottom w:val="single" w:color="auto" w:sz="12" w:space="0"/>
              <w:right w:val="single" w:color="auto" w:sz="12" w:space="0"/>
            </w:tcBorders>
          </w:tcPr>
          <w:p w14:paraId="027B4E2F">
            <w:pPr>
              <w:jc w:val="left"/>
              <w:rPr>
                <w:rFonts w:cs="Times New Roman"/>
                <w:szCs w:val="24"/>
              </w:rPr>
            </w:pPr>
            <w:r>
              <w:rPr>
                <w:rFonts w:cs="Times New Roman"/>
                <w:szCs w:val="24"/>
              </w:rPr>
              <w:t>Passive/active-assisted range of motion exercises, ankle pump exercises, assisted transfer training, etc.</w:t>
            </w:r>
          </w:p>
        </w:tc>
      </w:tr>
      <w:tr w14:paraId="67E2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DA02EA0">
            <w:pPr>
              <w:jc w:val="center"/>
              <w:rPr>
                <w:rFonts w:cs="Times New Roman"/>
                <w:szCs w:val="24"/>
                <w:lang w:bidi="ar"/>
              </w:rPr>
            </w:pPr>
          </w:p>
        </w:tc>
        <w:tc>
          <w:tcPr>
            <w:tcW w:w="1788" w:type="dxa"/>
            <w:tcBorders>
              <w:right w:val="single" w:color="auto" w:sz="12" w:space="0"/>
            </w:tcBorders>
          </w:tcPr>
          <w:p w14:paraId="55295896">
            <w:pPr>
              <w:widowControl/>
              <w:adjustRightInd/>
              <w:snapToGrid/>
              <w:spacing w:line="240" w:lineRule="auto"/>
              <w:jc w:val="center"/>
              <w:rPr>
                <w:rFonts w:cs="Times New Roman"/>
                <w:szCs w:val="24"/>
              </w:rPr>
            </w:pPr>
            <w:r>
              <w:rPr>
                <w:rFonts w:cs="Times New Roman"/>
                <w:b/>
                <w:bCs/>
                <w:szCs w:val="24"/>
              </w:rPr>
              <w:t>3.3</w:t>
            </w:r>
            <w:r>
              <w:rPr>
                <w:rFonts w:cs="Times New Roman"/>
                <w:szCs w:val="24"/>
              </w:rPr>
              <w:t xml:space="preserve"> Duration</w:t>
            </w:r>
          </w:p>
        </w:tc>
        <w:tc>
          <w:tcPr>
            <w:tcW w:w="826" w:type="dxa"/>
            <w:tcBorders>
              <w:top w:val="single" w:color="auto" w:sz="12" w:space="0"/>
              <w:left w:val="single" w:color="auto" w:sz="12" w:space="0"/>
              <w:bottom w:val="single" w:color="auto" w:sz="12" w:space="0"/>
            </w:tcBorders>
          </w:tcPr>
          <w:p w14:paraId="2E384FA1">
            <w:pPr>
              <w:jc w:val="left"/>
              <w:rPr>
                <w:rFonts w:cs="Times New Roman"/>
                <w:b/>
                <w:bCs/>
                <w:szCs w:val="24"/>
              </w:rPr>
            </w:pPr>
            <w:r>
              <w:rPr>
                <w:rFonts w:cs="Times New Roman"/>
                <w:b/>
                <w:bCs/>
                <w:szCs w:val="24"/>
              </w:rPr>
              <w:t xml:space="preserve">3.3.1 </w:t>
            </w:r>
          </w:p>
        </w:tc>
        <w:tc>
          <w:tcPr>
            <w:tcW w:w="2744" w:type="dxa"/>
            <w:tcBorders>
              <w:top w:val="single" w:color="auto" w:sz="12" w:space="0"/>
              <w:bottom w:val="single" w:color="auto" w:sz="12" w:space="0"/>
            </w:tcBorders>
          </w:tcPr>
          <w:p w14:paraId="4153A4DC">
            <w:pPr>
              <w:jc w:val="left"/>
              <w:rPr>
                <w:rFonts w:cs="Times New Roman"/>
                <w:szCs w:val="24"/>
              </w:rPr>
            </w:pPr>
            <w:r>
              <w:rPr>
                <w:rFonts w:cs="Times New Roman"/>
                <w:szCs w:val="24"/>
              </w:rPr>
              <w:t>10–30 minutes per session.</w:t>
            </w:r>
          </w:p>
        </w:tc>
        <w:tc>
          <w:tcPr>
            <w:tcW w:w="2252" w:type="dxa"/>
            <w:tcBorders>
              <w:top w:val="single" w:color="auto" w:sz="12" w:space="0"/>
              <w:bottom w:val="single" w:color="auto" w:sz="12" w:space="0"/>
            </w:tcBorders>
          </w:tcPr>
          <w:p w14:paraId="40E86FCD">
            <w:pPr>
              <w:jc w:val="left"/>
              <w:rPr>
                <w:rFonts w:cs="Times New Roman"/>
                <w:szCs w:val="24"/>
              </w:rPr>
            </w:pPr>
            <w:r>
              <w:rPr>
                <w:rFonts w:cs="Times New Roman"/>
                <w:szCs w:val="24"/>
              </w:rPr>
              <w:t>8–12 repetitions per set, 1–3 sets, completed within 10–20 minutes.</w:t>
            </w:r>
          </w:p>
        </w:tc>
        <w:tc>
          <w:tcPr>
            <w:tcW w:w="2007" w:type="dxa"/>
            <w:tcBorders>
              <w:top w:val="single" w:color="auto" w:sz="12" w:space="0"/>
              <w:bottom w:val="single" w:color="auto" w:sz="12" w:space="0"/>
            </w:tcBorders>
          </w:tcPr>
          <w:p w14:paraId="3015EA2F">
            <w:pPr>
              <w:jc w:val="left"/>
              <w:rPr>
                <w:rFonts w:cs="Times New Roman"/>
                <w:szCs w:val="24"/>
              </w:rPr>
            </w:pPr>
            <w:r>
              <w:rPr>
                <w:rFonts w:cs="Times New Roman"/>
                <w:szCs w:val="24"/>
              </w:rPr>
              <w:t>1–2 times/day, 10–15 minutes per session.</w:t>
            </w:r>
          </w:p>
        </w:tc>
        <w:tc>
          <w:tcPr>
            <w:tcW w:w="2676" w:type="dxa"/>
            <w:tcBorders>
              <w:top w:val="single" w:color="auto" w:sz="12" w:space="0"/>
              <w:bottom w:val="single" w:color="auto" w:sz="12" w:space="0"/>
              <w:right w:val="single" w:color="auto" w:sz="12" w:space="0"/>
            </w:tcBorders>
          </w:tcPr>
          <w:p w14:paraId="53C5D754">
            <w:pPr>
              <w:jc w:val="left"/>
              <w:rPr>
                <w:rFonts w:cs="Times New Roman"/>
                <w:szCs w:val="24"/>
              </w:rPr>
            </w:pPr>
            <w:r>
              <w:rPr>
                <w:rFonts w:cs="Times New Roman"/>
                <w:szCs w:val="24"/>
              </w:rPr>
              <w:t>Start with very short durations (e.g., 1–3 minutes per movement) and gradually increase based on patient tolerance. Target: 1–2 times/day, 10–20 minutes per session.</w:t>
            </w:r>
          </w:p>
        </w:tc>
      </w:tr>
      <w:tr w14:paraId="29D2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9119357">
            <w:pPr>
              <w:jc w:val="center"/>
              <w:rPr>
                <w:rFonts w:cs="Times New Roman"/>
                <w:szCs w:val="24"/>
                <w:lang w:bidi="ar"/>
              </w:rPr>
            </w:pPr>
          </w:p>
        </w:tc>
        <w:tc>
          <w:tcPr>
            <w:tcW w:w="1788" w:type="dxa"/>
            <w:tcBorders>
              <w:right w:val="single" w:color="auto" w:sz="12" w:space="0"/>
            </w:tcBorders>
          </w:tcPr>
          <w:p w14:paraId="324E63FF">
            <w:pPr>
              <w:widowControl/>
              <w:adjustRightInd/>
              <w:snapToGrid/>
              <w:spacing w:line="240" w:lineRule="auto"/>
              <w:jc w:val="center"/>
              <w:rPr>
                <w:rFonts w:cs="Times New Roman"/>
                <w:szCs w:val="24"/>
              </w:rPr>
            </w:pPr>
            <w:r>
              <w:rPr>
                <w:rFonts w:cs="Times New Roman"/>
                <w:b/>
                <w:bCs/>
                <w:szCs w:val="24"/>
              </w:rPr>
              <w:t xml:space="preserve">3.4 </w:t>
            </w:r>
            <w:r>
              <w:rPr>
                <w:rFonts w:cs="Times New Roman"/>
                <w:szCs w:val="24"/>
              </w:rPr>
              <w:t>Frequency</w:t>
            </w:r>
          </w:p>
        </w:tc>
        <w:tc>
          <w:tcPr>
            <w:tcW w:w="826" w:type="dxa"/>
            <w:tcBorders>
              <w:top w:val="single" w:color="auto" w:sz="12" w:space="0"/>
              <w:left w:val="single" w:color="auto" w:sz="12" w:space="0"/>
              <w:bottom w:val="single" w:color="auto" w:sz="12" w:space="0"/>
            </w:tcBorders>
          </w:tcPr>
          <w:p w14:paraId="045EFCFD">
            <w:pPr>
              <w:jc w:val="left"/>
              <w:rPr>
                <w:rFonts w:cs="Times New Roman"/>
                <w:b/>
                <w:bCs/>
                <w:szCs w:val="24"/>
              </w:rPr>
            </w:pPr>
            <w:r>
              <w:rPr>
                <w:rFonts w:cs="Times New Roman"/>
                <w:b/>
                <w:bCs/>
                <w:szCs w:val="24"/>
              </w:rPr>
              <w:t xml:space="preserve">3.4.1 </w:t>
            </w:r>
          </w:p>
        </w:tc>
        <w:tc>
          <w:tcPr>
            <w:tcW w:w="2744" w:type="dxa"/>
            <w:tcBorders>
              <w:top w:val="single" w:color="auto" w:sz="12" w:space="0"/>
              <w:bottom w:val="single" w:color="auto" w:sz="12" w:space="0"/>
            </w:tcBorders>
          </w:tcPr>
          <w:p w14:paraId="4B1C3719">
            <w:pPr>
              <w:jc w:val="left"/>
              <w:rPr>
                <w:rFonts w:cs="Times New Roman"/>
                <w:szCs w:val="24"/>
              </w:rPr>
            </w:pPr>
            <w:r>
              <w:rPr>
                <w:rFonts w:cs="Times New Roman"/>
                <w:szCs w:val="24"/>
              </w:rPr>
              <w:t>3–5 days per week, with a rest interval of ≥24 hours</w:t>
            </w:r>
          </w:p>
        </w:tc>
        <w:tc>
          <w:tcPr>
            <w:tcW w:w="2252" w:type="dxa"/>
            <w:tcBorders>
              <w:top w:val="single" w:color="auto" w:sz="12" w:space="0"/>
              <w:bottom w:val="single" w:color="auto" w:sz="12" w:space="0"/>
            </w:tcBorders>
          </w:tcPr>
          <w:p w14:paraId="147A94F9">
            <w:pPr>
              <w:jc w:val="left"/>
              <w:rPr>
                <w:rFonts w:cs="Times New Roman"/>
                <w:szCs w:val="24"/>
              </w:rPr>
            </w:pPr>
            <w:r>
              <w:rPr>
                <w:rFonts w:cs="Times New Roman"/>
                <w:szCs w:val="24"/>
              </w:rPr>
              <w:t>2–3 days per week or every other day for the same muscle group</w:t>
            </w:r>
          </w:p>
        </w:tc>
        <w:tc>
          <w:tcPr>
            <w:tcW w:w="2007" w:type="dxa"/>
            <w:tcBorders>
              <w:top w:val="single" w:color="auto" w:sz="12" w:space="0"/>
              <w:bottom w:val="single" w:color="auto" w:sz="12" w:space="0"/>
            </w:tcBorders>
          </w:tcPr>
          <w:p w14:paraId="3DB1D499">
            <w:pPr>
              <w:jc w:val="left"/>
              <w:rPr>
                <w:rFonts w:cs="Times New Roman"/>
                <w:szCs w:val="24"/>
              </w:rPr>
            </w:pPr>
            <w:r>
              <w:rPr>
                <w:rFonts w:cs="Times New Roman"/>
                <w:szCs w:val="24"/>
              </w:rPr>
              <w:t>At least 4–5 days per week, preferably 5–7 days per week</w:t>
            </w:r>
          </w:p>
        </w:tc>
        <w:tc>
          <w:tcPr>
            <w:tcW w:w="2676" w:type="dxa"/>
            <w:tcBorders>
              <w:top w:val="single" w:color="auto" w:sz="12" w:space="0"/>
              <w:bottom w:val="single" w:color="auto" w:sz="12" w:space="0"/>
              <w:right w:val="single" w:color="auto" w:sz="12" w:space="0"/>
            </w:tcBorders>
          </w:tcPr>
          <w:p w14:paraId="6A35B7A3">
            <w:pPr>
              <w:jc w:val="left"/>
              <w:rPr>
                <w:rFonts w:cs="Times New Roman"/>
                <w:szCs w:val="24"/>
              </w:rPr>
            </w:pPr>
            <w:r>
              <w:rPr>
                <w:rFonts w:cs="Times New Roman"/>
                <w:szCs w:val="24"/>
              </w:rPr>
              <w:t>At least 5 days/week.</w:t>
            </w:r>
          </w:p>
        </w:tc>
      </w:tr>
      <w:tr w14:paraId="70A0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A36CD8A">
            <w:pPr>
              <w:jc w:val="center"/>
              <w:rPr>
                <w:rFonts w:cs="Times New Roman"/>
                <w:szCs w:val="24"/>
                <w:lang w:bidi="ar"/>
              </w:rPr>
            </w:pPr>
          </w:p>
        </w:tc>
        <w:tc>
          <w:tcPr>
            <w:tcW w:w="1788" w:type="dxa"/>
            <w:tcBorders>
              <w:right w:val="single" w:color="auto" w:sz="12" w:space="0"/>
            </w:tcBorders>
          </w:tcPr>
          <w:p w14:paraId="4377DF2E">
            <w:pPr>
              <w:widowControl/>
              <w:adjustRightInd/>
              <w:snapToGrid/>
              <w:spacing w:line="240" w:lineRule="auto"/>
              <w:jc w:val="center"/>
              <w:rPr>
                <w:rFonts w:cs="Times New Roman"/>
                <w:szCs w:val="24"/>
              </w:rPr>
            </w:pPr>
            <w:r>
              <w:rPr>
                <w:rFonts w:cs="Times New Roman"/>
                <w:b/>
                <w:bCs/>
                <w:szCs w:val="24"/>
              </w:rPr>
              <w:t xml:space="preserve">3.5 </w:t>
            </w:r>
            <w:r>
              <w:rPr>
                <w:rFonts w:cs="Times New Roman"/>
                <w:szCs w:val="24"/>
              </w:rPr>
              <w:t>Intensity</w:t>
            </w:r>
          </w:p>
        </w:tc>
        <w:tc>
          <w:tcPr>
            <w:tcW w:w="826" w:type="dxa"/>
            <w:tcBorders>
              <w:top w:val="single" w:color="auto" w:sz="12" w:space="0"/>
              <w:left w:val="single" w:color="auto" w:sz="12" w:space="0"/>
              <w:bottom w:val="single" w:color="auto" w:sz="12" w:space="0"/>
            </w:tcBorders>
          </w:tcPr>
          <w:p w14:paraId="68B9BC74">
            <w:pPr>
              <w:jc w:val="left"/>
              <w:rPr>
                <w:rFonts w:cs="Times New Roman"/>
                <w:b/>
                <w:bCs/>
                <w:szCs w:val="24"/>
              </w:rPr>
            </w:pPr>
            <w:r>
              <w:rPr>
                <w:rFonts w:cs="Times New Roman"/>
                <w:b/>
                <w:bCs/>
                <w:szCs w:val="24"/>
              </w:rPr>
              <w:t>3.5.1</w:t>
            </w:r>
          </w:p>
        </w:tc>
        <w:tc>
          <w:tcPr>
            <w:tcW w:w="2744" w:type="dxa"/>
            <w:tcBorders>
              <w:top w:val="single" w:color="auto" w:sz="12" w:space="0"/>
              <w:bottom w:val="single" w:color="auto" w:sz="12" w:space="0"/>
            </w:tcBorders>
          </w:tcPr>
          <w:p w14:paraId="387F98B0">
            <w:pPr>
              <w:jc w:val="left"/>
              <w:rPr>
                <w:rFonts w:cs="Times New Roman"/>
                <w:szCs w:val="24"/>
              </w:rPr>
            </w:pPr>
            <w:r>
              <w:rPr>
                <w:rFonts w:cs="Times New Roman"/>
                <w:szCs w:val="24"/>
              </w:rPr>
              <w:t>Low-risk: 60–70% HRR (or 30–60% VO₂max, if known), with a Borg score maintained at 3–6.</w:t>
            </w:r>
          </w:p>
          <w:p w14:paraId="12117D05">
            <w:pPr>
              <w:jc w:val="left"/>
              <w:rPr>
                <w:rFonts w:cs="Times New Roman"/>
                <w:szCs w:val="24"/>
              </w:rPr>
            </w:pPr>
            <w:r>
              <w:rPr>
                <w:rFonts w:cs="Times New Roman"/>
                <w:szCs w:val="24"/>
              </w:rPr>
              <w:t>Intermediate-risk: 50–60% HRR (or 30–40% VO₂max, if known), with a Borg score maintained at 3–5.</w:t>
            </w:r>
          </w:p>
          <w:p w14:paraId="43F5DD91">
            <w:pPr>
              <w:jc w:val="left"/>
              <w:rPr>
                <w:rFonts w:cs="Times New Roman"/>
                <w:szCs w:val="24"/>
              </w:rPr>
            </w:pPr>
            <w:r>
              <w:rPr>
                <w:rFonts w:cs="Times New Roman"/>
                <w:szCs w:val="24"/>
              </w:rPr>
              <w:t>High-risk: 30–50% HRR (or 30% VO₂max, if known), with a Borg score maintained at 2–4. [Note: HRR (heart rate reserve) = 220 – patient age – resting heart rate; target heart rate = (HRR × intensity%) + resting heart rate; VO₂max refers to maximal oxygen consumption]</w:t>
            </w:r>
          </w:p>
        </w:tc>
        <w:tc>
          <w:tcPr>
            <w:tcW w:w="2252" w:type="dxa"/>
            <w:tcBorders>
              <w:top w:val="single" w:color="auto" w:sz="12" w:space="0"/>
              <w:bottom w:val="single" w:color="auto" w:sz="12" w:space="0"/>
            </w:tcBorders>
          </w:tcPr>
          <w:p w14:paraId="4A41D8B8">
            <w:pPr>
              <w:jc w:val="left"/>
              <w:rPr>
                <w:rFonts w:cs="Times New Roman"/>
                <w:szCs w:val="24"/>
              </w:rPr>
            </w:pPr>
            <w:r>
              <w:rPr>
                <w:rFonts w:cs="Times New Roman"/>
                <w:szCs w:val="24"/>
              </w:rPr>
              <w:t>Low-risk: 50%–75% 1RM,with a Borg score maintained at 3–6.</w:t>
            </w:r>
          </w:p>
          <w:p w14:paraId="5B23EAE7">
            <w:pPr>
              <w:jc w:val="left"/>
              <w:rPr>
                <w:rFonts w:cs="Times New Roman"/>
                <w:szCs w:val="24"/>
              </w:rPr>
            </w:pPr>
            <w:r>
              <w:rPr>
                <w:rFonts w:cs="Times New Roman"/>
                <w:szCs w:val="24"/>
              </w:rPr>
              <w:t>Intermediate-risk: 30%–50% 1RM,</w:t>
            </w:r>
            <w:r>
              <w:rPr>
                <w:rFonts w:eastAsia="Segoe UI" w:cs="Times New Roman"/>
                <w:szCs w:val="24"/>
                <w:shd w:val="clear" w:color="auto" w:fill="FFFFFF"/>
              </w:rPr>
              <w:t>with a Borg score maintained at 3–5.</w:t>
            </w:r>
          </w:p>
          <w:p w14:paraId="0BF77484">
            <w:pPr>
              <w:jc w:val="left"/>
              <w:rPr>
                <w:rFonts w:cs="Times New Roman"/>
                <w:szCs w:val="24"/>
              </w:rPr>
            </w:pPr>
            <w:r>
              <w:rPr>
                <w:rFonts w:cs="Times New Roman"/>
                <w:szCs w:val="24"/>
              </w:rPr>
              <w:t>High-risk: &lt;30% 1RM,</w:t>
            </w:r>
            <w:r>
              <w:rPr>
                <w:rFonts w:eastAsia="Segoe UI" w:cs="Times New Roman"/>
                <w:szCs w:val="24"/>
                <w:shd w:val="clear" w:color="auto" w:fill="FFFFFF"/>
              </w:rPr>
              <w:t>with a Borg score maintained at 2–4.</w:t>
            </w:r>
          </w:p>
          <w:p w14:paraId="2F3DA234">
            <w:pPr>
              <w:jc w:val="left"/>
              <w:rPr>
                <w:rFonts w:cs="Times New Roman"/>
                <w:szCs w:val="24"/>
              </w:rPr>
            </w:pPr>
            <w:r>
              <w:rPr>
                <w:rFonts w:cs="Times New Roman"/>
                <w:szCs w:val="24"/>
              </w:rPr>
              <w:t>(1RM refers to the maximum weight that can be lifted in a single repetition) Maintain a Borg score of 2–4</w:t>
            </w:r>
          </w:p>
        </w:tc>
        <w:tc>
          <w:tcPr>
            <w:tcW w:w="2007" w:type="dxa"/>
            <w:tcBorders>
              <w:top w:val="single" w:color="auto" w:sz="12" w:space="0"/>
              <w:bottom w:val="single" w:color="auto" w:sz="12" w:space="0"/>
            </w:tcBorders>
          </w:tcPr>
          <w:p w14:paraId="6A846BD8">
            <w:pPr>
              <w:jc w:val="left"/>
              <w:rPr>
                <w:rFonts w:cs="Times New Roman"/>
                <w:szCs w:val="24"/>
              </w:rPr>
            </w:pPr>
            <w:r>
              <w:rPr>
                <w:rFonts w:cs="Times New Roman"/>
                <w:szCs w:val="24"/>
              </w:rPr>
              <w:t>Starting intensity at 30% of maximal inspiratory pressure, adjusted based on patient tolerance</w:t>
            </w:r>
          </w:p>
        </w:tc>
        <w:tc>
          <w:tcPr>
            <w:tcW w:w="2676" w:type="dxa"/>
            <w:tcBorders>
              <w:top w:val="single" w:color="auto" w:sz="12" w:space="0"/>
              <w:bottom w:val="single" w:color="auto" w:sz="12" w:space="0"/>
              <w:right w:val="single" w:color="auto" w:sz="12" w:space="0"/>
            </w:tcBorders>
          </w:tcPr>
          <w:p w14:paraId="752A3E31">
            <w:pPr>
              <w:jc w:val="left"/>
              <w:rPr>
                <w:rFonts w:cs="Times New Roman"/>
                <w:szCs w:val="24"/>
              </w:rPr>
            </w:pPr>
            <w:r>
              <w:rPr>
                <w:rFonts w:cs="Times New Roman"/>
                <w:szCs w:val="24"/>
              </w:rPr>
              <w:t>Borg score: 0–2.</w:t>
            </w:r>
          </w:p>
        </w:tc>
      </w:tr>
      <w:tr w14:paraId="5E07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6C7DA3A">
            <w:pPr>
              <w:jc w:val="center"/>
              <w:rPr>
                <w:rFonts w:cs="Times New Roman"/>
                <w:szCs w:val="24"/>
                <w:lang w:bidi="ar"/>
              </w:rPr>
            </w:pPr>
          </w:p>
        </w:tc>
        <w:tc>
          <w:tcPr>
            <w:tcW w:w="1788" w:type="dxa"/>
            <w:vMerge w:val="restart"/>
          </w:tcPr>
          <w:p w14:paraId="1C0BE154">
            <w:pPr>
              <w:widowControl/>
              <w:adjustRightInd/>
              <w:snapToGrid/>
              <w:spacing w:line="240" w:lineRule="auto"/>
              <w:jc w:val="center"/>
              <w:rPr>
                <w:rFonts w:cs="Times New Roman"/>
                <w:szCs w:val="24"/>
              </w:rPr>
            </w:pPr>
            <w:r>
              <w:rPr>
                <w:rFonts w:cs="Times New Roman"/>
                <w:b/>
                <w:bCs/>
                <w:szCs w:val="24"/>
              </w:rPr>
              <w:t xml:space="preserve">3.6 </w:t>
            </w:r>
            <w:r>
              <w:rPr>
                <w:rFonts w:cs="Times New Roman"/>
                <w:szCs w:val="24"/>
              </w:rPr>
              <w:t>Precautions</w:t>
            </w:r>
          </w:p>
        </w:tc>
        <w:tc>
          <w:tcPr>
            <w:tcW w:w="10505" w:type="dxa"/>
            <w:gridSpan w:val="5"/>
            <w:tcBorders>
              <w:top w:val="single" w:color="auto" w:sz="12" w:space="0"/>
            </w:tcBorders>
            <w:vAlign w:val="center"/>
          </w:tcPr>
          <w:p w14:paraId="0ED00978">
            <w:pPr>
              <w:jc w:val="left"/>
              <w:rPr>
                <w:rFonts w:cs="Times New Roman"/>
                <w:szCs w:val="24"/>
              </w:rPr>
            </w:pPr>
            <w:r>
              <w:rPr>
                <w:rFonts w:cs="Times New Roman"/>
                <w:b/>
                <w:bCs/>
                <w:szCs w:val="24"/>
              </w:rPr>
              <w:t xml:space="preserve">3.6.1 </w:t>
            </w:r>
            <w:r>
              <w:rPr>
                <w:rFonts w:cs="Times New Roman"/>
                <w:szCs w:val="24"/>
                <w:lang w:bidi="ar"/>
              </w:rPr>
              <w:t>Adopt a combined approach of aerobic/resistance/bed-based progressive activities with breathing exercises, using an “exercise–rest–exercise” intermittent pattern, following the principle of gradual progression.</w:t>
            </w:r>
          </w:p>
        </w:tc>
      </w:tr>
      <w:tr w14:paraId="6CEA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0E936B1">
            <w:pPr>
              <w:jc w:val="center"/>
              <w:rPr>
                <w:rFonts w:cs="Times New Roman"/>
                <w:szCs w:val="24"/>
                <w:lang w:bidi="ar"/>
              </w:rPr>
            </w:pPr>
          </w:p>
        </w:tc>
        <w:tc>
          <w:tcPr>
            <w:tcW w:w="1788" w:type="dxa"/>
            <w:vMerge w:val="continue"/>
          </w:tcPr>
          <w:p w14:paraId="3DE42541">
            <w:pPr>
              <w:jc w:val="center"/>
              <w:rPr>
                <w:rFonts w:cs="Times New Roman"/>
                <w:szCs w:val="24"/>
                <w:lang w:bidi="ar"/>
              </w:rPr>
            </w:pPr>
          </w:p>
        </w:tc>
        <w:tc>
          <w:tcPr>
            <w:tcW w:w="10505" w:type="dxa"/>
            <w:gridSpan w:val="5"/>
            <w:vAlign w:val="center"/>
          </w:tcPr>
          <w:p w14:paraId="7475F950">
            <w:pPr>
              <w:jc w:val="left"/>
              <w:rPr>
                <w:rFonts w:cs="Times New Roman"/>
                <w:szCs w:val="24"/>
              </w:rPr>
            </w:pPr>
            <w:r>
              <w:rPr>
                <w:rFonts w:cs="Times New Roman"/>
                <w:b/>
                <w:bCs/>
                <w:szCs w:val="24"/>
              </w:rPr>
              <w:t xml:space="preserve">3.6.2 </w:t>
            </w:r>
            <w:r>
              <w:rPr>
                <w:rFonts w:cs="Times New Roman"/>
                <w:szCs w:val="24"/>
              </w:rPr>
              <w:t>Avoid breath-holding (Valsalva maneuver), competitive sports, and positions that may cause discomfort.</w:t>
            </w:r>
          </w:p>
        </w:tc>
      </w:tr>
      <w:tr w14:paraId="5D47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9BB4609">
            <w:pPr>
              <w:jc w:val="center"/>
              <w:rPr>
                <w:rFonts w:cs="Times New Roman"/>
                <w:szCs w:val="24"/>
                <w:lang w:bidi="ar"/>
              </w:rPr>
            </w:pPr>
          </w:p>
        </w:tc>
        <w:tc>
          <w:tcPr>
            <w:tcW w:w="1788" w:type="dxa"/>
            <w:vMerge w:val="continue"/>
          </w:tcPr>
          <w:p w14:paraId="207ABCFC">
            <w:pPr>
              <w:jc w:val="center"/>
              <w:rPr>
                <w:rFonts w:cs="Times New Roman"/>
                <w:szCs w:val="24"/>
                <w:lang w:bidi="ar"/>
              </w:rPr>
            </w:pPr>
          </w:p>
        </w:tc>
        <w:tc>
          <w:tcPr>
            <w:tcW w:w="10505" w:type="dxa"/>
            <w:gridSpan w:val="5"/>
            <w:vAlign w:val="center"/>
          </w:tcPr>
          <w:p w14:paraId="1FB0D0D0">
            <w:pPr>
              <w:jc w:val="left"/>
              <w:rPr>
                <w:rFonts w:cs="Times New Roman"/>
                <w:szCs w:val="24"/>
              </w:rPr>
            </w:pPr>
            <w:r>
              <w:rPr>
                <w:rFonts w:cs="Times New Roman"/>
                <w:b/>
                <w:bCs/>
                <w:szCs w:val="24"/>
              </w:rPr>
              <w:t>3.6.3</w:t>
            </w:r>
            <w:r>
              <w:rPr>
                <w:rFonts w:cs="Times New Roman"/>
                <w:szCs w:val="24"/>
              </w:rPr>
              <w:t xml:space="preserve"> High-risk patients require careful physician evaluation and may have individualized adjustments</w:t>
            </w:r>
          </w:p>
        </w:tc>
      </w:tr>
      <w:tr w14:paraId="20CD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9AF3678">
            <w:pPr>
              <w:jc w:val="center"/>
              <w:rPr>
                <w:rFonts w:cs="Times New Roman"/>
                <w:szCs w:val="24"/>
                <w:lang w:bidi="ar"/>
              </w:rPr>
            </w:pPr>
          </w:p>
        </w:tc>
        <w:tc>
          <w:tcPr>
            <w:tcW w:w="1788" w:type="dxa"/>
            <w:vMerge w:val="continue"/>
          </w:tcPr>
          <w:p w14:paraId="71C96006">
            <w:pPr>
              <w:jc w:val="center"/>
              <w:rPr>
                <w:rFonts w:cs="Times New Roman"/>
                <w:szCs w:val="24"/>
                <w:lang w:bidi="ar"/>
              </w:rPr>
            </w:pPr>
          </w:p>
        </w:tc>
        <w:tc>
          <w:tcPr>
            <w:tcW w:w="10505" w:type="dxa"/>
            <w:gridSpan w:val="5"/>
            <w:vAlign w:val="center"/>
          </w:tcPr>
          <w:p w14:paraId="5575BC7E">
            <w:pPr>
              <w:jc w:val="left"/>
              <w:rPr>
                <w:rFonts w:cs="Times New Roman"/>
                <w:szCs w:val="24"/>
              </w:rPr>
            </w:pPr>
            <w:r>
              <w:rPr>
                <w:rFonts w:cs="Times New Roman"/>
                <w:b/>
                <w:bCs/>
                <w:szCs w:val="24"/>
              </w:rPr>
              <w:t>3.6.4</w:t>
            </w:r>
            <w:r>
              <w:rPr>
                <w:rFonts w:cs="Times New Roman"/>
                <w:szCs w:val="24"/>
              </w:rPr>
              <w:t xml:space="preserve"> A 5–10 minute warm-up should be performed before training (e.g., slow walking, joint mobility exercises, dynamic stretching, slow deep breathing, chest expansion exercises), with a Borg score not exceeding 2. A 5–10 minute cool-down should be performed after training (e.g., gradually decreasing walking intensity, static stretching, slow breathing, chest relaxation), with a focus on monitoring the steady return of heart rate and blood pressure to baseline.</w:t>
            </w:r>
          </w:p>
        </w:tc>
      </w:tr>
      <w:tr w14:paraId="639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395F01F">
            <w:pPr>
              <w:jc w:val="center"/>
              <w:rPr>
                <w:rFonts w:cs="Times New Roman"/>
                <w:szCs w:val="24"/>
                <w:lang w:bidi="ar"/>
              </w:rPr>
            </w:pPr>
          </w:p>
        </w:tc>
        <w:tc>
          <w:tcPr>
            <w:tcW w:w="1788" w:type="dxa"/>
            <w:vMerge w:val="restart"/>
          </w:tcPr>
          <w:p w14:paraId="5A29BAA3">
            <w:pPr>
              <w:jc w:val="center"/>
              <w:rPr>
                <w:rFonts w:cs="Times New Roman"/>
                <w:szCs w:val="24"/>
                <w:lang w:bidi="ar"/>
              </w:rPr>
            </w:pPr>
            <w:r>
              <w:rPr>
                <w:rFonts w:cs="Times New Roman"/>
                <w:b/>
                <w:bCs/>
                <w:szCs w:val="24"/>
              </w:rPr>
              <w:t>3.7</w:t>
            </w:r>
            <w:r>
              <w:rPr>
                <w:rFonts w:cs="Times New Roman"/>
                <w:szCs w:val="24"/>
              </w:rPr>
              <w:t xml:space="preserve"> Indications for Suspension</w:t>
            </w:r>
          </w:p>
        </w:tc>
        <w:tc>
          <w:tcPr>
            <w:tcW w:w="10505" w:type="dxa"/>
            <w:gridSpan w:val="5"/>
          </w:tcPr>
          <w:p w14:paraId="0DE9F647">
            <w:pPr>
              <w:jc w:val="left"/>
              <w:rPr>
                <w:rFonts w:cs="Times New Roman"/>
                <w:szCs w:val="24"/>
              </w:rPr>
            </w:pPr>
            <w:r>
              <w:rPr>
                <w:rFonts w:cs="Times New Roman"/>
                <w:b/>
                <w:bCs/>
                <w:szCs w:val="24"/>
              </w:rPr>
              <w:t xml:space="preserve">3.7.1 </w:t>
            </w:r>
            <w:r>
              <w:rPr>
                <w:rFonts w:cs="Times New Roman"/>
                <w:szCs w:val="24"/>
              </w:rPr>
              <w:t>Discontinue exercise immediately if significant discomfort occurs during exercise (e.g., chest pain, dyspnea, dizziness, blurred vision, syncope)</w:t>
            </w:r>
          </w:p>
        </w:tc>
      </w:tr>
      <w:tr w14:paraId="5B8E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E66A03A">
            <w:pPr>
              <w:jc w:val="center"/>
              <w:rPr>
                <w:rFonts w:cs="Times New Roman"/>
                <w:szCs w:val="24"/>
                <w:lang w:bidi="ar"/>
              </w:rPr>
            </w:pPr>
          </w:p>
        </w:tc>
        <w:tc>
          <w:tcPr>
            <w:tcW w:w="1788" w:type="dxa"/>
            <w:vMerge w:val="continue"/>
          </w:tcPr>
          <w:p w14:paraId="621D97F3">
            <w:pPr>
              <w:jc w:val="center"/>
              <w:rPr>
                <w:rFonts w:cs="Times New Roman"/>
                <w:szCs w:val="24"/>
              </w:rPr>
            </w:pPr>
          </w:p>
        </w:tc>
        <w:tc>
          <w:tcPr>
            <w:tcW w:w="10505" w:type="dxa"/>
            <w:gridSpan w:val="5"/>
            <w:vAlign w:val="center"/>
          </w:tcPr>
          <w:p w14:paraId="245B3F0A">
            <w:pPr>
              <w:jc w:val="left"/>
              <w:rPr>
                <w:rFonts w:cs="Times New Roman"/>
                <w:szCs w:val="24"/>
              </w:rPr>
            </w:pPr>
            <w:r>
              <w:rPr>
                <w:rFonts w:cs="Times New Roman"/>
                <w:b/>
                <w:bCs/>
                <w:szCs w:val="24"/>
              </w:rPr>
              <w:t>3.7.2</w:t>
            </w:r>
            <w:r>
              <w:rPr>
                <w:rFonts w:cs="Times New Roman"/>
                <w:szCs w:val="24"/>
              </w:rPr>
              <w:t xml:space="preserve"> During exercise, monitoring devices (such as pulse oximeters, wearable electronic devices, etc.) should be used to track oxygen saturation (SpO₂) and heart rate. When conditions permit, additional parameters such as blood pressure and respiratory rate may also be monitored. If vital signs become unstable during exercise, the activity should be stopped immediately. If SpO₂ drops by more than 5%, exercise should be stopped immediately and supplemental oxygen administered.</w:t>
            </w:r>
          </w:p>
        </w:tc>
      </w:tr>
      <w:tr w14:paraId="2F26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5E756D9">
            <w:pPr>
              <w:jc w:val="center"/>
              <w:rPr>
                <w:rFonts w:cs="Times New Roman"/>
                <w:szCs w:val="24"/>
                <w:lang w:bidi="ar"/>
              </w:rPr>
            </w:pPr>
          </w:p>
        </w:tc>
        <w:tc>
          <w:tcPr>
            <w:tcW w:w="1788" w:type="dxa"/>
            <w:vMerge w:val="restart"/>
          </w:tcPr>
          <w:p w14:paraId="46FBBD91">
            <w:pPr>
              <w:jc w:val="center"/>
              <w:rPr>
                <w:rFonts w:cs="Times New Roman"/>
                <w:szCs w:val="24"/>
                <w:lang w:bidi="ar"/>
              </w:rPr>
            </w:pPr>
            <w:r>
              <w:rPr>
                <w:rFonts w:cs="Times New Roman"/>
                <w:b/>
                <w:bCs/>
                <w:szCs w:val="24"/>
              </w:rPr>
              <w:t xml:space="preserve">3.8 </w:t>
            </w:r>
            <w:r>
              <w:rPr>
                <w:rFonts w:cs="Times New Roman"/>
                <w:szCs w:val="24"/>
              </w:rPr>
              <w:t>Altitude gradient adjustment</w:t>
            </w:r>
          </w:p>
        </w:tc>
        <w:tc>
          <w:tcPr>
            <w:tcW w:w="10505" w:type="dxa"/>
            <w:gridSpan w:val="5"/>
          </w:tcPr>
          <w:p w14:paraId="42A42B88">
            <w:pPr>
              <w:jc w:val="left"/>
              <w:rPr>
                <w:rFonts w:cs="Times New Roman"/>
                <w:szCs w:val="24"/>
              </w:rPr>
            </w:pPr>
            <w:r>
              <w:rPr>
                <w:rFonts w:cs="Times New Roman"/>
                <w:b/>
                <w:bCs/>
                <w:szCs w:val="24"/>
              </w:rPr>
              <w:t>3.8.1</w:t>
            </w:r>
            <w:r>
              <w:rPr>
                <w:rFonts w:cs="Times New Roman"/>
                <w:szCs w:val="24"/>
              </w:rPr>
              <w:t xml:space="preserve"> </w:t>
            </w:r>
            <w:r>
              <w:rPr>
                <w:rFonts w:cs="Times New Roman"/>
                <w:szCs w:val="24"/>
                <w:lang w:bidi="ar"/>
              </w:rPr>
              <w:t>Baseline: This program is established with Xining’s altitude as the baseline (2261 meters). All exercise prescriptions should be developed and adjusted based on the patient’s current residence or training altitude</w:t>
            </w:r>
          </w:p>
        </w:tc>
      </w:tr>
      <w:tr w14:paraId="206F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1AC07C2">
            <w:pPr>
              <w:jc w:val="center"/>
              <w:rPr>
                <w:rFonts w:cs="Times New Roman"/>
                <w:szCs w:val="24"/>
                <w:lang w:bidi="ar"/>
              </w:rPr>
            </w:pPr>
          </w:p>
        </w:tc>
        <w:tc>
          <w:tcPr>
            <w:tcW w:w="1788" w:type="dxa"/>
            <w:vMerge w:val="continue"/>
          </w:tcPr>
          <w:p w14:paraId="3FB25E84">
            <w:pPr>
              <w:jc w:val="center"/>
              <w:rPr>
                <w:rFonts w:cs="Times New Roman"/>
                <w:szCs w:val="24"/>
                <w:lang w:bidi="ar"/>
              </w:rPr>
            </w:pPr>
          </w:p>
        </w:tc>
        <w:tc>
          <w:tcPr>
            <w:tcW w:w="10505" w:type="dxa"/>
            <w:gridSpan w:val="5"/>
          </w:tcPr>
          <w:p w14:paraId="38E0BAE8">
            <w:pPr>
              <w:jc w:val="left"/>
              <w:rPr>
                <w:rFonts w:cs="Times New Roman"/>
                <w:szCs w:val="24"/>
              </w:rPr>
            </w:pPr>
            <w:r>
              <w:rPr>
                <w:rFonts w:cs="Times New Roman"/>
                <w:b/>
                <w:bCs/>
                <w:szCs w:val="24"/>
              </w:rPr>
              <w:t xml:space="preserve">3.8.2 </w:t>
            </w:r>
            <w:r>
              <w:rPr>
                <w:rFonts w:cs="Times New Roman"/>
                <w:szCs w:val="24"/>
                <w:lang w:bidi="ar"/>
              </w:rPr>
              <w:t>Principle: Adjustments should be made with the aim of not causing significant discomfort. Recommended adjustments: at altitudes of 2000–2500 meters, implement according to the baseline; at altitudes of 2500–3000 meters, it is recommended to reduce exercise intensity and duration to 80%–90% of the baseline; at altitudes of 3000–4000 meters, it is recommended to reduce exercise intensity and duration to 60%–80% of the baseline.</w:t>
            </w:r>
          </w:p>
        </w:tc>
      </w:tr>
      <w:tr w14:paraId="3D55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56A9D5D">
            <w:pPr>
              <w:jc w:val="center"/>
              <w:rPr>
                <w:rFonts w:cs="Times New Roman"/>
                <w:szCs w:val="24"/>
                <w:lang w:bidi="ar"/>
              </w:rPr>
            </w:pPr>
          </w:p>
        </w:tc>
        <w:tc>
          <w:tcPr>
            <w:tcW w:w="1788" w:type="dxa"/>
            <w:vMerge w:val="continue"/>
          </w:tcPr>
          <w:p w14:paraId="4623D41F">
            <w:pPr>
              <w:jc w:val="center"/>
              <w:rPr>
                <w:rFonts w:cs="Times New Roman"/>
                <w:szCs w:val="24"/>
                <w:lang w:bidi="ar"/>
              </w:rPr>
            </w:pPr>
          </w:p>
        </w:tc>
        <w:tc>
          <w:tcPr>
            <w:tcW w:w="10505" w:type="dxa"/>
            <w:gridSpan w:val="5"/>
          </w:tcPr>
          <w:p w14:paraId="678D9335">
            <w:pPr>
              <w:jc w:val="left"/>
              <w:rPr>
                <w:rFonts w:cs="Times New Roman"/>
                <w:szCs w:val="24"/>
              </w:rPr>
            </w:pPr>
            <w:r>
              <w:rPr>
                <w:rFonts w:cs="Times New Roman"/>
                <w:b/>
                <w:bCs/>
                <w:szCs w:val="24"/>
              </w:rPr>
              <w:t xml:space="preserve">3.8.3 </w:t>
            </w:r>
            <w:r>
              <w:rPr>
                <w:rFonts w:cs="Times New Roman"/>
                <w:szCs w:val="24"/>
                <w:lang w:bidi="ar"/>
              </w:rPr>
              <w:t>At very high altitudes (&gt;4000 meters), focus on low-intensity activities of daily living and breathing exercises; aerobic and resistance training require close physician evaluation and supervision</w:t>
            </w:r>
          </w:p>
        </w:tc>
      </w:tr>
      <w:tr w14:paraId="2B33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0D439CC9">
            <w:pPr>
              <w:widowControl/>
              <w:adjustRightInd/>
              <w:snapToGrid/>
              <w:spacing w:line="240" w:lineRule="auto"/>
              <w:jc w:val="center"/>
              <w:rPr>
                <w:rFonts w:cs="Times New Roman"/>
                <w:szCs w:val="24"/>
              </w:rPr>
            </w:pPr>
            <w:r>
              <w:rPr>
                <w:rFonts w:cs="Times New Roman"/>
                <w:b/>
                <w:bCs/>
                <w:szCs w:val="24"/>
              </w:rPr>
              <w:t>4</w:t>
            </w:r>
            <w:r>
              <w:rPr>
                <w:rFonts w:cs="Times New Roman"/>
                <w:szCs w:val="24"/>
              </w:rPr>
              <w:t xml:space="preserve"> </w:t>
            </w:r>
            <w:r>
              <w:rPr>
                <w:rFonts w:cs="Times New Roman"/>
                <w:szCs w:val="24"/>
                <w:lang w:bidi="ar"/>
              </w:rPr>
              <w:t>Health Education</w:t>
            </w:r>
          </w:p>
        </w:tc>
        <w:tc>
          <w:tcPr>
            <w:tcW w:w="1788" w:type="dxa"/>
            <w:vMerge w:val="restart"/>
            <w:vAlign w:val="center"/>
          </w:tcPr>
          <w:p w14:paraId="75E276B3">
            <w:pPr>
              <w:jc w:val="center"/>
              <w:rPr>
                <w:rFonts w:cs="Times New Roman"/>
                <w:szCs w:val="24"/>
                <w:lang w:bidi="ar"/>
              </w:rPr>
            </w:pPr>
            <w:r>
              <w:rPr>
                <w:rFonts w:cs="Times New Roman"/>
                <w:b/>
                <w:bCs/>
                <w:szCs w:val="24"/>
              </w:rPr>
              <w:t xml:space="preserve">4.1 </w:t>
            </w:r>
            <w:r>
              <w:rPr>
                <w:rFonts w:cs="Times New Roman"/>
                <w:szCs w:val="24"/>
                <w:lang w:bidi="ar"/>
              </w:rPr>
              <w:t>Oxygen therapy guidance</w:t>
            </w:r>
          </w:p>
        </w:tc>
        <w:tc>
          <w:tcPr>
            <w:tcW w:w="10505" w:type="dxa"/>
            <w:gridSpan w:val="5"/>
            <w:vAlign w:val="center"/>
          </w:tcPr>
          <w:p w14:paraId="0BF0AD43">
            <w:pPr>
              <w:jc w:val="left"/>
              <w:rPr>
                <w:rFonts w:cs="Times New Roman"/>
                <w:szCs w:val="24"/>
              </w:rPr>
            </w:pPr>
            <w:r>
              <w:rPr>
                <w:rFonts w:cs="Times New Roman"/>
                <w:b/>
                <w:bCs/>
                <w:szCs w:val="24"/>
              </w:rPr>
              <w:t>4.1.1</w:t>
            </w:r>
            <w:r>
              <w:rPr>
                <w:rFonts w:cs="Times New Roman"/>
                <w:szCs w:val="24"/>
              </w:rPr>
              <w:t xml:space="preserve"> </w:t>
            </w:r>
            <w:r>
              <w:rPr>
                <w:rFonts w:cs="Times New Roman"/>
                <w:szCs w:val="24"/>
                <w:lang w:bidi="ar"/>
              </w:rPr>
              <w:t>For patients with exercise-induced hypoxemia, supplemental oxygen should be provided during exercise; however, routine oxygen supplementation for all pulmonary rehabilitation patients is not recommended.</w:t>
            </w:r>
          </w:p>
        </w:tc>
      </w:tr>
      <w:tr w14:paraId="2E8A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761F16BB">
            <w:pPr>
              <w:jc w:val="center"/>
              <w:rPr>
                <w:rFonts w:cs="Times New Roman"/>
                <w:szCs w:val="24"/>
                <w:lang w:bidi="ar"/>
              </w:rPr>
            </w:pPr>
          </w:p>
        </w:tc>
        <w:tc>
          <w:tcPr>
            <w:tcW w:w="1788" w:type="dxa"/>
            <w:vMerge w:val="continue"/>
            <w:vAlign w:val="center"/>
          </w:tcPr>
          <w:p w14:paraId="21B802CA">
            <w:pPr>
              <w:jc w:val="center"/>
              <w:rPr>
                <w:rFonts w:cs="Times New Roman"/>
                <w:szCs w:val="24"/>
                <w:lang w:bidi="ar"/>
              </w:rPr>
            </w:pPr>
          </w:p>
        </w:tc>
        <w:tc>
          <w:tcPr>
            <w:tcW w:w="10505" w:type="dxa"/>
            <w:gridSpan w:val="5"/>
            <w:vAlign w:val="center"/>
          </w:tcPr>
          <w:p w14:paraId="2B4FC6CB">
            <w:pPr>
              <w:jc w:val="left"/>
              <w:rPr>
                <w:rFonts w:cs="Times New Roman"/>
                <w:szCs w:val="24"/>
              </w:rPr>
            </w:pPr>
            <w:r>
              <w:rPr>
                <w:rFonts w:cs="Times New Roman"/>
                <w:b/>
                <w:bCs/>
                <w:szCs w:val="24"/>
              </w:rPr>
              <w:t xml:space="preserve">4.1.2 </w:t>
            </w:r>
            <w:r>
              <w:rPr>
                <w:rFonts w:cs="Times New Roman"/>
                <w:szCs w:val="24"/>
                <w:lang w:bidi="ar"/>
              </w:rPr>
              <w:t>For patients with resting hypoxemia, daily oxygen therapy duration ≥15 hours, flow rate 2–4 L/min, target: maintain SpO₂ &gt;5% above pre-oxygenation levels.</w:t>
            </w:r>
          </w:p>
        </w:tc>
      </w:tr>
      <w:tr w14:paraId="2547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1C26E87">
            <w:pPr>
              <w:jc w:val="center"/>
              <w:rPr>
                <w:rFonts w:cs="Times New Roman"/>
                <w:szCs w:val="24"/>
                <w:lang w:bidi="ar"/>
              </w:rPr>
            </w:pPr>
          </w:p>
        </w:tc>
        <w:tc>
          <w:tcPr>
            <w:tcW w:w="1788" w:type="dxa"/>
            <w:vMerge w:val="restart"/>
            <w:vAlign w:val="center"/>
          </w:tcPr>
          <w:p w14:paraId="1B16EFD6">
            <w:pPr>
              <w:jc w:val="center"/>
              <w:rPr>
                <w:rFonts w:cs="Times New Roman"/>
                <w:szCs w:val="24"/>
                <w:lang w:bidi="ar"/>
              </w:rPr>
            </w:pPr>
            <w:r>
              <w:rPr>
                <w:rFonts w:cs="Times New Roman"/>
                <w:b/>
                <w:bCs/>
                <w:szCs w:val="24"/>
              </w:rPr>
              <w:t xml:space="preserve">4.2 </w:t>
            </w:r>
            <w:r>
              <w:rPr>
                <w:rFonts w:cs="Times New Roman"/>
                <w:szCs w:val="24"/>
                <w:lang w:bidi="ar"/>
              </w:rPr>
              <w:t>Airway clearance guidance</w:t>
            </w:r>
          </w:p>
        </w:tc>
        <w:tc>
          <w:tcPr>
            <w:tcW w:w="10505" w:type="dxa"/>
            <w:gridSpan w:val="5"/>
            <w:vAlign w:val="center"/>
          </w:tcPr>
          <w:p w14:paraId="59FBA076">
            <w:pPr>
              <w:jc w:val="left"/>
              <w:rPr>
                <w:rFonts w:cs="Times New Roman"/>
                <w:szCs w:val="24"/>
              </w:rPr>
            </w:pPr>
            <w:r>
              <w:rPr>
                <w:rFonts w:cs="Times New Roman"/>
                <w:b/>
                <w:bCs/>
                <w:szCs w:val="24"/>
              </w:rPr>
              <w:t>4.2.1</w:t>
            </w:r>
            <w:r>
              <w:rPr>
                <w:rFonts w:cs="Times New Roman"/>
                <w:szCs w:val="24"/>
              </w:rPr>
              <w:t xml:space="preserve"> </w:t>
            </w:r>
            <w:r>
              <w:rPr>
                <w:rFonts w:cs="Times New Roman"/>
                <w:szCs w:val="24"/>
                <w:lang w:bidi="ar"/>
              </w:rPr>
              <w:t>For patients with retained secretions who are unable to expectorate, airway clearance techniques should be selectively used based on the patient's condition.</w:t>
            </w:r>
          </w:p>
        </w:tc>
      </w:tr>
      <w:tr w14:paraId="2BF4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B3C611D">
            <w:pPr>
              <w:jc w:val="center"/>
              <w:rPr>
                <w:rFonts w:cs="Times New Roman"/>
                <w:szCs w:val="24"/>
                <w:lang w:bidi="ar"/>
              </w:rPr>
            </w:pPr>
          </w:p>
        </w:tc>
        <w:tc>
          <w:tcPr>
            <w:tcW w:w="1788" w:type="dxa"/>
            <w:vMerge w:val="continue"/>
            <w:vAlign w:val="center"/>
          </w:tcPr>
          <w:p w14:paraId="6666676E">
            <w:pPr>
              <w:jc w:val="center"/>
              <w:rPr>
                <w:rFonts w:cs="Times New Roman"/>
                <w:szCs w:val="24"/>
                <w:lang w:bidi="ar"/>
              </w:rPr>
            </w:pPr>
          </w:p>
        </w:tc>
        <w:tc>
          <w:tcPr>
            <w:tcW w:w="10505" w:type="dxa"/>
            <w:gridSpan w:val="5"/>
            <w:vAlign w:val="center"/>
          </w:tcPr>
          <w:p w14:paraId="019AD542">
            <w:pPr>
              <w:jc w:val="left"/>
              <w:rPr>
                <w:rFonts w:cs="Times New Roman"/>
                <w:szCs w:val="24"/>
              </w:rPr>
            </w:pPr>
            <w:r>
              <w:rPr>
                <w:rFonts w:cs="Times New Roman"/>
                <w:b/>
                <w:bCs/>
                <w:szCs w:val="24"/>
              </w:rPr>
              <w:t xml:space="preserve">4.2.2 </w:t>
            </w:r>
            <w:r>
              <w:rPr>
                <w:rFonts w:cs="Times New Roman"/>
                <w:szCs w:val="24"/>
                <w:lang w:bidi="ar"/>
              </w:rPr>
              <w:t>Techniques: forced expiration technique, active cycle of breathing technique (ACBT), positive expiratory pressure (PEP) technique, etc.</w:t>
            </w:r>
          </w:p>
        </w:tc>
      </w:tr>
      <w:tr w14:paraId="6BD4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BB732FC">
            <w:pPr>
              <w:jc w:val="center"/>
              <w:rPr>
                <w:rFonts w:cs="Times New Roman"/>
                <w:szCs w:val="24"/>
                <w:lang w:bidi="ar"/>
              </w:rPr>
            </w:pPr>
          </w:p>
        </w:tc>
        <w:tc>
          <w:tcPr>
            <w:tcW w:w="1788" w:type="dxa"/>
            <w:vMerge w:val="restart"/>
            <w:vAlign w:val="center"/>
          </w:tcPr>
          <w:p w14:paraId="4E2BBA76">
            <w:pPr>
              <w:jc w:val="center"/>
              <w:rPr>
                <w:rFonts w:cs="Times New Roman"/>
                <w:szCs w:val="24"/>
                <w:lang w:bidi="ar"/>
              </w:rPr>
            </w:pPr>
            <w:r>
              <w:rPr>
                <w:rFonts w:cs="Times New Roman"/>
                <w:b/>
                <w:bCs/>
                <w:szCs w:val="24"/>
              </w:rPr>
              <w:t>4.3</w:t>
            </w:r>
            <w:r>
              <w:rPr>
                <w:rFonts w:cs="Times New Roman"/>
                <w:szCs w:val="24"/>
              </w:rPr>
              <w:t xml:space="preserve"> </w:t>
            </w:r>
            <w:r>
              <w:rPr>
                <w:rFonts w:cs="Times New Roman"/>
                <w:szCs w:val="24"/>
                <w:lang w:bidi="ar"/>
              </w:rPr>
              <w:t>Nutritional guidance</w:t>
            </w:r>
          </w:p>
        </w:tc>
        <w:tc>
          <w:tcPr>
            <w:tcW w:w="10505" w:type="dxa"/>
            <w:gridSpan w:val="5"/>
            <w:vAlign w:val="center"/>
          </w:tcPr>
          <w:p w14:paraId="7E9D18FB">
            <w:pPr>
              <w:jc w:val="left"/>
              <w:rPr>
                <w:rFonts w:cs="Times New Roman"/>
                <w:szCs w:val="24"/>
              </w:rPr>
            </w:pPr>
            <w:r>
              <w:rPr>
                <w:rFonts w:cs="Times New Roman"/>
                <w:b/>
                <w:bCs/>
                <w:szCs w:val="24"/>
              </w:rPr>
              <w:t xml:space="preserve">4.3.1 </w:t>
            </w:r>
            <w:r>
              <w:rPr>
                <w:rFonts w:cs="Times New Roman"/>
                <w:szCs w:val="24"/>
                <w:lang w:bidi="ar"/>
              </w:rPr>
              <w:t>Differentiated energy support based on heart function classification: stable patients (WHO-FC I–II) receive 30–35 kcal/kg/day (ideal body weight); patients with severe disease or heart failure (WHO-FC III–IV) receive 35–40 kcal/kg/day to counteract hypermetabolism and prevent malnutrition.</w:t>
            </w:r>
          </w:p>
        </w:tc>
      </w:tr>
      <w:tr w14:paraId="00D3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99DA294">
            <w:pPr>
              <w:jc w:val="center"/>
              <w:rPr>
                <w:rFonts w:cs="Times New Roman"/>
                <w:szCs w:val="24"/>
                <w:lang w:bidi="ar"/>
              </w:rPr>
            </w:pPr>
          </w:p>
        </w:tc>
        <w:tc>
          <w:tcPr>
            <w:tcW w:w="1788" w:type="dxa"/>
            <w:vMerge w:val="continue"/>
            <w:vAlign w:val="center"/>
          </w:tcPr>
          <w:p w14:paraId="3F72D46B">
            <w:pPr>
              <w:jc w:val="center"/>
              <w:rPr>
                <w:rFonts w:cs="Times New Roman"/>
                <w:szCs w:val="24"/>
                <w:lang w:bidi="ar"/>
              </w:rPr>
            </w:pPr>
          </w:p>
        </w:tc>
        <w:tc>
          <w:tcPr>
            <w:tcW w:w="10505" w:type="dxa"/>
            <w:gridSpan w:val="5"/>
            <w:vAlign w:val="center"/>
          </w:tcPr>
          <w:p w14:paraId="334BDFBE">
            <w:pPr>
              <w:jc w:val="left"/>
              <w:rPr>
                <w:rFonts w:cs="Times New Roman"/>
                <w:szCs w:val="24"/>
                <w:lang w:bidi="ar"/>
              </w:rPr>
            </w:pPr>
            <w:r>
              <w:rPr>
                <w:rFonts w:cs="Times New Roman"/>
                <w:b/>
                <w:bCs/>
                <w:szCs w:val="24"/>
              </w:rPr>
              <w:t xml:space="preserve">4.3.2 </w:t>
            </w:r>
            <w:r>
              <w:rPr>
                <w:rFonts w:cs="Times New Roman"/>
                <w:szCs w:val="24"/>
                <w:lang w:bidi="ar"/>
              </w:rPr>
              <w:t>Daily protein intake 1.2–1.5 g/kg (ideal body weight), prioritizing high-quality protein (fish, meat, eggs, milk, soy products, etc.).</w:t>
            </w:r>
          </w:p>
        </w:tc>
      </w:tr>
      <w:tr w14:paraId="5253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45F697F1">
            <w:pPr>
              <w:jc w:val="center"/>
              <w:rPr>
                <w:rFonts w:cs="Times New Roman"/>
                <w:szCs w:val="24"/>
                <w:lang w:bidi="ar"/>
              </w:rPr>
            </w:pPr>
          </w:p>
        </w:tc>
        <w:tc>
          <w:tcPr>
            <w:tcW w:w="1788" w:type="dxa"/>
            <w:vMerge w:val="continue"/>
            <w:vAlign w:val="center"/>
          </w:tcPr>
          <w:p w14:paraId="202FCA4D">
            <w:pPr>
              <w:jc w:val="center"/>
              <w:rPr>
                <w:rFonts w:cs="Times New Roman"/>
                <w:szCs w:val="24"/>
                <w:lang w:bidi="ar"/>
              </w:rPr>
            </w:pPr>
          </w:p>
        </w:tc>
        <w:tc>
          <w:tcPr>
            <w:tcW w:w="10505" w:type="dxa"/>
            <w:gridSpan w:val="5"/>
            <w:vAlign w:val="center"/>
          </w:tcPr>
          <w:p w14:paraId="6470B16E">
            <w:pPr>
              <w:jc w:val="left"/>
              <w:rPr>
                <w:rFonts w:cs="Times New Roman"/>
                <w:szCs w:val="24"/>
                <w:lang w:bidi="ar"/>
              </w:rPr>
            </w:pPr>
            <w:r>
              <w:rPr>
                <w:rFonts w:cs="Times New Roman"/>
                <w:b/>
                <w:bCs/>
                <w:szCs w:val="24"/>
              </w:rPr>
              <w:t>4.3.3</w:t>
            </w:r>
            <w:r>
              <w:rPr>
                <w:rFonts w:cs="Times New Roman"/>
                <w:szCs w:val="24"/>
              </w:rPr>
              <w:t xml:space="preserve"> </w:t>
            </w:r>
            <w:r>
              <w:rPr>
                <w:rFonts w:cs="Times New Roman"/>
                <w:szCs w:val="24"/>
                <w:lang w:bidi="ar"/>
              </w:rPr>
              <w:t>Eat small, frequent meals; 3–5 meals per day is recommended.</w:t>
            </w:r>
          </w:p>
        </w:tc>
      </w:tr>
      <w:tr w14:paraId="01C0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FC9EAEC">
            <w:pPr>
              <w:jc w:val="center"/>
              <w:rPr>
                <w:rFonts w:cs="Times New Roman"/>
                <w:szCs w:val="24"/>
                <w:lang w:bidi="ar"/>
              </w:rPr>
            </w:pPr>
          </w:p>
        </w:tc>
        <w:tc>
          <w:tcPr>
            <w:tcW w:w="1788" w:type="dxa"/>
            <w:vMerge w:val="continue"/>
            <w:vAlign w:val="center"/>
          </w:tcPr>
          <w:p w14:paraId="30466183">
            <w:pPr>
              <w:jc w:val="center"/>
              <w:rPr>
                <w:rFonts w:cs="Times New Roman"/>
                <w:szCs w:val="24"/>
                <w:lang w:bidi="ar"/>
              </w:rPr>
            </w:pPr>
          </w:p>
        </w:tc>
        <w:tc>
          <w:tcPr>
            <w:tcW w:w="10505" w:type="dxa"/>
            <w:gridSpan w:val="5"/>
            <w:vAlign w:val="center"/>
          </w:tcPr>
          <w:p w14:paraId="1717A925">
            <w:pPr>
              <w:jc w:val="left"/>
              <w:rPr>
                <w:rFonts w:cs="Times New Roman"/>
                <w:szCs w:val="24"/>
                <w:lang w:bidi="ar"/>
              </w:rPr>
            </w:pPr>
            <w:r>
              <w:rPr>
                <w:rFonts w:cs="Times New Roman"/>
                <w:b/>
                <w:bCs/>
                <w:szCs w:val="24"/>
              </w:rPr>
              <w:t xml:space="preserve">4.3.4 </w:t>
            </w:r>
            <w:r>
              <w:rPr>
                <w:rFonts w:cs="Times New Roman"/>
                <w:szCs w:val="24"/>
                <w:lang w:bidi="ar"/>
              </w:rPr>
              <w:t>For patients with comorbidities such as diabetes, hypertension, kidney disease, or obesity, adjustments should be made dynamically by the attending physician and nutritionist based on changes in the condition.</w:t>
            </w:r>
          </w:p>
        </w:tc>
      </w:tr>
      <w:tr w14:paraId="447B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A932F8B">
            <w:pPr>
              <w:jc w:val="center"/>
              <w:rPr>
                <w:rFonts w:cs="Times New Roman"/>
                <w:szCs w:val="24"/>
                <w:lang w:bidi="ar"/>
              </w:rPr>
            </w:pPr>
          </w:p>
        </w:tc>
        <w:tc>
          <w:tcPr>
            <w:tcW w:w="1788" w:type="dxa"/>
            <w:vMerge w:val="restart"/>
            <w:vAlign w:val="center"/>
          </w:tcPr>
          <w:p w14:paraId="5B93DC63">
            <w:pPr>
              <w:jc w:val="center"/>
              <w:rPr>
                <w:rFonts w:cs="Times New Roman"/>
                <w:b/>
                <w:bCs/>
                <w:szCs w:val="24"/>
              </w:rPr>
            </w:pPr>
            <w:r>
              <w:rPr>
                <w:rFonts w:cs="Times New Roman"/>
                <w:b/>
                <w:bCs/>
                <w:szCs w:val="24"/>
              </w:rPr>
              <w:t xml:space="preserve">4.4 </w:t>
            </w:r>
            <w:r>
              <w:rPr>
                <w:rFonts w:cs="Times New Roman"/>
                <w:szCs w:val="24"/>
              </w:rPr>
              <w:t>Medication management and adherence education</w:t>
            </w:r>
          </w:p>
        </w:tc>
        <w:tc>
          <w:tcPr>
            <w:tcW w:w="10505" w:type="dxa"/>
            <w:gridSpan w:val="5"/>
            <w:vAlign w:val="center"/>
          </w:tcPr>
          <w:p w14:paraId="527A9A3B">
            <w:pPr>
              <w:jc w:val="left"/>
              <w:rPr>
                <w:rFonts w:cs="Times New Roman"/>
                <w:b/>
                <w:bCs/>
                <w:szCs w:val="24"/>
              </w:rPr>
            </w:pPr>
            <w:r>
              <w:rPr>
                <w:rFonts w:cs="Times New Roman"/>
                <w:b/>
                <w:bCs/>
                <w:szCs w:val="24"/>
              </w:rPr>
              <w:t xml:space="preserve">4.4.1 </w:t>
            </w:r>
            <w:r>
              <w:rPr>
                <w:rFonts w:cs="Times New Roman"/>
                <w:szCs w:val="24"/>
              </w:rPr>
              <w:t>Educate patients to adhere to the principle of “fixed timing, fixed dosage, fixed method, and fixed course” when taking medications. Self-discontinuation or dosage adjustment is strictly prohibited. Any medication changes must be determined by the physician after follow-up evaluation.</w:t>
            </w:r>
          </w:p>
        </w:tc>
      </w:tr>
      <w:tr w14:paraId="06E9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60B47E9">
            <w:pPr>
              <w:jc w:val="center"/>
              <w:rPr>
                <w:rFonts w:cs="Times New Roman"/>
                <w:szCs w:val="24"/>
                <w:lang w:bidi="ar"/>
              </w:rPr>
            </w:pPr>
          </w:p>
        </w:tc>
        <w:tc>
          <w:tcPr>
            <w:tcW w:w="1788" w:type="dxa"/>
            <w:vMerge w:val="continue"/>
            <w:vAlign w:val="center"/>
          </w:tcPr>
          <w:p w14:paraId="09D2A25E">
            <w:pPr>
              <w:jc w:val="center"/>
              <w:rPr>
                <w:rFonts w:cs="Times New Roman"/>
                <w:b/>
                <w:bCs/>
                <w:szCs w:val="24"/>
              </w:rPr>
            </w:pPr>
          </w:p>
        </w:tc>
        <w:tc>
          <w:tcPr>
            <w:tcW w:w="10505" w:type="dxa"/>
            <w:gridSpan w:val="5"/>
            <w:vAlign w:val="center"/>
          </w:tcPr>
          <w:p w14:paraId="70ABB920">
            <w:pPr>
              <w:jc w:val="left"/>
              <w:rPr>
                <w:rFonts w:cs="Times New Roman"/>
                <w:b/>
                <w:bCs/>
                <w:szCs w:val="24"/>
              </w:rPr>
            </w:pPr>
            <w:r>
              <w:rPr>
                <w:rFonts w:cs="Times New Roman"/>
                <w:b/>
                <w:bCs/>
                <w:szCs w:val="24"/>
              </w:rPr>
              <w:t xml:space="preserve">4.4.2 </w:t>
            </w:r>
            <w:r>
              <w:rPr>
                <w:rFonts w:cs="Times New Roman"/>
                <w:szCs w:val="24"/>
              </w:rPr>
              <w:t>Inform patients about common medication side effects and indications of serious adverse effects requiring immediate medical attention (e.g., syncope, severe hypotension, etc.).</w:t>
            </w:r>
          </w:p>
        </w:tc>
      </w:tr>
      <w:tr w14:paraId="3D1D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9B5DC31">
            <w:pPr>
              <w:jc w:val="center"/>
              <w:rPr>
                <w:rFonts w:cs="Times New Roman"/>
                <w:szCs w:val="24"/>
                <w:lang w:bidi="ar"/>
              </w:rPr>
            </w:pPr>
          </w:p>
        </w:tc>
        <w:tc>
          <w:tcPr>
            <w:tcW w:w="1788" w:type="dxa"/>
            <w:vMerge w:val="continue"/>
            <w:vAlign w:val="center"/>
          </w:tcPr>
          <w:p w14:paraId="30CD37CB">
            <w:pPr>
              <w:jc w:val="center"/>
              <w:rPr>
                <w:rFonts w:cs="Times New Roman"/>
                <w:b/>
                <w:bCs/>
                <w:szCs w:val="24"/>
              </w:rPr>
            </w:pPr>
          </w:p>
        </w:tc>
        <w:tc>
          <w:tcPr>
            <w:tcW w:w="10505" w:type="dxa"/>
            <w:gridSpan w:val="5"/>
            <w:vAlign w:val="center"/>
          </w:tcPr>
          <w:p w14:paraId="4BE2211D">
            <w:pPr>
              <w:jc w:val="left"/>
              <w:rPr>
                <w:rFonts w:cs="Times New Roman"/>
                <w:b/>
                <w:bCs/>
                <w:szCs w:val="24"/>
              </w:rPr>
            </w:pPr>
            <w:r>
              <w:rPr>
                <w:rFonts w:cs="Times New Roman"/>
                <w:b/>
                <w:bCs/>
                <w:szCs w:val="24"/>
              </w:rPr>
              <w:t xml:space="preserve">4.4.3 </w:t>
            </w:r>
            <w:r>
              <w:rPr>
                <w:rFonts w:cs="Times New Roman"/>
                <w:szCs w:val="24"/>
              </w:rPr>
              <w:t>Remind patients to consult a physician or pharmacist before taking any new medication to avoid drug interactions.</w:t>
            </w:r>
          </w:p>
        </w:tc>
      </w:tr>
      <w:tr w14:paraId="796E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68C4692">
            <w:pPr>
              <w:jc w:val="center"/>
              <w:rPr>
                <w:rFonts w:cs="Times New Roman"/>
                <w:szCs w:val="24"/>
                <w:lang w:bidi="ar"/>
              </w:rPr>
            </w:pPr>
          </w:p>
        </w:tc>
        <w:tc>
          <w:tcPr>
            <w:tcW w:w="1788" w:type="dxa"/>
            <w:vMerge w:val="restart"/>
            <w:vAlign w:val="center"/>
          </w:tcPr>
          <w:p w14:paraId="6E7C195E">
            <w:pPr>
              <w:jc w:val="center"/>
              <w:rPr>
                <w:rFonts w:cs="Times New Roman"/>
                <w:b/>
                <w:bCs/>
                <w:szCs w:val="24"/>
              </w:rPr>
            </w:pPr>
            <w:r>
              <w:rPr>
                <w:rFonts w:cs="Times New Roman"/>
                <w:b/>
                <w:bCs/>
                <w:szCs w:val="24"/>
              </w:rPr>
              <w:t xml:space="preserve">4.5 </w:t>
            </w:r>
            <w:r>
              <w:rPr>
                <w:rFonts w:cs="Times New Roman"/>
                <w:szCs w:val="24"/>
              </w:rPr>
              <w:t>Lifestyle guidance</w:t>
            </w:r>
          </w:p>
        </w:tc>
        <w:tc>
          <w:tcPr>
            <w:tcW w:w="10505" w:type="dxa"/>
            <w:gridSpan w:val="5"/>
            <w:vAlign w:val="center"/>
          </w:tcPr>
          <w:p w14:paraId="29E60C2F">
            <w:pPr>
              <w:jc w:val="left"/>
              <w:rPr>
                <w:rFonts w:cs="Times New Roman"/>
                <w:b/>
                <w:bCs/>
                <w:szCs w:val="24"/>
              </w:rPr>
            </w:pPr>
            <w:r>
              <w:rPr>
                <w:rFonts w:cs="Times New Roman"/>
                <w:b/>
                <w:bCs/>
                <w:szCs w:val="24"/>
              </w:rPr>
              <w:t xml:space="preserve">4.5.1 </w:t>
            </w:r>
            <w:r>
              <w:rPr>
                <w:rFonts w:cs="Times New Roman"/>
                <w:szCs w:val="24"/>
              </w:rPr>
              <w:t>Guide patients to maintain a regular daily routine, improve sleep quality, reasonably allocate energy during the day, and avoid excessive fatigue.</w:t>
            </w:r>
          </w:p>
        </w:tc>
      </w:tr>
      <w:tr w14:paraId="3D75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14AD5E5">
            <w:pPr>
              <w:jc w:val="center"/>
              <w:rPr>
                <w:rFonts w:cs="Times New Roman"/>
                <w:szCs w:val="24"/>
                <w:lang w:bidi="ar"/>
              </w:rPr>
            </w:pPr>
          </w:p>
        </w:tc>
        <w:tc>
          <w:tcPr>
            <w:tcW w:w="1788" w:type="dxa"/>
            <w:vMerge w:val="continue"/>
            <w:vAlign w:val="center"/>
          </w:tcPr>
          <w:p w14:paraId="7EFC7A0B">
            <w:pPr>
              <w:jc w:val="center"/>
              <w:rPr>
                <w:rFonts w:cs="Times New Roman"/>
                <w:b/>
                <w:bCs/>
                <w:szCs w:val="24"/>
              </w:rPr>
            </w:pPr>
          </w:p>
        </w:tc>
        <w:tc>
          <w:tcPr>
            <w:tcW w:w="10505" w:type="dxa"/>
            <w:gridSpan w:val="5"/>
            <w:vAlign w:val="center"/>
          </w:tcPr>
          <w:p w14:paraId="36E2FF9E">
            <w:pPr>
              <w:jc w:val="left"/>
              <w:rPr>
                <w:rFonts w:cs="Times New Roman"/>
                <w:b/>
                <w:bCs/>
                <w:szCs w:val="24"/>
              </w:rPr>
            </w:pPr>
            <w:r>
              <w:rPr>
                <w:rFonts w:cs="Times New Roman"/>
                <w:b/>
                <w:bCs/>
                <w:szCs w:val="24"/>
              </w:rPr>
              <w:t xml:space="preserve">4.5.2 </w:t>
            </w:r>
            <w:r>
              <w:rPr>
                <w:rFonts w:cs="Times New Roman"/>
                <w:szCs w:val="24"/>
              </w:rPr>
              <w:t>Encourage patients, as their physical condition allows, to gradually resume appropriate social activities and hobbies to promote mental health and social role readjustment.</w:t>
            </w:r>
          </w:p>
        </w:tc>
      </w:tr>
      <w:tr w14:paraId="0E38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194C6D5">
            <w:pPr>
              <w:jc w:val="center"/>
              <w:rPr>
                <w:rFonts w:cs="Times New Roman"/>
                <w:szCs w:val="24"/>
                <w:lang w:bidi="ar"/>
              </w:rPr>
            </w:pPr>
          </w:p>
        </w:tc>
        <w:tc>
          <w:tcPr>
            <w:tcW w:w="1788" w:type="dxa"/>
            <w:vMerge w:val="restart"/>
            <w:vAlign w:val="center"/>
          </w:tcPr>
          <w:p w14:paraId="539CC473">
            <w:pPr>
              <w:jc w:val="center"/>
              <w:rPr>
                <w:rFonts w:cs="Times New Roman"/>
                <w:szCs w:val="24"/>
                <w:lang w:bidi="ar"/>
              </w:rPr>
            </w:pPr>
            <w:r>
              <w:rPr>
                <w:rFonts w:cs="Times New Roman"/>
                <w:b/>
                <w:bCs/>
                <w:szCs w:val="24"/>
              </w:rPr>
              <w:t xml:space="preserve">4.6 </w:t>
            </w:r>
            <w:r>
              <w:rPr>
                <w:rFonts w:cs="Times New Roman"/>
                <w:szCs w:val="24"/>
                <w:lang w:bidi="ar"/>
              </w:rPr>
              <w:t>Implementation methods</w:t>
            </w:r>
          </w:p>
        </w:tc>
        <w:tc>
          <w:tcPr>
            <w:tcW w:w="10505" w:type="dxa"/>
            <w:gridSpan w:val="5"/>
            <w:vAlign w:val="center"/>
          </w:tcPr>
          <w:p w14:paraId="40295F45">
            <w:pPr>
              <w:jc w:val="left"/>
              <w:rPr>
                <w:rFonts w:cs="Times New Roman"/>
                <w:szCs w:val="24"/>
              </w:rPr>
            </w:pPr>
            <w:r>
              <w:rPr>
                <w:rFonts w:cs="Times New Roman"/>
                <w:b/>
                <w:bCs/>
                <w:szCs w:val="24"/>
              </w:rPr>
              <w:t xml:space="preserve">4.6.1 </w:t>
            </w:r>
            <w:r>
              <w:rPr>
                <w:rFonts w:cs="Times New Roman"/>
                <w:szCs w:val="24"/>
                <w:lang w:bidi="ar"/>
              </w:rPr>
              <w:t>Provide health education through diverse channels, including face-to-face instruction, educational brochures, online platforms (WeChat groups, short video platforms, mini-programs, etc.), community activities, and regular home visits.</w:t>
            </w:r>
          </w:p>
        </w:tc>
      </w:tr>
      <w:tr w14:paraId="787A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31F88A55">
            <w:pPr>
              <w:jc w:val="center"/>
              <w:rPr>
                <w:rFonts w:cs="Times New Roman"/>
                <w:szCs w:val="24"/>
                <w:lang w:bidi="ar"/>
              </w:rPr>
            </w:pPr>
          </w:p>
        </w:tc>
        <w:tc>
          <w:tcPr>
            <w:tcW w:w="1788" w:type="dxa"/>
            <w:vMerge w:val="continue"/>
            <w:vAlign w:val="center"/>
          </w:tcPr>
          <w:p w14:paraId="26DFA64A">
            <w:pPr>
              <w:jc w:val="center"/>
              <w:rPr>
                <w:rFonts w:cs="Times New Roman"/>
                <w:szCs w:val="24"/>
                <w:lang w:bidi="ar"/>
              </w:rPr>
            </w:pPr>
          </w:p>
        </w:tc>
        <w:tc>
          <w:tcPr>
            <w:tcW w:w="10505" w:type="dxa"/>
            <w:gridSpan w:val="5"/>
            <w:vAlign w:val="center"/>
          </w:tcPr>
          <w:p w14:paraId="6CFB1C54">
            <w:pPr>
              <w:jc w:val="left"/>
              <w:rPr>
                <w:rFonts w:cs="Times New Roman"/>
                <w:szCs w:val="24"/>
              </w:rPr>
            </w:pPr>
            <w:r>
              <w:rPr>
                <w:rFonts w:cs="Times New Roman"/>
                <w:b/>
                <w:bCs/>
                <w:szCs w:val="24"/>
              </w:rPr>
              <w:t>4.6.2</w:t>
            </w:r>
            <w:r>
              <w:rPr>
                <w:rFonts w:cs="Times New Roman"/>
                <w:szCs w:val="24"/>
              </w:rPr>
              <w:t xml:space="preserve"> </w:t>
            </w:r>
            <w:r>
              <w:rPr>
                <w:rFonts w:cs="Times New Roman"/>
                <w:szCs w:val="24"/>
                <w:lang w:bidi="ar"/>
              </w:rPr>
              <w:t>Education methods should be tailored to local conditions and individual circumstances, taking into account the patient's living environment, receptivity to knowledge, family support, and cultural background, to ensure the feasibility and effectiveness of the guidance.</w:t>
            </w:r>
          </w:p>
        </w:tc>
      </w:tr>
      <w:tr w14:paraId="00FB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883" w:type="dxa"/>
            <w:vMerge w:val="restart"/>
            <w:vAlign w:val="center"/>
          </w:tcPr>
          <w:p w14:paraId="152E8564">
            <w:pPr>
              <w:widowControl/>
              <w:adjustRightInd/>
              <w:snapToGrid/>
              <w:spacing w:line="240" w:lineRule="auto"/>
              <w:jc w:val="center"/>
              <w:rPr>
                <w:rFonts w:cs="Times New Roman"/>
                <w:szCs w:val="24"/>
              </w:rPr>
            </w:pPr>
            <w:r>
              <w:rPr>
                <w:rFonts w:cs="Times New Roman"/>
                <w:b/>
                <w:bCs/>
                <w:szCs w:val="24"/>
              </w:rPr>
              <w:t>5</w:t>
            </w:r>
            <w:r>
              <w:rPr>
                <w:rFonts w:cs="Times New Roman"/>
                <w:szCs w:val="24"/>
              </w:rPr>
              <w:t xml:space="preserve"> </w:t>
            </w:r>
            <w:r>
              <w:rPr>
                <w:rFonts w:cs="Times New Roman"/>
                <w:szCs w:val="24"/>
                <w:lang w:bidi="ar"/>
              </w:rPr>
              <w:t>Psychological Support</w:t>
            </w:r>
          </w:p>
        </w:tc>
        <w:tc>
          <w:tcPr>
            <w:tcW w:w="1788" w:type="dxa"/>
            <w:vAlign w:val="center"/>
          </w:tcPr>
          <w:p w14:paraId="34C01017">
            <w:pPr>
              <w:jc w:val="center"/>
              <w:rPr>
                <w:rFonts w:cs="Times New Roman"/>
                <w:szCs w:val="24"/>
                <w:lang w:bidi="ar"/>
              </w:rPr>
            </w:pPr>
            <w:r>
              <w:rPr>
                <w:rFonts w:cs="Times New Roman"/>
                <w:b/>
                <w:bCs/>
                <w:szCs w:val="24"/>
              </w:rPr>
              <w:t xml:space="preserve">5.1 </w:t>
            </w:r>
            <w:r>
              <w:rPr>
                <w:rFonts w:cs="Times New Roman"/>
                <w:szCs w:val="24"/>
                <w:lang w:bidi="ar"/>
              </w:rPr>
              <w:t>Psychological state assessment</w:t>
            </w:r>
          </w:p>
        </w:tc>
        <w:tc>
          <w:tcPr>
            <w:tcW w:w="10505" w:type="dxa"/>
            <w:gridSpan w:val="5"/>
            <w:vAlign w:val="center"/>
          </w:tcPr>
          <w:p w14:paraId="47361620">
            <w:pPr>
              <w:jc w:val="left"/>
              <w:rPr>
                <w:rFonts w:cs="Times New Roman"/>
                <w:szCs w:val="24"/>
              </w:rPr>
            </w:pPr>
            <w:r>
              <w:rPr>
                <w:rFonts w:cs="Times New Roman"/>
                <w:b/>
                <w:bCs/>
                <w:szCs w:val="24"/>
              </w:rPr>
              <w:t>5.1.1</w:t>
            </w:r>
            <w:r>
              <w:rPr>
                <w:rFonts w:cs="Times New Roman"/>
                <w:szCs w:val="24"/>
              </w:rPr>
              <w:t xml:space="preserve"> </w:t>
            </w:r>
            <w:r>
              <w:rPr>
                <w:rFonts w:cs="Times New Roman"/>
                <w:szCs w:val="24"/>
                <w:lang w:bidi="ar"/>
              </w:rPr>
              <w:t>Assess the patient’s psychological status; patients identified with moderate to severe anxiety or depression should receive professional intervention from a psychologist.</w:t>
            </w:r>
          </w:p>
        </w:tc>
      </w:tr>
      <w:tr w14:paraId="7C81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12818FD">
            <w:pPr>
              <w:jc w:val="center"/>
              <w:rPr>
                <w:rFonts w:cs="Times New Roman"/>
                <w:szCs w:val="24"/>
                <w:lang w:bidi="ar"/>
              </w:rPr>
            </w:pPr>
          </w:p>
        </w:tc>
        <w:tc>
          <w:tcPr>
            <w:tcW w:w="1788" w:type="dxa"/>
            <w:vMerge w:val="restart"/>
            <w:vAlign w:val="center"/>
          </w:tcPr>
          <w:p w14:paraId="0A537828">
            <w:pPr>
              <w:jc w:val="center"/>
              <w:rPr>
                <w:rFonts w:cs="Times New Roman"/>
                <w:szCs w:val="24"/>
                <w:lang w:bidi="ar"/>
              </w:rPr>
            </w:pPr>
            <w:r>
              <w:rPr>
                <w:rFonts w:cs="Times New Roman"/>
                <w:b/>
                <w:bCs/>
                <w:szCs w:val="24"/>
              </w:rPr>
              <w:t xml:space="preserve">5.2 </w:t>
            </w:r>
            <w:r>
              <w:rPr>
                <w:rFonts w:cs="Times New Roman"/>
                <w:szCs w:val="24"/>
                <w:lang w:bidi="ar"/>
              </w:rPr>
              <w:t>Psychological empowerment</w:t>
            </w:r>
          </w:p>
        </w:tc>
        <w:tc>
          <w:tcPr>
            <w:tcW w:w="10505" w:type="dxa"/>
            <w:gridSpan w:val="5"/>
            <w:vAlign w:val="center"/>
          </w:tcPr>
          <w:p w14:paraId="3F355818">
            <w:pPr>
              <w:jc w:val="left"/>
              <w:rPr>
                <w:rFonts w:cs="Times New Roman"/>
                <w:szCs w:val="24"/>
                <w:lang w:bidi="ar"/>
              </w:rPr>
            </w:pPr>
            <w:r>
              <w:rPr>
                <w:rFonts w:cs="Times New Roman"/>
                <w:b/>
                <w:bCs/>
                <w:szCs w:val="24"/>
              </w:rPr>
              <w:t xml:space="preserve">5.2.1 </w:t>
            </w:r>
            <w:r>
              <w:rPr>
                <w:rFonts w:cs="Times New Roman"/>
                <w:szCs w:val="24"/>
                <w:lang w:bidi="ar"/>
              </w:rPr>
              <w:t>Positive reinforcement: praise patients who achieve phased goals; for those who do not, discuss obstacles and provide encouragement to enhance adherence.</w:t>
            </w:r>
          </w:p>
        </w:tc>
      </w:tr>
      <w:tr w14:paraId="6CC6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B82E5E4">
            <w:pPr>
              <w:jc w:val="center"/>
              <w:rPr>
                <w:rFonts w:cs="Times New Roman"/>
                <w:szCs w:val="24"/>
                <w:lang w:bidi="ar"/>
              </w:rPr>
            </w:pPr>
          </w:p>
        </w:tc>
        <w:tc>
          <w:tcPr>
            <w:tcW w:w="1788" w:type="dxa"/>
            <w:vMerge w:val="continue"/>
            <w:vAlign w:val="center"/>
          </w:tcPr>
          <w:p w14:paraId="37BA23D6">
            <w:pPr>
              <w:jc w:val="center"/>
              <w:rPr>
                <w:rFonts w:cs="Times New Roman"/>
                <w:szCs w:val="24"/>
                <w:lang w:bidi="ar"/>
              </w:rPr>
            </w:pPr>
          </w:p>
        </w:tc>
        <w:tc>
          <w:tcPr>
            <w:tcW w:w="10505" w:type="dxa"/>
            <w:gridSpan w:val="5"/>
            <w:vAlign w:val="center"/>
          </w:tcPr>
          <w:p w14:paraId="7AFD9192">
            <w:pPr>
              <w:jc w:val="left"/>
              <w:rPr>
                <w:rFonts w:cs="Times New Roman"/>
                <w:szCs w:val="24"/>
                <w:lang w:bidi="ar"/>
              </w:rPr>
            </w:pPr>
            <w:r>
              <w:rPr>
                <w:rFonts w:cs="Times New Roman"/>
                <w:b/>
                <w:bCs/>
                <w:szCs w:val="24"/>
              </w:rPr>
              <w:t>5.2.2</w:t>
            </w:r>
            <w:r>
              <w:rPr>
                <w:rFonts w:cs="Times New Roman"/>
                <w:szCs w:val="24"/>
              </w:rPr>
              <w:t xml:space="preserve"> </w:t>
            </w:r>
            <w:r>
              <w:rPr>
                <w:rFonts w:cs="Times New Roman"/>
                <w:szCs w:val="24"/>
                <w:lang w:bidi="ar"/>
              </w:rPr>
              <w:t>Peer education: encourage communication among patients to share personal pulmonary rehabilitation experiences.</w:t>
            </w:r>
          </w:p>
        </w:tc>
      </w:tr>
      <w:tr w14:paraId="12BC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5BC4FC2">
            <w:pPr>
              <w:jc w:val="center"/>
              <w:rPr>
                <w:rFonts w:cs="Times New Roman"/>
                <w:szCs w:val="24"/>
                <w:lang w:bidi="ar"/>
              </w:rPr>
            </w:pPr>
          </w:p>
        </w:tc>
        <w:tc>
          <w:tcPr>
            <w:tcW w:w="1788" w:type="dxa"/>
            <w:vMerge w:val="continue"/>
            <w:vAlign w:val="center"/>
          </w:tcPr>
          <w:p w14:paraId="744C926D">
            <w:pPr>
              <w:jc w:val="center"/>
              <w:rPr>
                <w:rFonts w:cs="Times New Roman"/>
                <w:szCs w:val="24"/>
                <w:lang w:bidi="ar"/>
              </w:rPr>
            </w:pPr>
          </w:p>
        </w:tc>
        <w:tc>
          <w:tcPr>
            <w:tcW w:w="10505" w:type="dxa"/>
            <w:gridSpan w:val="5"/>
            <w:vAlign w:val="center"/>
          </w:tcPr>
          <w:p w14:paraId="389A4E58">
            <w:pPr>
              <w:jc w:val="left"/>
              <w:rPr>
                <w:rFonts w:cs="Times New Roman"/>
                <w:szCs w:val="24"/>
                <w:lang w:bidi="ar"/>
              </w:rPr>
            </w:pPr>
            <w:r>
              <w:rPr>
                <w:rFonts w:cs="Times New Roman"/>
                <w:b/>
                <w:bCs/>
                <w:szCs w:val="24"/>
              </w:rPr>
              <w:t xml:space="preserve">5.2.3 </w:t>
            </w:r>
            <w:r>
              <w:rPr>
                <w:rFonts w:cs="Times New Roman"/>
                <w:szCs w:val="24"/>
                <w:lang w:bidi="ar"/>
              </w:rPr>
              <w:t>Family support: encourage and guide family members to provide effective emotional support and psychological care for the patient.</w:t>
            </w:r>
          </w:p>
        </w:tc>
      </w:tr>
      <w:tr w14:paraId="7525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5CA67D0C">
            <w:pPr>
              <w:jc w:val="center"/>
              <w:rPr>
                <w:rFonts w:cs="Times New Roman"/>
                <w:szCs w:val="24"/>
                <w:lang w:bidi="ar"/>
              </w:rPr>
            </w:pPr>
          </w:p>
        </w:tc>
        <w:tc>
          <w:tcPr>
            <w:tcW w:w="1788" w:type="dxa"/>
            <w:vAlign w:val="center"/>
          </w:tcPr>
          <w:p w14:paraId="7A181723">
            <w:pPr>
              <w:jc w:val="center"/>
              <w:rPr>
                <w:rFonts w:cs="Times New Roman"/>
                <w:szCs w:val="24"/>
                <w:lang w:bidi="ar"/>
              </w:rPr>
            </w:pPr>
            <w:r>
              <w:rPr>
                <w:rFonts w:cs="Times New Roman"/>
                <w:b/>
                <w:bCs/>
                <w:szCs w:val="24"/>
              </w:rPr>
              <w:t xml:space="preserve">5.3 </w:t>
            </w:r>
            <w:r>
              <w:rPr>
                <w:rFonts w:cs="Times New Roman"/>
                <w:szCs w:val="24"/>
                <w:lang w:bidi="ar"/>
              </w:rPr>
              <w:t>Coping strategies training</w:t>
            </w:r>
          </w:p>
        </w:tc>
        <w:tc>
          <w:tcPr>
            <w:tcW w:w="10505" w:type="dxa"/>
            <w:gridSpan w:val="5"/>
            <w:vAlign w:val="center"/>
          </w:tcPr>
          <w:p w14:paraId="093C9B7F">
            <w:pPr>
              <w:jc w:val="left"/>
              <w:rPr>
                <w:rFonts w:cs="Times New Roman"/>
                <w:szCs w:val="24"/>
              </w:rPr>
            </w:pPr>
            <w:r>
              <w:rPr>
                <w:rFonts w:cs="Times New Roman"/>
                <w:b/>
                <w:bCs/>
                <w:szCs w:val="24"/>
              </w:rPr>
              <w:t>5.3.1</w:t>
            </w:r>
            <w:r>
              <w:rPr>
                <w:rFonts w:cs="Times New Roman"/>
                <w:szCs w:val="24"/>
              </w:rPr>
              <w:t xml:space="preserve"> Teach patients simple coping techniques, such as relaxation training (e.g., diaphragmatic breathing relaxation, progressive muscle relaxation) and distraction techniques (e.g., listening to music, simple handicrafts), to alleviate acute anxiety, tension, and other discomforts.</w:t>
            </w:r>
          </w:p>
        </w:tc>
      </w:tr>
      <w:tr w14:paraId="0129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restart"/>
            <w:vAlign w:val="center"/>
          </w:tcPr>
          <w:p w14:paraId="4D279517">
            <w:pPr>
              <w:widowControl/>
              <w:adjustRightInd/>
              <w:snapToGrid/>
              <w:spacing w:line="240" w:lineRule="auto"/>
              <w:jc w:val="center"/>
              <w:rPr>
                <w:rFonts w:cs="Times New Roman"/>
                <w:szCs w:val="24"/>
              </w:rPr>
            </w:pPr>
            <w:r>
              <w:rPr>
                <w:rFonts w:cs="Times New Roman"/>
                <w:b/>
                <w:bCs/>
                <w:szCs w:val="24"/>
              </w:rPr>
              <w:t xml:space="preserve">6 </w:t>
            </w:r>
            <w:r>
              <w:rPr>
                <w:rFonts w:cs="Times New Roman"/>
                <w:szCs w:val="24"/>
                <w:lang w:bidi="ar"/>
              </w:rPr>
              <w:t>Follow-up Management</w:t>
            </w:r>
          </w:p>
        </w:tc>
        <w:tc>
          <w:tcPr>
            <w:tcW w:w="1788" w:type="dxa"/>
            <w:vMerge w:val="restart"/>
            <w:vAlign w:val="center"/>
          </w:tcPr>
          <w:p w14:paraId="028F699A">
            <w:pPr>
              <w:jc w:val="center"/>
              <w:rPr>
                <w:rFonts w:cs="Times New Roman"/>
                <w:b/>
                <w:bCs/>
                <w:szCs w:val="24"/>
              </w:rPr>
            </w:pPr>
            <w:r>
              <w:rPr>
                <w:rFonts w:cs="Times New Roman"/>
                <w:b/>
                <w:bCs/>
                <w:szCs w:val="24"/>
              </w:rPr>
              <w:t>6.1</w:t>
            </w:r>
            <w:r>
              <w:rPr>
                <w:rFonts w:cs="Times New Roman"/>
                <w:szCs w:val="24"/>
                <w:lang w:bidi="ar"/>
              </w:rPr>
              <w:t xml:space="preserve"> Follow-up</w:t>
            </w:r>
            <w:r>
              <w:rPr>
                <w:rFonts w:cs="Times New Roman"/>
                <w:szCs w:val="24"/>
              </w:rPr>
              <w:t xml:space="preserve"> content</w:t>
            </w:r>
          </w:p>
        </w:tc>
        <w:tc>
          <w:tcPr>
            <w:tcW w:w="10505" w:type="dxa"/>
            <w:gridSpan w:val="5"/>
            <w:vAlign w:val="center"/>
          </w:tcPr>
          <w:p w14:paraId="52D2EF0B">
            <w:pPr>
              <w:jc w:val="left"/>
              <w:rPr>
                <w:rFonts w:cs="Times New Roman"/>
                <w:szCs w:val="24"/>
                <w:lang w:bidi="ar"/>
              </w:rPr>
            </w:pPr>
            <w:r>
              <w:rPr>
                <w:rFonts w:cs="Times New Roman"/>
                <w:b/>
                <w:bCs/>
                <w:szCs w:val="24"/>
              </w:rPr>
              <w:t>6.1.1</w:t>
            </w:r>
            <w:r>
              <w:rPr>
                <w:rFonts w:cs="Times New Roman"/>
                <w:szCs w:val="24"/>
              </w:rPr>
              <w:t xml:space="preserve"> </w:t>
            </w:r>
            <w:r>
              <w:rPr>
                <w:rFonts w:cs="Times New Roman"/>
                <w:szCs w:val="24"/>
                <w:lang w:bidi="ar"/>
              </w:rPr>
              <w:t xml:space="preserve">Mandatory assessment items: </w:t>
            </w:r>
            <w:r>
              <w:rPr>
                <w:rFonts w:ascii="Cambria Math" w:hAnsi="Cambria Math" w:cs="Cambria Math"/>
                <w:szCs w:val="24"/>
                <w:lang w:bidi="ar"/>
              </w:rPr>
              <w:t>①</w:t>
            </w:r>
            <w:r>
              <w:rPr>
                <w:rFonts w:cs="Times New Roman"/>
                <w:szCs w:val="24"/>
                <w:lang w:bidi="ar"/>
              </w:rPr>
              <w:t xml:space="preserve"> Function and symptoms: 6-minute walking distance, dyspnea score, </w:t>
            </w:r>
            <w:r>
              <w:rPr>
                <w:rFonts w:hint="eastAsia" w:cs="Times New Roman"/>
                <w:szCs w:val="24"/>
                <w:lang w:bidi="ar"/>
              </w:rPr>
              <w:t>c</w:t>
            </w:r>
            <w:r>
              <w:rPr>
                <w:rFonts w:cs="Times New Roman"/>
                <w:szCs w:val="24"/>
                <w:lang w:bidi="ar"/>
              </w:rPr>
              <w:t xml:space="preserve">ardiac </w:t>
            </w:r>
            <w:r>
              <w:rPr>
                <w:rFonts w:hint="eastAsia" w:cs="Times New Roman"/>
                <w:szCs w:val="24"/>
                <w:lang w:bidi="ar"/>
              </w:rPr>
              <w:t>f</w:t>
            </w:r>
            <w:r>
              <w:rPr>
                <w:rFonts w:cs="Times New Roman"/>
                <w:szCs w:val="24"/>
                <w:lang w:bidi="ar"/>
              </w:rPr>
              <w:t xml:space="preserve">unction </w:t>
            </w:r>
            <w:r>
              <w:rPr>
                <w:rFonts w:hint="eastAsia" w:cs="Times New Roman"/>
                <w:szCs w:val="24"/>
                <w:lang w:bidi="ar"/>
              </w:rPr>
              <w:t>c</w:t>
            </w:r>
            <w:r>
              <w:rPr>
                <w:rFonts w:cs="Times New Roman"/>
                <w:szCs w:val="24"/>
                <w:lang w:bidi="ar"/>
              </w:rPr>
              <w:t>lassification, activities of daily living, anxiety and depression scores</w:t>
            </w:r>
            <w:r>
              <w:rPr>
                <w:rFonts w:hint="eastAsia" w:cs="Times New Roman"/>
                <w:szCs w:val="24"/>
                <w:lang w:bidi="ar"/>
              </w:rPr>
              <w:t>, n</w:t>
            </w:r>
            <w:r>
              <w:rPr>
                <w:rFonts w:cs="Times New Roman"/>
                <w:szCs w:val="24"/>
                <w:lang w:bidi="ar"/>
              </w:rPr>
              <w:t xml:space="preserve">utritional </w:t>
            </w:r>
            <w:r>
              <w:rPr>
                <w:rFonts w:hint="eastAsia" w:cs="Times New Roman"/>
                <w:szCs w:val="24"/>
                <w:lang w:bidi="ar"/>
              </w:rPr>
              <w:t>s</w:t>
            </w:r>
            <w:r>
              <w:rPr>
                <w:rFonts w:cs="Times New Roman"/>
                <w:szCs w:val="24"/>
                <w:lang w:bidi="ar"/>
              </w:rPr>
              <w:t xml:space="preserve">tatus. </w:t>
            </w:r>
            <w:r>
              <w:rPr>
                <w:rFonts w:ascii="Cambria Math" w:hAnsi="Cambria Math" w:cs="Cambria Math"/>
                <w:szCs w:val="24"/>
                <w:lang w:bidi="ar"/>
              </w:rPr>
              <w:t>②</w:t>
            </w:r>
            <w:r>
              <w:rPr>
                <w:rFonts w:cs="Times New Roman"/>
                <w:szCs w:val="24"/>
                <w:lang w:bidi="ar"/>
              </w:rPr>
              <w:t xml:space="preserve"> Physiological indicators: Resting and post-exercise oxygen saturation (SpO₂), heart rate, blood pressure, body weight. </w:t>
            </w:r>
            <w:r>
              <w:rPr>
                <w:rFonts w:ascii="Cambria Math" w:hAnsi="Cambria Math" w:cs="Cambria Math"/>
                <w:szCs w:val="24"/>
                <w:lang w:bidi="ar"/>
              </w:rPr>
              <w:t>③</w:t>
            </w:r>
            <w:r>
              <w:rPr>
                <w:rFonts w:cs="Times New Roman"/>
                <w:szCs w:val="24"/>
                <w:lang w:bidi="ar"/>
              </w:rPr>
              <w:t xml:space="preserve"> Self-management: Medication adherence, home oxygen therapy compliance, symptom changes, rehabilitation training completion rate. </w:t>
            </w:r>
            <w:r>
              <w:rPr>
                <w:rFonts w:ascii="Cambria Math" w:hAnsi="Cambria Math" w:cs="Cambria Math"/>
                <w:szCs w:val="24"/>
                <w:lang w:bidi="ar"/>
              </w:rPr>
              <w:t>④</w:t>
            </w:r>
            <w:r>
              <w:rPr>
                <w:rFonts w:cs="Times New Roman"/>
                <w:szCs w:val="24"/>
                <w:lang w:bidi="ar"/>
              </w:rPr>
              <w:t xml:space="preserve"> Quality of life: Quality of life questionnaire. </w:t>
            </w:r>
            <w:r>
              <w:rPr>
                <w:rFonts w:ascii="Cambria Math" w:hAnsi="Cambria Math" w:cs="Cambria Math"/>
                <w:szCs w:val="24"/>
                <w:lang w:bidi="ar"/>
              </w:rPr>
              <w:t>⑤</w:t>
            </w:r>
            <w:r>
              <w:rPr>
                <w:rFonts w:cs="Times New Roman"/>
                <w:szCs w:val="24"/>
                <w:lang w:bidi="ar"/>
              </w:rPr>
              <w:t xml:space="preserve"> Satisfaction feedback.</w:t>
            </w:r>
          </w:p>
        </w:tc>
      </w:tr>
      <w:tr w14:paraId="69E0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2A307AD9">
            <w:pPr>
              <w:widowControl/>
              <w:adjustRightInd/>
              <w:snapToGrid/>
              <w:spacing w:line="240" w:lineRule="auto"/>
              <w:jc w:val="center"/>
              <w:rPr>
                <w:rFonts w:cs="Times New Roman"/>
                <w:b/>
                <w:bCs/>
                <w:szCs w:val="24"/>
              </w:rPr>
            </w:pPr>
          </w:p>
        </w:tc>
        <w:tc>
          <w:tcPr>
            <w:tcW w:w="1788" w:type="dxa"/>
            <w:vMerge w:val="continue"/>
            <w:vAlign w:val="center"/>
          </w:tcPr>
          <w:p w14:paraId="20E5A91B">
            <w:pPr>
              <w:jc w:val="center"/>
              <w:rPr>
                <w:rFonts w:cs="Times New Roman"/>
                <w:b/>
                <w:bCs/>
                <w:szCs w:val="24"/>
              </w:rPr>
            </w:pPr>
          </w:p>
        </w:tc>
        <w:tc>
          <w:tcPr>
            <w:tcW w:w="10505" w:type="dxa"/>
            <w:gridSpan w:val="5"/>
            <w:vAlign w:val="center"/>
          </w:tcPr>
          <w:p w14:paraId="259540B9">
            <w:pPr>
              <w:jc w:val="left"/>
              <w:rPr>
                <w:rFonts w:cs="Times New Roman"/>
                <w:b/>
                <w:bCs/>
                <w:szCs w:val="24"/>
              </w:rPr>
            </w:pPr>
            <w:r>
              <w:rPr>
                <w:rFonts w:cs="Times New Roman"/>
                <w:b/>
                <w:bCs/>
                <w:szCs w:val="24"/>
              </w:rPr>
              <w:t xml:space="preserve">6.1.2 </w:t>
            </w:r>
            <w:r>
              <w:rPr>
                <w:rFonts w:cs="Times New Roman"/>
                <w:szCs w:val="24"/>
              </w:rPr>
              <w:t>Optional assessment items (to be selected as clinically indicated during hospital follow-up): Echocardiography, cardiopulmonary exercise testing, laboratory tests (BNP or NT-proBNP, complete blood count, blood biochemistry, biomarkers, etc.), right heart catheterization (RHC)</w:t>
            </w:r>
            <w:r>
              <w:rPr>
                <w:rFonts w:hint="eastAsia" w:cs="Times New Roman"/>
                <w:szCs w:val="24"/>
              </w:rPr>
              <w:t>,</w:t>
            </w:r>
            <w:r>
              <w:rPr>
                <w:rFonts w:cs="Times New Roman"/>
                <w:szCs w:val="24"/>
              </w:rPr>
              <w:t xml:space="preserve"> peripheral muscle strength, etc.</w:t>
            </w:r>
          </w:p>
        </w:tc>
      </w:tr>
      <w:tr w14:paraId="6C73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C90E8B2">
            <w:pPr>
              <w:jc w:val="center"/>
              <w:rPr>
                <w:rFonts w:cs="Times New Roman"/>
                <w:szCs w:val="24"/>
                <w:lang w:bidi="ar"/>
              </w:rPr>
            </w:pPr>
          </w:p>
        </w:tc>
        <w:tc>
          <w:tcPr>
            <w:tcW w:w="1788" w:type="dxa"/>
            <w:vMerge w:val="restart"/>
            <w:vAlign w:val="center"/>
          </w:tcPr>
          <w:p w14:paraId="0E3BDE04">
            <w:pPr>
              <w:jc w:val="center"/>
              <w:rPr>
                <w:rFonts w:cs="Times New Roman"/>
                <w:szCs w:val="24"/>
                <w:lang w:bidi="ar"/>
              </w:rPr>
            </w:pPr>
            <w:r>
              <w:rPr>
                <w:rFonts w:cs="Times New Roman"/>
                <w:b/>
                <w:bCs/>
                <w:szCs w:val="24"/>
              </w:rPr>
              <w:t>6.2</w:t>
            </w:r>
            <w:r>
              <w:rPr>
                <w:rFonts w:cs="Times New Roman"/>
                <w:szCs w:val="24"/>
                <w:lang w:bidi="ar"/>
              </w:rPr>
              <w:t xml:space="preserve"> Follow-up</w:t>
            </w:r>
            <w:r>
              <w:rPr>
                <w:rFonts w:cs="Times New Roman"/>
                <w:szCs w:val="24"/>
              </w:rPr>
              <w:t xml:space="preserve"> </w:t>
            </w:r>
            <w:r>
              <w:rPr>
                <w:rFonts w:cs="Times New Roman"/>
                <w:szCs w:val="24"/>
                <w:lang w:bidi="ar"/>
              </w:rPr>
              <w:t>frequency</w:t>
            </w:r>
          </w:p>
        </w:tc>
        <w:tc>
          <w:tcPr>
            <w:tcW w:w="10505" w:type="dxa"/>
            <w:gridSpan w:val="5"/>
            <w:vAlign w:val="center"/>
          </w:tcPr>
          <w:p w14:paraId="29C101EB">
            <w:pPr>
              <w:jc w:val="left"/>
              <w:rPr>
                <w:rFonts w:cs="Times New Roman"/>
                <w:szCs w:val="24"/>
                <w:lang w:bidi="ar"/>
              </w:rPr>
            </w:pPr>
            <w:r>
              <w:rPr>
                <w:rFonts w:cs="Times New Roman"/>
                <w:b/>
                <w:bCs/>
                <w:szCs w:val="24"/>
              </w:rPr>
              <w:t xml:space="preserve">6.2.1 </w:t>
            </w:r>
            <w:r>
              <w:rPr>
                <w:rFonts w:cs="Times New Roman"/>
                <w:szCs w:val="24"/>
                <w:lang w:bidi="ar"/>
              </w:rPr>
              <w:t>Follow-up evaluation every 3–6 months.</w:t>
            </w:r>
          </w:p>
        </w:tc>
      </w:tr>
      <w:tr w14:paraId="4152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1E41B9E0">
            <w:pPr>
              <w:jc w:val="center"/>
              <w:rPr>
                <w:rFonts w:cs="Times New Roman"/>
                <w:szCs w:val="24"/>
                <w:lang w:bidi="ar"/>
              </w:rPr>
            </w:pPr>
          </w:p>
        </w:tc>
        <w:tc>
          <w:tcPr>
            <w:tcW w:w="1788" w:type="dxa"/>
            <w:vMerge w:val="continue"/>
            <w:vAlign w:val="center"/>
          </w:tcPr>
          <w:p w14:paraId="5A8492E0">
            <w:pPr>
              <w:jc w:val="center"/>
              <w:rPr>
                <w:rFonts w:cs="Times New Roman"/>
                <w:szCs w:val="24"/>
                <w:lang w:bidi="ar"/>
              </w:rPr>
            </w:pPr>
          </w:p>
        </w:tc>
        <w:tc>
          <w:tcPr>
            <w:tcW w:w="10505" w:type="dxa"/>
            <w:gridSpan w:val="5"/>
            <w:vAlign w:val="center"/>
          </w:tcPr>
          <w:p w14:paraId="2B0386AD">
            <w:pPr>
              <w:jc w:val="left"/>
              <w:rPr>
                <w:rFonts w:cs="Times New Roman"/>
                <w:szCs w:val="24"/>
                <w:lang w:bidi="ar"/>
              </w:rPr>
            </w:pPr>
            <w:r>
              <w:rPr>
                <w:rFonts w:cs="Times New Roman"/>
                <w:b/>
                <w:bCs/>
                <w:szCs w:val="24"/>
              </w:rPr>
              <w:t>6.2.2</w:t>
            </w:r>
            <w:r>
              <w:rPr>
                <w:rFonts w:cs="Times New Roman"/>
                <w:szCs w:val="24"/>
              </w:rPr>
              <w:t xml:space="preserve"> </w:t>
            </w:r>
            <w:r>
              <w:rPr>
                <w:rFonts w:cs="Times New Roman"/>
                <w:szCs w:val="24"/>
                <w:lang w:bidi="ar"/>
              </w:rPr>
              <w:t>If the condition becomes unstable or new/worsening symptoms develop, the patient should return to the hospital immediately for re-evaluation.</w:t>
            </w:r>
          </w:p>
        </w:tc>
      </w:tr>
      <w:tr w14:paraId="4118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0E349096">
            <w:pPr>
              <w:jc w:val="center"/>
              <w:rPr>
                <w:rFonts w:cs="Times New Roman"/>
                <w:szCs w:val="24"/>
                <w:lang w:bidi="ar"/>
              </w:rPr>
            </w:pPr>
          </w:p>
        </w:tc>
        <w:tc>
          <w:tcPr>
            <w:tcW w:w="1788" w:type="dxa"/>
            <w:vMerge w:val="restart"/>
            <w:vAlign w:val="center"/>
          </w:tcPr>
          <w:p w14:paraId="119B7CEC">
            <w:pPr>
              <w:jc w:val="center"/>
              <w:rPr>
                <w:rFonts w:cs="Times New Roman"/>
                <w:szCs w:val="24"/>
                <w:lang w:bidi="ar"/>
              </w:rPr>
            </w:pPr>
            <w:r>
              <w:rPr>
                <w:rFonts w:cs="Times New Roman"/>
                <w:b/>
                <w:bCs/>
                <w:szCs w:val="24"/>
              </w:rPr>
              <w:t>6.3</w:t>
            </w:r>
            <w:r>
              <w:rPr>
                <w:rFonts w:cs="Times New Roman"/>
                <w:szCs w:val="24"/>
              </w:rPr>
              <w:t xml:space="preserve"> </w:t>
            </w:r>
            <w:r>
              <w:rPr>
                <w:rFonts w:cs="Times New Roman"/>
                <w:szCs w:val="24"/>
                <w:lang w:bidi="ar"/>
              </w:rPr>
              <w:t>Follow-up methods</w:t>
            </w:r>
          </w:p>
        </w:tc>
        <w:tc>
          <w:tcPr>
            <w:tcW w:w="10505" w:type="dxa"/>
            <w:gridSpan w:val="5"/>
            <w:vAlign w:val="center"/>
          </w:tcPr>
          <w:p w14:paraId="15142694">
            <w:pPr>
              <w:jc w:val="left"/>
              <w:rPr>
                <w:rFonts w:cs="Times New Roman"/>
                <w:szCs w:val="24"/>
                <w:lang w:bidi="ar"/>
              </w:rPr>
            </w:pPr>
            <w:r>
              <w:rPr>
                <w:rFonts w:cs="Times New Roman"/>
                <w:b/>
                <w:bCs/>
                <w:szCs w:val="24"/>
              </w:rPr>
              <w:t>6.3.1</w:t>
            </w:r>
            <w:r>
              <w:rPr>
                <w:rFonts w:cs="Times New Roman"/>
                <w:szCs w:val="24"/>
              </w:rPr>
              <w:t xml:space="preserve"> </w:t>
            </w:r>
            <w:r>
              <w:rPr>
                <w:rFonts w:cs="Times New Roman"/>
                <w:szCs w:val="24"/>
                <w:lang w:bidi="ar"/>
              </w:rPr>
              <w:t>High-risk/unstable patients: hospital follow-up as the core, with community/home follow-up providing close support and online follow-up for daily monitoring.</w:t>
            </w:r>
          </w:p>
        </w:tc>
      </w:tr>
      <w:tr w14:paraId="1114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vMerge w:val="continue"/>
            <w:vAlign w:val="center"/>
          </w:tcPr>
          <w:p w14:paraId="6DDC0E9A">
            <w:pPr>
              <w:jc w:val="center"/>
              <w:rPr>
                <w:rFonts w:cs="Times New Roman"/>
                <w:szCs w:val="24"/>
                <w:lang w:bidi="ar"/>
              </w:rPr>
            </w:pPr>
          </w:p>
        </w:tc>
        <w:tc>
          <w:tcPr>
            <w:tcW w:w="1788" w:type="dxa"/>
            <w:vMerge w:val="continue"/>
            <w:vAlign w:val="center"/>
          </w:tcPr>
          <w:p w14:paraId="2E292701">
            <w:pPr>
              <w:jc w:val="center"/>
              <w:rPr>
                <w:rFonts w:cs="Times New Roman"/>
                <w:szCs w:val="24"/>
                <w:lang w:bidi="ar"/>
              </w:rPr>
            </w:pPr>
          </w:p>
        </w:tc>
        <w:tc>
          <w:tcPr>
            <w:tcW w:w="10505" w:type="dxa"/>
            <w:gridSpan w:val="5"/>
            <w:vAlign w:val="center"/>
          </w:tcPr>
          <w:p w14:paraId="7BCA0AFB">
            <w:pPr>
              <w:jc w:val="left"/>
              <w:rPr>
                <w:rFonts w:cs="Times New Roman"/>
                <w:szCs w:val="24"/>
                <w:lang w:bidi="ar"/>
              </w:rPr>
            </w:pPr>
            <w:r>
              <w:rPr>
                <w:rFonts w:cs="Times New Roman"/>
                <w:b/>
                <w:bCs/>
                <w:szCs w:val="24"/>
              </w:rPr>
              <w:t xml:space="preserve">6.3.2 </w:t>
            </w:r>
            <w:r>
              <w:rPr>
                <w:rFonts w:cs="Times New Roman"/>
                <w:szCs w:val="24"/>
                <w:lang w:bidi="ar"/>
              </w:rPr>
              <w:t>For stable, remotely residing, or elderly patients: online follow-up for daily management, combined with periodic community follow-up or hospital follow-up for completion of indicator assessments.</w:t>
            </w:r>
          </w:p>
        </w:tc>
      </w:tr>
    </w:tbl>
    <w:p w14:paraId="4EFBFFB7">
      <w:pPr>
        <w:jc w:val="center"/>
        <w:rPr>
          <w:rFonts w:cs="Times New Roman"/>
          <w:szCs w:val="24"/>
          <w:lang w:bidi="ar"/>
        </w:rPr>
      </w:pPr>
    </w:p>
    <w:p w14:paraId="348DFC6D">
      <w:pPr>
        <w:rPr>
          <w:b/>
          <w:bCs/>
          <w:sz w:val="30"/>
          <w:szCs w:val="30"/>
        </w:rPr>
        <w:sectPr>
          <w:pgSz w:w="16838" w:h="11906" w:orient="landscape"/>
          <w:pgMar w:top="1797" w:right="1440" w:bottom="1797" w:left="1440" w:header="851" w:footer="992" w:gutter="0"/>
          <w:cols w:space="425" w:num="1"/>
          <w:docGrid w:type="linesAndChars" w:linePitch="312" w:charSpace="0"/>
        </w:sectPr>
      </w:pPr>
    </w:p>
    <w:p w14:paraId="4619BF7C">
      <w:pPr>
        <w:pStyle w:val="3"/>
        <w:spacing w:before="156" w:after="156"/>
      </w:pPr>
      <w:bookmarkStart w:id="7" w:name="_Toc225442463"/>
      <w:r>
        <w:t>S</w:t>
      </w:r>
      <w:r>
        <w:rPr>
          <w:rFonts w:hint="eastAsia"/>
        </w:rPr>
        <w:t>5</w:t>
      </w:r>
      <w:r>
        <w:t>: Second-round Delphi expert opinions</w:t>
      </w:r>
      <w:bookmarkEnd w:id="7"/>
    </w:p>
    <w:tbl>
      <w:tblPr>
        <w:tblStyle w:val="19"/>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750"/>
        <w:gridCol w:w="3495"/>
        <w:gridCol w:w="8080"/>
        <w:gridCol w:w="1134"/>
      </w:tblGrid>
      <w:tr w14:paraId="0431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4D3C260">
            <w:pPr>
              <w:jc w:val="center"/>
              <w:rPr>
                <w:rFonts w:cs="Times New Roman"/>
                <w:szCs w:val="24"/>
                <w:lang w:bidi="ar"/>
              </w:rPr>
            </w:pPr>
            <w:r>
              <w:rPr>
                <w:rFonts w:cs="Times New Roman"/>
                <w:szCs w:val="24"/>
                <w:lang w:bidi="ar"/>
              </w:rPr>
              <w:t>No.</w:t>
            </w:r>
          </w:p>
        </w:tc>
        <w:tc>
          <w:tcPr>
            <w:tcW w:w="750" w:type="dxa"/>
          </w:tcPr>
          <w:p w14:paraId="2AD4BDE9">
            <w:pPr>
              <w:jc w:val="center"/>
              <w:rPr>
                <w:rFonts w:cs="Times New Roman"/>
                <w:szCs w:val="24"/>
                <w:lang w:bidi="ar"/>
              </w:rPr>
            </w:pPr>
            <w:r>
              <w:rPr>
                <w:rFonts w:cs="Times New Roman"/>
                <w:szCs w:val="24"/>
                <w:lang w:bidi="ar"/>
              </w:rPr>
              <w:t>Items</w:t>
            </w:r>
          </w:p>
        </w:tc>
        <w:tc>
          <w:tcPr>
            <w:tcW w:w="3495" w:type="dxa"/>
          </w:tcPr>
          <w:p w14:paraId="3E864FBD">
            <w:pPr>
              <w:jc w:val="center"/>
              <w:rPr>
                <w:rFonts w:cs="Times New Roman"/>
                <w:szCs w:val="24"/>
                <w:lang w:bidi="ar"/>
              </w:rPr>
            </w:pPr>
            <w:r>
              <w:rPr>
                <w:rFonts w:cs="Times New Roman"/>
                <w:szCs w:val="24"/>
                <w:lang w:bidi="ar"/>
              </w:rPr>
              <w:t>Expert opinion</w:t>
            </w:r>
          </w:p>
        </w:tc>
        <w:tc>
          <w:tcPr>
            <w:tcW w:w="8080" w:type="dxa"/>
          </w:tcPr>
          <w:p w14:paraId="41ADD310">
            <w:pPr>
              <w:jc w:val="center"/>
              <w:rPr>
                <w:rFonts w:cs="Times New Roman"/>
                <w:szCs w:val="24"/>
                <w:lang w:bidi="ar"/>
              </w:rPr>
            </w:pPr>
            <w:r>
              <w:rPr>
                <w:rFonts w:cs="Times New Roman"/>
                <w:szCs w:val="24"/>
                <w:lang w:bidi="ar"/>
              </w:rPr>
              <w:t>Research team opinion</w:t>
            </w:r>
          </w:p>
        </w:tc>
        <w:tc>
          <w:tcPr>
            <w:tcW w:w="1134" w:type="dxa"/>
          </w:tcPr>
          <w:p w14:paraId="4486D8A4">
            <w:pPr>
              <w:jc w:val="center"/>
              <w:rPr>
                <w:rFonts w:cs="Times New Roman"/>
                <w:szCs w:val="24"/>
                <w:lang w:bidi="ar"/>
              </w:rPr>
            </w:pPr>
            <w:r>
              <w:rPr>
                <w:rFonts w:cs="Times New Roman"/>
                <w:szCs w:val="24"/>
                <w:lang w:bidi="ar"/>
              </w:rPr>
              <w:t>Adopted</w:t>
            </w:r>
          </w:p>
        </w:tc>
      </w:tr>
      <w:tr w14:paraId="583B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8329772">
            <w:pPr>
              <w:ind w:left="240" w:hanging="240" w:hangingChars="100"/>
              <w:rPr>
                <w:rFonts w:cs="Times New Roman"/>
                <w:szCs w:val="24"/>
                <w:lang w:bidi="ar"/>
              </w:rPr>
            </w:pPr>
            <w:r>
              <w:rPr>
                <w:rFonts w:hint="eastAsia" w:cs="Times New Roman"/>
                <w:szCs w:val="24"/>
                <w:lang w:bidi="ar"/>
              </w:rPr>
              <w:t>1</w:t>
            </w:r>
          </w:p>
        </w:tc>
        <w:tc>
          <w:tcPr>
            <w:tcW w:w="750" w:type="dxa"/>
          </w:tcPr>
          <w:p w14:paraId="17E89EF3">
            <w:pPr>
              <w:ind w:left="240" w:hanging="240" w:hangingChars="100"/>
              <w:rPr>
                <w:rFonts w:cs="Times New Roman"/>
                <w:szCs w:val="24"/>
                <w:lang w:bidi="ar"/>
              </w:rPr>
            </w:pPr>
            <w:r>
              <w:rPr>
                <w:rFonts w:cs="Times New Roman"/>
                <w:szCs w:val="24"/>
                <w:lang w:bidi="ar"/>
              </w:rPr>
              <w:t>1.</w:t>
            </w:r>
            <w:r>
              <w:rPr>
                <w:rFonts w:hint="eastAsia" w:cs="Times New Roman"/>
                <w:szCs w:val="24"/>
                <w:lang w:bidi="ar"/>
              </w:rPr>
              <w:t>3.6</w:t>
            </w:r>
          </w:p>
        </w:tc>
        <w:tc>
          <w:tcPr>
            <w:tcW w:w="3495" w:type="dxa"/>
          </w:tcPr>
          <w:p w14:paraId="52267C09">
            <w:pPr>
              <w:jc w:val="left"/>
              <w:rPr>
                <w:rFonts w:cs="Times New Roman"/>
                <w:szCs w:val="24"/>
                <w:lang w:bidi="ar"/>
              </w:rPr>
            </w:pPr>
            <w:r>
              <w:rPr>
                <w:rFonts w:cs="Times New Roman"/>
                <w:szCs w:val="24"/>
                <w:lang w:bidi="ar"/>
              </w:rPr>
              <w:t>Tai Chi and Baduanjin are already included in rehabilitation practice; it is unnecessary to add a traditional Chinese medicine (TCM) physician.</w:t>
            </w:r>
          </w:p>
        </w:tc>
        <w:tc>
          <w:tcPr>
            <w:tcW w:w="8080" w:type="dxa"/>
          </w:tcPr>
          <w:p w14:paraId="2971421B">
            <w:pPr>
              <w:jc w:val="left"/>
              <w:rPr>
                <w:rFonts w:cs="Times New Roman"/>
                <w:szCs w:val="24"/>
                <w:lang w:bidi="ar"/>
              </w:rPr>
            </w:pPr>
            <w:r>
              <w:rPr>
                <w:rFonts w:cs="Times New Roman"/>
                <w:szCs w:val="24"/>
                <w:lang w:bidi="ar"/>
              </w:rPr>
              <w:t>The value of a TCM physician extends beyond traditional exercises to include various modalities such as Chinese herbal medicine, acupuncture, and constitution-based identification. Including TCM physicians in the extended team (as needed) reflects the concept of multidisciplinary collaboration, while maintaining flexibility for healthcare institutions with such resources. This approach does not mandate TCM physician involvement, thereby avoiding resource redundancy.</w:t>
            </w:r>
          </w:p>
        </w:tc>
        <w:tc>
          <w:tcPr>
            <w:tcW w:w="1134" w:type="dxa"/>
          </w:tcPr>
          <w:p w14:paraId="7901E1AB">
            <w:pPr>
              <w:rPr>
                <w:rFonts w:cs="Times New Roman"/>
                <w:szCs w:val="24"/>
                <w:lang w:bidi="ar"/>
              </w:rPr>
            </w:pPr>
            <w:r>
              <w:rPr>
                <w:rFonts w:cs="Times New Roman"/>
                <w:szCs w:val="24"/>
                <w:lang w:bidi="ar"/>
              </w:rPr>
              <w:t>Not adopted</w:t>
            </w:r>
          </w:p>
        </w:tc>
      </w:tr>
      <w:tr w14:paraId="7729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6B1DF54">
            <w:pPr>
              <w:ind w:left="240" w:hanging="240" w:hangingChars="100"/>
              <w:rPr>
                <w:rFonts w:cs="Times New Roman"/>
                <w:szCs w:val="24"/>
                <w:lang w:bidi="ar"/>
              </w:rPr>
            </w:pPr>
            <w:r>
              <w:rPr>
                <w:rFonts w:hint="eastAsia" w:cs="Times New Roman"/>
                <w:szCs w:val="24"/>
                <w:lang w:bidi="ar"/>
              </w:rPr>
              <w:t>2</w:t>
            </w:r>
          </w:p>
        </w:tc>
        <w:tc>
          <w:tcPr>
            <w:tcW w:w="750" w:type="dxa"/>
          </w:tcPr>
          <w:p w14:paraId="20D19F31">
            <w:pPr>
              <w:ind w:left="240" w:hanging="240" w:hangingChars="100"/>
              <w:rPr>
                <w:rFonts w:cs="Times New Roman"/>
                <w:szCs w:val="24"/>
                <w:lang w:bidi="ar"/>
              </w:rPr>
            </w:pPr>
            <w:r>
              <w:rPr>
                <w:rFonts w:cs="Times New Roman"/>
                <w:szCs w:val="24"/>
                <w:lang w:bidi="ar"/>
              </w:rPr>
              <w:t>2.2.2</w:t>
            </w:r>
          </w:p>
        </w:tc>
        <w:tc>
          <w:tcPr>
            <w:tcW w:w="3495" w:type="dxa"/>
          </w:tcPr>
          <w:p w14:paraId="24D4D014">
            <w:pPr>
              <w:jc w:val="left"/>
              <w:rPr>
                <w:rFonts w:cs="Times New Roman"/>
                <w:szCs w:val="24"/>
                <w:lang w:bidi="ar"/>
              </w:rPr>
            </w:pPr>
            <w:r>
              <w:rPr>
                <w:rFonts w:cs="Times New Roman"/>
                <w:szCs w:val="24"/>
                <w:lang w:bidi="ar"/>
              </w:rPr>
              <w:t>Add “uncontrolled hypertension” as a relative contraindication.</w:t>
            </w:r>
          </w:p>
        </w:tc>
        <w:tc>
          <w:tcPr>
            <w:tcW w:w="8080" w:type="dxa"/>
          </w:tcPr>
          <w:p w14:paraId="133F485D">
            <w:pPr>
              <w:jc w:val="left"/>
              <w:rPr>
                <w:rFonts w:cs="Times New Roman"/>
                <w:szCs w:val="24"/>
                <w:lang w:bidi="ar"/>
              </w:rPr>
            </w:pPr>
            <w:r>
              <w:rPr>
                <w:rFonts w:cs="Times New Roman"/>
                <w:szCs w:val="24"/>
                <w:lang w:bidi="ar"/>
              </w:rPr>
              <w:t>Uncontrolled hypertension is already addressed in the safety indicators (Section 2.2.1) through the specified ranges for mean arterial pressure and systolic blood pressure. Adding it separately would create redundancy; therefore, it was not included.</w:t>
            </w:r>
          </w:p>
        </w:tc>
        <w:tc>
          <w:tcPr>
            <w:tcW w:w="1134" w:type="dxa"/>
          </w:tcPr>
          <w:p w14:paraId="7DC7DAFE">
            <w:pPr>
              <w:rPr>
                <w:rFonts w:cs="Times New Roman"/>
                <w:szCs w:val="24"/>
                <w:lang w:bidi="ar"/>
              </w:rPr>
            </w:pPr>
            <w:r>
              <w:rPr>
                <w:rFonts w:cs="Times New Roman"/>
                <w:szCs w:val="24"/>
                <w:lang w:bidi="ar"/>
              </w:rPr>
              <w:t>Not adopted</w:t>
            </w:r>
          </w:p>
        </w:tc>
      </w:tr>
      <w:tr w14:paraId="490D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4837886">
            <w:pPr>
              <w:rPr>
                <w:rFonts w:cs="Times New Roman"/>
                <w:szCs w:val="24"/>
              </w:rPr>
            </w:pPr>
            <w:r>
              <w:rPr>
                <w:rFonts w:hint="eastAsia" w:cs="Times New Roman"/>
                <w:szCs w:val="24"/>
              </w:rPr>
              <w:t>3</w:t>
            </w:r>
          </w:p>
        </w:tc>
        <w:tc>
          <w:tcPr>
            <w:tcW w:w="750" w:type="dxa"/>
          </w:tcPr>
          <w:p w14:paraId="42B35691">
            <w:pPr>
              <w:rPr>
                <w:rFonts w:cs="Times New Roman"/>
                <w:szCs w:val="24"/>
              </w:rPr>
            </w:pPr>
            <w:r>
              <w:rPr>
                <w:rFonts w:cs="Times New Roman"/>
                <w:szCs w:val="24"/>
              </w:rPr>
              <w:t>3.3.1</w:t>
            </w:r>
          </w:p>
        </w:tc>
        <w:tc>
          <w:tcPr>
            <w:tcW w:w="3495" w:type="dxa"/>
          </w:tcPr>
          <w:p w14:paraId="750CC0C1">
            <w:pPr>
              <w:jc w:val="left"/>
              <w:rPr>
                <w:rFonts w:cs="Times New Roman"/>
                <w:szCs w:val="24"/>
                <w:lang w:bidi="ar"/>
              </w:rPr>
            </w:pPr>
            <w:r>
              <w:rPr>
                <w:rFonts w:cs="Times New Roman"/>
                <w:szCs w:val="24"/>
                <w:lang w:bidi="ar"/>
              </w:rPr>
              <w:t>Standardize the description of exercise duration using consistent units (e.g., times/day, sets/session, or minutes/session).</w:t>
            </w:r>
          </w:p>
        </w:tc>
        <w:tc>
          <w:tcPr>
            <w:tcW w:w="8080" w:type="dxa"/>
          </w:tcPr>
          <w:p w14:paraId="054BA247">
            <w:pPr>
              <w:jc w:val="left"/>
              <w:rPr>
                <w:rFonts w:cs="Times New Roman"/>
                <w:szCs w:val="24"/>
              </w:rPr>
            </w:pPr>
            <w:r>
              <w:rPr>
                <w:rFonts w:cs="Times New Roman"/>
                <w:szCs w:val="24"/>
              </w:rPr>
              <w:t>Adopting a standardized format improves the clarity and consistency of the exercise prescription, making it easier for clinicians and patients to understand and implement.</w:t>
            </w:r>
          </w:p>
        </w:tc>
        <w:tc>
          <w:tcPr>
            <w:tcW w:w="1134" w:type="dxa"/>
          </w:tcPr>
          <w:p w14:paraId="419D4281">
            <w:pPr>
              <w:rPr>
                <w:rFonts w:cs="Times New Roman"/>
                <w:szCs w:val="24"/>
                <w:lang w:bidi="ar"/>
              </w:rPr>
            </w:pPr>
            <w:r>
              <w:rPr>
                <w:rFonts w:cs="Times New Roman"/>
                <w:szCs w:val="24"/>
                <w:lang w:bidi="ar"/>
              </w:rPr>
              <w:t>Adopted</w:t>
            </w:r>
          </w:p>
        </w:tc>
      </w:tr>
      <w:tr w14:paraId="5D9E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65E4FE8">
            <w:pPr>
              <w:rPr>
                <w:rFonts w:cs="Times New Roman"/>
                <w:szCs w:val="24"/>
              </w:rPr>
            </w:pPr>
            <w:r>
              <w:rPr>
                <w:rFonts w:hint="eastAsia" w:cs="Times New Roman"/>
                <w:szCs w:val="24"/>
              </w:rPr>
              <w:t>4</w:t>
            </w:r>
          </w:p>
        </w:tc>
        <w:tc>
          <w:tcPr>
            <w:tcW w:w="750" w:type="dxa"/>
          </w:tcPr>
          <w:p w14:paraId="3B2C2896">
            <w:pPr>
              <w:rPr>
                <w:rFonts w:cs="Times New Roman"/>
                <w:szCs w:val="24"/>
                <w:lang w:bidi="ar"/>
              </w:rPr>
            </w:pPr>
            <w:r>
              <w:rPr>
                <w:rFonts w:cs="Times New Roman"/>
                <w:szCs w:val="24"/>
              </w:rPr>
              <w:t>3.8.2</w:t>
            </w:r>
          </w:p>
        </w:tc>
        <w:tc>
          <w:tcPr>
            <w:tcW w:w="3495" w:type="dxa"/>
          </w:tcPr>
          <w:p w14:paraId="281DC9E7">
            <w:pPr>
              <w:jc w:val="left"/>
              <w:rPr>
                <w:rFonts w:cs="Times New Roman"/>
                <w:szCs w:val="24"/>
              </w:rPr>
            </w:pPr>
            <w:r>
              <w:rPr>
                <w:rFonts w:cs="Times New Roman"/>
                <w:szCs w:val="24"/>
                <w:lang w:bidi="ar"/>
              </w:rPr>
              <w:t>It is suggested to specify “oxygen saturation (SpO₂) targets at different altitudes.”</w:t>
            </w:r>
          </w:p>
        </w:tc>
        <w:tc>
          <w:tcPr>
            <w:tcW w:w="8080" w:type="dxa"/>
          </w:tcPr>
          <w:p w14:paraId="19D75A5E">
            <w:pPr>
              <w:jc w:val="left"/>
              <w:rPr>
                <w:rFonts w:cs="Times New Roman"/>
                <w:szCs w:val="24"/>
                <w:lang w:bidi="ar"/>
              </w:rPr>
            </w:pPr>
            <w:r>
              <w:rPr>
                <w:rFonts w:cs="Times New Roman"/>
                <w:szCs w:val="24"/>
              </w:rPr>
              <w:t>Currently, there is insufficient evidence to support establishing SpO₂ targets at different altitudes for patients with pulmonary hypertension undergoing pulmonary rehabilitation. Therefore, this suggestion is not adopted for the current program. However, it holds important clinical value and is recommended as a direction for future research once sufficient evidence becomes available.</w:t>
            </w:r>
          </w:p>
        </w:tc>
        <w:tc>
          <w:tcPr>
            <w:tcW w:w="1134" w:type="dxa"/>
          </w:tcPr>
          <w:p w14:paraId="75B28B82">
            <w:pPr>
              <w:rPr>
                <w:rFonts w:cs="Times New Roman"/>
                <w:szCs w:val="24"/>
                <w:lang w:bidi="ar"/>
              </w:rPr>
            </w:pPr>
            <w:r>
              <w:rPr>
                <w:rFonts w:cs="Times New Roman"/>
                <w:szCs w:val="24"/>
                <w:lang w:bidi="ar"/>
              </w:rPr>
              <w:t>Not adopted</w:t>
            </w:r>
          </w:p>
        </w:tc>
      </w:tr>
      <w:tr w14:paraId="3F82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2EC6E78">
            <w:pPr>
              <w:rPr>
                <w:rFonts w:cs="Times New Roman"/>
                <w:szCs w:val="24"/>
                <w:lang w:bidi="ar"/>
              </w:rPr>
            </w:pPr>
            <w:r>
              <w:rPr>
                <w:rFonts w:hint="eastAsia" w:cs="Times New Roman"/>
                <w:szCs w:val="24"/>
                <w:lang w:bidi="ar"/>
              </w:rPr>
              <w:t>5</w:t>
            </w:r>
          </w:p>
        </w:tc>
        <w:tc>
          <w:tcPr>
            <w:tcW w:w="750" w:type="dxa"/>
          </w:tcPr>
          <w:p w14:paraId="3356D074">
            <w:pPr>
              <w:rPr>
                <w:rFonts w:cs="Times New Roman"/>
                <w:szCs w:val="24"/>
                <w:lang w:bidi="ar"/>
              </w:rPr>
            </w:pPr>
            <w:r>
              <w:rPr>
                <w:rFonts w:cs="Times New Roman"/>
                <w:szCs w:val="24"/>
                <w:lang w:bidi="ar"/>
              </w:rPr>
              <w:t>3.8.3</w:t>
            </w:r>
          </w:p>
        </w:tc>
        <w:tc>
          <w:tcPr>
            <w:tcW w:w="3495" w:type="dxa"/>
          </w:tcPr>
          <w:p w14:paraId="2487CA55">
            <w:pPr>
              <w:jc w:val="left"/>
              <w:rPr>
                <w:rFonts w:cs="Times New Roman"/>
                <w:szCs w:val="24"/>
                <w:lang w:bidi="ar"/>
              </w:rPr>
            </w:pPr>
            <w:r>
              <w:rPr>
                <w:rFonts w:cs="Times New Roman"/>
                <w:szCs w:val="24"/>
                <w:lang w:bidi="ar"/>
              </w:rPr>
              <w:t>Revise “low-intensity activities of daily living” to “activities of daily living.”</w:t>
            </w:r>
          </w:p>
        </w:tc>
        <w:tc>
          <w:tcPr>
            <w:tcW w:w="8080" w:type="dxa"/>
          </w:tcPr>
          <w:p w14:paraId="0869F0B4">
            <w:pPr>
              <w:jc w:val="left"/>
              <w:rPr>
                <w:rFonts w:cs="Times New Roman"/>
                <w:szCs w:val="24"/>
                <w:lang w:bidi="ar"/>
              </w:rPr>
            </w:pPr>
            <w:r>
              <w:rPr>
                <w:rFonts w:cs="Times New Roman"/>
                <w:szCs w:val="24"/>
                <w:lang w:bidi="ar"/>
              </w:rPr>
              <w:t>“Activities of daily living” inherently fall within the low-intensity category. Simplifying the wording makes the item more concise while preserving its original meaning.</w:t>
            </w:r>
          </w:p>
        </w:tc>
        <w:tc>
          <w:tcPr>
            <w:tcW w:w="1134" w:type="dxa"/>
          </w:tcPr>
          <w:p w14:paraId="6343EA5A">
            <w:pPr>
              <w:rPr>
                <w:rFonts w:cs="Times New Roman"/>
                <w:szCs w:val="24"/>
                <w:lang w:bidi="ar"/>
              </w:rPr>
            </w:pPr>
            <w:r>
              <w:rPr>
                <w:rFonts w:cs="Times New Roman"/>
                <w:szCs w:val="24"/>
                <w:lang w:bidi="ar"/>
              </w:rPr>
              <w:t>Adopted</w:t>
            </w:r>
          </w:p>
        </w:tc>
      </w:tr>
      <w:tr w14:paraId="33B5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9515180">
            <w:pPr>
              <w:rPr>
                <w:rFonts w:cs="Times New Roman"/>
                <w:szCs w:val="24"/>
                <w:lang w:bidi="ar"/>
              </w:rPr>
            </w:pPr>
            <w:r>
              <w:rPr>
                <w:rFonts w:hint="eastAsia" w:cs="Times New Roman"/>
                <w:szCs w:val="24"/>
                <w:lang w:bidi="ar"/>
              </w:rPr>
              <w:t>6</w:t>
            </w:r>
          </w:p>
        </w:tc>
        <w:tc>
          <w:tcPr>
            <w:tcW w:w="750" w:type="dxa"/>
          </w:tcPr>
          <w:p w14:paraId="0FB06070">
            <w:pPr>
              <w:rPr>
                <w:rFonts w:cs="Times New Roman"/>
                <w:szCs w:val="24"/>
                <w:lang w:bidi="ar"/>
              </w:rPr>
            </w:pPr>
            <w:r>
              <w:rPr>
                <w:rFonts w:hint="eastAsia" w:cs="Times New Roman"/>
                <w:szCs w:val="24"/>
                <w:lang w:bidi="ar"/>
              </w:rPr>
              <w:t>3</w:t>
            </w:r>
          </w:p>
        </w:tc>
        <w:tc>
          <w:tcPr>
            <w:tcW w:w="3495" w:type="dxa"/>
          </w:tcPr>
          <w:p w14:paraId="7C70605B">
            <w:pPr>
              <w:jc w:val="left"/>
              <w:rPr>
                <w:rFonts w:cs="Times New Roman"/>
                <w:szCs w:val="24"/>
                <w:lang w:bidi="ar"/>
              </w:rPr>
            </w:pPr>
            <w:r>
              <w:rPr>
                <w:rFonts w:cs="Times New Roman"/>
                <w:szCs w:val="24"/>
                <w:lang w:bidi="ar"/>
              </w:rPr>
              <w:t>Add “rehabilitation goals.” With assessment and prescription in place, clear rehabilitation goals (e.g., time-bound functional or clinical targets) should also be established.</w:t>
            </w:r>
          </w:p>
        </w:tc>
        <w:tc>
          <w:tcPr>
            <w:tcW w:w="8080" w:type="dxa"/>
          </w:tcPr>
          <w:p w14:paraId="7E2D81AF">
            <w:pPr>
              <w:jc w:val="left"/>
              <w:rPr>
                <w:rFonts w:cs="Times New Roman"/>
                <w:szCs w:val="24"/>
                <w:lang w:bidi="ar"/>
              </w:rPr>
            </w:pPr>
            <w:r>
              <w:rPr>
                <w:rFonts w:cs="Times New Roman"/>
                <w:szCs w:val="24"/>
                <w:lang w:bidi="ar"/>
              </w:rPr>
              <w:t>This suggestion is clinically significant and enhances the guidance and evaluability of the rehabilitation program. Accordingly, a second-level item “Dynamic management of rehabilitation goals” and two corresponding third-level items were added.</w:t>
            </w:r>
          </w:p>
        </w:tc>
        <w:tc>
          <w:tcPr>
            <w:tcW w:w="1134" w:type="dxa"/>
          </w:tcPr>
          <w:p w14:paraId="32D515E1">
            <w:pPr>
              <w:rPr>
                <w:rFonts w:cs="Times New Roman"/>
                <w:szCs w:val="24"/>
                <w:lang w:bidi="ar"/>
              </w:rPr>
            </w:pPr>
            <w:r>
              <w:rPr>
                <w:rFonts w:cs="Times New Roman"/>
                <w:szCs w:val="24"/>
                <w:lang w:bidi="ar"/>
              </w:rPr>
              <w:t>Adopted</w:t>
            </w:r>
          </w:p>
        </w:tc>
      </w:tr>
      <w:tr w14:paraId="004D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723434D">
            <w:pPr>
              <w:rPr>
                <w:rFonts w:cs="Times New Roman"/>
                <w:szCs w:val="24"/>
              </w:rPr>
            </w:pPr>
            <w:r>
              <w:rPr>
                <w:rFonts w:hint="eastAsia" w:cs="Times New Roman"/>
                <w:szCs w:val="24"/>
              </w:rPr>
              <w:t>7</w:t>
            </w:r>
          </w:p>
        </w:tc>
        <w:tc>
          <w:tcPr>
            <w:tcW w:w="750" w:type="dxa"/>
          </w:tcPr>
          <w:p w14:paraId="2ED9CCF2">
            <w:pPr>
              <w:rPr>
                <w:rFonts w:cs="Times New Roman"/>
                <w:szCs w:val="24"/>
              </w:rPr>
            </w:pPr>
            <w:r>
              <w:rPr>
                <w:rFonts w:cs="Times New Roman"/>
                <w:szCs w:val="24"/>
              </w:rPr>
              <w:t>3.6.4</w:t>
            </w:r>
          </w:p>
        </w:tc>
        <w:tc>
          <w:tcPr>
            <w:tcW w:w="3495" w:type="dxa"/>
          </w:tcPr>
          <w:p w14:paraId="74982FEF">
            <w:pPr>
              <w:jc w:val="left"/>
              <w:rPr>
                <w:rFonts w:cs="Times New Roman"/>
                <w:szCs w:val="24"/>
              </w:rPr>
            </w:pPr>
            <w:r>
              <w:rPr>
                <w:rFonts w:cs="Times New Roman"/>
                <w:szCs w:val="24"/>
              </w:rPr>
              <w:t>It is suggested to delete this item, as warm-up can be included in the training itself and does not need to be addressed separately.</w:t>
            </w:r>
          </w:p>
        </w:tc>
        <w:tc>
          <w:tcPr>
            <w:tcW w:w="8080" w:type="dxa"/>
          </w:tcPr>
          <w:p w14:paraId="0D73E3BB">
            <w:pPr>
              <w:jc w:val="left"/>
              <w:rPr>
                <w:rFonts w:cs="Times New Roman"/>
                <w:szCs w:val="24"/>
                <w:lang w:bidi="ar"/>
              </w:rPr>
            </w:pPr>
            <w:r>
              <w:rPr>
                <w:rFonts w:cs="Times New Roman"/>
                <w:szCs w:val="24"/>
                <w:lang w:bidi="ar"/>
              </w:rPr>
              <w:t>In high-altitude hypoxic environments, the cardiovascular system is more sensitive to changes in exercise load. Presenting warm-up and cool-down as a separate item helps reinforce awareness of safety implementation and reduces exercise-related risks. Therefore, this item was retained and not deleted.</w:t>
            </w:r>
          </w:p>
        </w:tc>
        <w:tc>
          <w:tcPr>
            <w:tcW w:w="1134" w:type="dxa"/>
          </w:tcPr>
          <w:p w14:paraId="31F432CF">
            <w:pPr>
              <w:rPr>
                <w:rFonts w:cs="Times New Roman"/>
                <w:szCs w:val="24"/>
                <w:lang w:bidi="ar"/>
              </w:rPr>
            </w:pPr>
            <w:r>
              <w:rPr>
                <w:rFonts w:cs="Times New Roman"/>
                <w:szCs w:val="24"/>
                <w:lang w:bidi="ar"/>
              </w:rPr>
              <w:t>Not adopted</w:t>
            </w:r>
          </w:p>
        </w:tc>
      </w:tr>
      <w:tr w14:paraId="2E9A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A7050D1">
            <w:pPr>
              <w:rPr>
                <w:rFonts w:cs="Times New Roman"/>
                <w:szCs w:val="24"/>
                <w:lang w:bidi="ar"/>
              </w:rPr>
            </w:pPr>
            <w:r>
              <w:rPr>
                <w:rFonts w:hint="eastAsia" w:cs="Times New Roman"/>
                <w:szCs w:val="24"/>
                <w:lang w:bidi="ar"/>
              </w:rPr>
              <w:t>8</w:t>
            </w:r>
          </w:p>
        </w:tc>
        <w:tc>
          <w:tcPr>
            <w:tcW w:w="750" w:type="dxa"/>
          </w:tcPr>
          <w:p w14:paraId="51D93C24">
            <w:pPr>
              <w:rPr>
                <w:rFonts w:cs="Times New Roman"/>
                <w:szCs w:val="24"/>
              </w:rPr>
            </w:pPr>
            <w:r>
              <w:rPr>
                <w:rFonts w:cs="Times New Roman"/>
                <w:szCs w:val="24"/>
                <w:lang w:bidi="ar"/>
              </w:rPr>
              <w:t>4.3.1</w:t>
            </w:r>
          </w:p>
        </w:tc>
        <w:tc>
          <w:tcPr>
            <w:tcW w:w="3495" w:type="dxa"/>
          </w:tcPr>
          <w:p w14:paraId="15E50D9E">
            <w:pPr>
              <w:jc w:val="left"/>
              <w:rPr>
                <w:rFonts w:cs="Times New Roman"/>
                <w:szCs w:val="24"/>
              </w:rPr>
            </w:pPr>
            <w:r>
              <w:rPr>
                <w:rFonts w:cs="Times New Roman"/>
                <w:szCs w:val="24"/>
                <w:lang w:bidi="ar"/>
              </w:rPr>
              <w:t>It is suggested to add an example of energy estimation.</w:t>
            </w:r>
          </w:p>
        </w:tc>
        <w:tc>
          <w:tcPr>
            <w:tcW w:w="8080" w:type="dxa"/>
          </w:tcPr>
          <w:p w14:paraId="0F482664">
            <w:pPr>
              <w:jc w:val="left"/>
              <w:rPr>
                <w:rFonts w:cs="Times New Roman"/>
                <w:szCs w:val="24"/>
                <w:lang w:bidi="ar"/>
              </w:rPr>
            </w:pPr>
            <w:r>
              <w:rPr>
                <w:rFonts w:cs="Times New Roman"/>
                <w:szCs w:val="24"/>
                <w:lang w:bidi="ar"/>
              </w:rPr>
              <w:t>Adding an example of energy estimation helps improve the operability of nutritional guidance and makes it easier for patients to understand and implement. Given the availability of various mobile applications, a note was added to the program: “using relevant mobile applications for calculation,” providing a specific and actionable tool.</w:t>
            </w:r>
          </w:p>
        </w:tc>
        <w:tc>
          <w:tcPr>
            <w:tcW w:w="1134" w:type="dxa"/>
          </w:tcPr>
          <w:p w14:paraId="5DF58273">
            <w:pPr>
              <w:rPr>
                <w:rFonts w:cs="Times New Roman"/>
                <w:szCs w:val="24"/>
                <w:lang w:bidi="ar"/>
              </w:rPr>
            </w:pPr>
            <w:r>
              <w:rPr>
                <w:rFonts w:cs="Times New Roman"/>
                <w:szCs w:val="24"/>
                <w:lang w:bidi="ar"/>
              </w:rPr>
              <w:t>Adopted</w:t>
            </w:r>
          </w:p>
        </w:tc>
      </w:tr>
      <w:tr w14:paraId="6A4A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1350ED6">
            <w:pPr>
              <w:rPr>
                <w:rFonts w:cs="Times New Roman"/>
                <w:szCs w:val="24"/>
              </w:rPr>
            </w:pPr>
            <w:r>
              <w:rPr>
                <w:rFonts w:hint="eastAsia" w:cs="Times New Roman"/>
                <w:szCs w:val="24"/>
              </w:rPr>
              <w:t>9</w:t>
            </w:r>
          </w:p>
        </w:tc>
        <w:tc>
          <w:tcPr>
            <w:tcW w:w="750" w:type="dxa"/>
          </w:tcPr>
          <w:p w14:paraId="1B870D33">
            <w:pPr>
              <w:rPr>
                <w:rFonts w:cs="Times New Roman"/>
                <w:szCs w:val="24"/>
                <w:lang w:bidi="ar"/>
              </w:rPr>
            </w:pPr>
            <w:r>
              <w:rPr>
                <w:rFonts w:cs="Times New Roman"/>
                <w:szCs w:val="24"/>
              </w:rPr>
              <w:t>6.1.1</w:t>
            </w:r>
          </w:p>
        </w:tc>
        <w:tc>
          <w:tcPr>
            <w:tcW w:w="3495" w:type="dxa"/>
          </w:tcPr>
          <w:p w14:paraId="27120EE8">
            <w:pPr>
              <w:jc w:val="left"/>
              <w:rPr>
                <w:rFonts w:cs="Times New Roman"/>
                <w:szCs w:val="24"/>
                <w:lang w:bidi="ar"/>
              </w:rPr>
            </w:pPr>
            <w:r>
              <w:rPr>
                <w:rFonts w:cs="Times New Roman"/>
                <w:szCs w:val="24"/>
              </w:rPr>
              <w:t>For bedridden or severely functionally impaired patients who cannot perform the 6-minute walk test, selective assessment should be applied.</w:t>
            </w:r>
          </w:p>
        </w:tc>
        <w:tc>
          <w:tcPr>
            <w:tcW w:w="8080" w:type="dxa"/>
          </w:tcPr>
          <w:p w14:paraId="7AD2A8A7">
            <w:pPr>
              <w:jc w:val="left"/>
              <w:rPr>
                <w:rFonts w:cs="Times New Roman"/>
                <w:szCs w:val="24"/>
                <w:lang w:bidi="ar"/>
              </w:rPr>
            </w:pPr>
            <w:r>
              <w:rPr>
                <w:rFonts w:cs="Times New Roman"/>
                <w:szCs w:val="24"/>
                <w:lang w:bidi="ar"/>
              </w:rPr>
              <w:t>The 6-minute walk test is indeed not applicable to bedridden or severely functionally impaired patients. Adopting this suggestion helps reflect the principle of individualized assessment and avoids the issue of inapplicability caused by a one-size-fits-all approach. Accordingly, a note was added to the follow-up content: “selectively assessed based on the patient’s individual condition,” clarifying that assessment methods should be flexibly chosen according to the patient’s actual functional status.</w:t>
            </w:r>
          </w:p>
        </w:tc>
        <w:tc>
          <w:tcPr>
            <w:tcW w:w="1134" w:type="dxa"/>
          </w:tcPr>
          <w:p w14:paraId="7E9D0EB8">
            <w:pPr>
              <w:rPr>
                <w:rFonts w:cs="Times New Roman"/>
                <w:szCs w:val="24"/>
                <w:lang w:bidi="ar"/>
              </w:rPr>
            </w:pPr>
            <w:r>
              <w:rPr>
                <w:rFonts w:cs="Times New Roman"/>
                <w:szCs w:val="24"/>
                <w:lang w:bidi="ar"/>
              </w:rPr>
              <w:t>Adopted</w:t>
            </w:r>
          </w:p>
        </w:tc>
      </w:tr>
    </w:tbl>
    <w:p w14:paraId="49F6E921"/>
    <w:sectPr>
      <w:pgSz w:w="16838" w:h="11906" w:orient="landscape"/>
      <w:pgMar w:top="1797" w:right="1440" w:bottom="1797" w:left="1440"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C86B3">
    <w:pPr>
      <w:pStyle w:val="12"/>
      <w:jc w:val="center"/>
    </w:pPr>
  </w:p>
  <w:p w14:paraId="19A8510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8979230"/>
    </w:sdtPr>
    <w:sdtContent>
      <w:p w14:paraId="79B39B80">
        <w:pPr>
          <w:pStyle w:val="12"/>
          <w:jc w:val="center"/>
        </w:pPr>
        <w:r>
          <w:fldChar w:fldCharType="begin"/>
        </w:r>
        <w:r>
          <w:instrText xml:space="preserve">PAGE   \* MERGEFORMAT</w:instrText>
        </w:r>
        <w:r>
          <w:fldChar w:fldCharType="separate"/>
        </w:r>
        <w:r>
          <w:rPr>
            <w:lang w:val="zh-CN"/>
          </w:rPr>
          <w:t>2</w:t>
        </w:r>
        <w:r>
          <w:fldChar w:fldCharType="end"/>
        </w:r>
      </w:p>
    </w:sdtContent>
  </w:sdt>
  <w:p w14:paraId="7A61675F">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6639054"/>
    </w:sdtPr>
    <w:sdtEndPr>
      <w:rPr>
        <w:rFonts w:cs="Times New Roman"/>
        <w:sz w:val="24"/>
        <w:szCs w:val="24"/>
      </w:rPr>
    </w:sdtEndPr>
    <w:sdtContent>
      <w:p w14:paraId="5585BFBB">
        <w:pPr>
          <w:pStyle w:val="12"/>
          <w:jc w:val="center"/>
          <w:rPr>
            <w:rFonts w:cs="Times New Roman"/>
            <w:sz w:val="24"/>
            <w:szCs w:val="24"/>
          </w:rPr>
        </w:pPr>
        <w:r>
          <w:rPr>
            <w:rFonts w:cs="Times New Roman"/>
            <w:sz w:val="24"/>
            <w:szCs w:val="24"/>
          </w:rPr>
          <w:fldChar w:fldCharType="begin"/>
        </w:r>
        <w:r>
          <w:rPr>
            <w:rFonts w:cs="Times New Roman"/>
            <w:sz w:val="24"/>
            <w:szCs w:val="24"/>
          </w:rPr>
          <w:instrText xml:space="preserve">PAGE   \* MERGEFORMAT</w:instrText>
        </w:r>
        <w:r>
          <w:rPr>
            <w:rFonts w:cs="Times New Roman"/>
            <w:sz w:val="24"/>
            <w:szCs w:val="24"/>
          </w:rPr>
          <w:fldChar w:fldCharType="separate"/>
        </w:r>
        <w:r>
          <w:rPr>
            <w:rFonts w:cs="Times New Roman"/>
            <w:sz w:val="24"/>
            <w:szCs w:val="24"/>
            <w:lang w:val="zh-CN"/>
          </w:rPr>
          <w:t>2</w:t>
        </w:r>
        <w:r>
          <w:rPr>
            <w:rFonts w:cs="Times New Roman"/>
            <w:sz w:val="24"/>
            <w:szCs w:val="24"/>
          </w:rPr>
          <w:fldChar w:fldCharType="end"/>
        </w:r>
      </w:p>
    </w:sdtContent>
  </w:sdt>
  <w:p w14:paraId="07193D75">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67F3A"/>
    <w:multiLevelType w:val="multilevel"/>
    <w:tmpl w:val="4D767F3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ayo Clinic Proceeding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xsx9s06e2xemedses5dadyvd9zzszvep5d&quot;&gt;My EndNote Library&lt;record-ids&gt;&lt;item&gt;6791&lt;/item&gt;&lt;item&gt;7626&lt;/item&gt;&lt;item&gt;7919&lt;/item&gt;&lt;item&gt;8676&lt;/item&gt;&lt;item&gt;8925&lt;/item&gt;&lt;item&gt;9240&lt;/item&gt;&lt;item&gt;9520&lt;/item&gt;&lt;item&gt;10968&lt;/item&gt;&lt;item&gt;11065&lt;/item&gt;&lt;item&gt;11328&lt;/item&gt;&lt;item&gt;11988&lt;/item&gt;&lt;item&gt;11989&lt;/item&gt;&lt;item&gt;11996&lt;/item&gt;&lt;item&gt;11997&lt;/item&gt;&lt;/record-ids&gt;&lt;/item&gt;&lt;/Libraries&gt;"/>
  </w:docVars>
  <w:rsids>
    <w:rsidRoot w:val="001E3E4E"/>
    <w:rsid w:val="00027169"/>
    <w:rsid w:val="00061321"/>
    <w:rsid w:val="0008092A"/>
    <w:rsid w:val="00080F29"/>
    <w:rsid w:val="00084A4F"/>
    <w:rsid w:val="00095E5E"/>
    <w:rsid w:val="000C6D81"/>
    <w:rsid w:val="000D6450"/>
    <w:rsid w:val="000F2EAD"/>
    <w:rsid w:val="000F327F"/>
    <w:rsid w:val="000F5B28"/>
    <w:rsid w:val="000F78B4"/>
    <w:rsid w:val="00105068"/>
    <w:rsid w:val="00111715"/>
    <w:rsid w:val="0014561E"/>
    <w:rsid w:val="00146C9E"/>
    <w:rsid w:val="00165108"/>
    <w:rsid w:val="00182D19"/>
    <w:rsid w:val="001919C2"/>
    <w:rsid w:val="001938C8"/>
    <w:rsid w:val="00195E35"/>
    <w:rsid w:val="001B55F7"/>
    <w:rsid w:val="001C3C6A"/>
    <w:rsid w:val="001C3DDF"/>
    <w:rsid w:val="001D3907"/>
    <w:rsid w:val="001E3E4E"/>
    <w:rsid w:val="001E585D"/>
    <w:rsid w:val="002132A4"/>
    <w:rsid w:val="002203C7"/>
    <w:rsid w:val="00221D12"/>
    <w:rsid w:val="002413AE"/>
    <w:rsid w:val="00250EF4"/>
    <w:rsid w:val="00266FAE"/>
    <w:rsid w:val="00270BA0"/>
    <w:rsid w:val="00277210"/>
    <w:rsid w:val="0028294B"/>
    <w:rsid w:val="0029709C"/>
    <w:rsid w:val="002A525C"/>
    <w:rsid w:val="002A5F8E"/>
    <w:rsid w:val="002B13D0"/>
    <w:rsid w:val="002B5FD7"/>
    <w:rsid w:val="002B71AE"/>
    <w:rsid w:val="002B7D02"/>
    <w:rsid w:val="002C064C"/>
    <w:rsid w:val="002D7299"/>
    <w:rsid w:val="002D7847"/>
    <w:rsid w:val="002E339C"/>
    <w:rsid w:val="002E551D"/>
    <w:rsid w:val="002F1838"/>
    <w:rsid w:val="00304B94"/>
    <w:rsid w:val="003053FB"/>
    <w:rsid w:val="00307AC7"/>
    <w:rsid w:val="00310334"/>
    <w:rsid w:val="0031073A"/>
    <w:rsid w:val="003261A1"/>
    <w:rsid w:val="0034317B"/>
    <w:rsid w:val="00343782"/>
    <w:rsid w:val="003446F2"/>
    <w:rsid w:val="00357912"/>
    <w:rsid w:val="0037686C"/>
    <w:rsid w:val="003869FC"/>
    <w:rsid w:val="00394AF6"/>
    <w:rsid w:val="003A06C3"/>
    <w:rsid w:val="003A4E1C"/>
    <w:rsid w:val="003C0BC5"/>
    <w:rsid w:val="003E23F5"/>
    <w:rsid w:val="003E748C"/>
    <w:rsid w:val="003F1756"/>
    <w:rsid w:val="003F2863"/>
    <w:rsid w:val="00404763"/>
    <w:rsid w:val="004222F8"/>
    <w:rsid w:val="0042254E"/>
    <w:rsid w:val="004328AA"/>
    <w:rsid w:val="00442747"/>
    <w:rsid w:val="00452850"/>
    <w:rsid w:val="00455FFE"/>
    <w:rsid w:val="00464B8F"/>
    <w:rsid w:val="004658C4"/>
    <w:rsid w:val="004701CD"/>
    <w:rsid w:val="0047142A"/>
    <w:rsid w:val="00472B9B"/>
    <w:rsid w:val="00477FC8"/>
    <w:rsid w:val="004828F8"/>
    <w:rsid w:val="00493DEB"/>
    <w:rsid w:val="004953AC"/>
    <w:rsid w:val="004B3971"/>
    <w:rsid w:val="004B5BEA"/>
    <w:rsid w:val="004B60C8"/>
    <w:rsid w:val="004B7E49"/>
    <w:rsid w:val="004D1C7D"/>
    <w:rsid w:val="004D5982"/>
    <w:rsid w:val="004E032C"/>
    <w:rsid w:val="004E0453"/>
    <w:rsid w:val="004E0CF8"/>
    <w:rsid w:val="004E77A3"/>
    <w:rsid w:val="004E7BCE"/>
    <w:rsid w:val="004F0256"/>
    <w:rsid w:val="004F2E21"/>
    <w:rsid w:val="004F783D"/>
    <w:rsid w:val="00502166"/>
    <w:rsid w:val="00504880"/>
    <w:rsid w:val="00505380"/>
    <w:rsid w:val="00505FDA"/>
    <w:rsid w:val="005066F6"/>
    <w:rsid w:val="00513496"/>
    <w:rsid w:val="00514B6C"/>
    <w:rsid w:val="00522072"/>
    <w:rsid w:val="0052501B"/>
    <w:rsid w:val="00525275"/>
    <w:rsid w:val="00535122"/>
    <w:rsid w:val="005521A9"/>
    <w:rsid w:val="00585C30"/>
    <w:rsid w:val="005A00C8"/>
    <w:rsid w:val="005A2C61"/>
    <w:rsid w:val="005B635A"/>
    <w:rsid w:val="005C40E9"/>
    <w:rsid w:val="005C4ACC"/>
    <w:rsid w:val="005D7F87"/>
    <w:rsid w:val="00612829"/>
    <w:rsid w:val="00624A23"/>
    <w:rsid w:val="00624A9D"/>
    <w:rsid w:val="00626E23"/>
    <w:rsid w:val="00633590"/>
    <w:rsid w:val="006359E5"/>
    <w:rsid w:val="0063676D"/>
    <w:rsid w:val="006453E1"/>
    <w:rsid w:val="00654552"/>
    <w:rsid w:val="0067440B"/>
    <w:rsid w:val="00684153"/>
    <w:rsid w:val="0069039E"/>
    <w:rsid w:val="006B560B"/>
    <w:rsid w:val="006C0FF0"/>
    <w:rsid w:val="006D5F9B"/>
    <w:rsid w:val="006D64DF"/>
    <w:rsid w:val="006E0852"/>
    <w:rsid w:val="006E3133"/>
    <w:rsid w:val="006F4A1D"/>
    <w:rsid w:val="00702465"/>
    <w:rsid w:val="00712D16"/>
    <w:rsid w:val="00724D9A"/>
    <w:rsid w:val="00730B4E"/>
    <w:rsid w:val="00732157"/>
    <w:rsid w:val="0073662F"/>
    <w:rsid w:val="00752CC5"/>
    <w:rsid w:val="007553A1"/>
    <w:rsid w:val="0076396F"/>
    <w:rsid w:val="00777C1F"/>
    <w:rsid w:val="00792084"/>
    <w:rsid w:val="00793F68"/>
    <w:rsid w:val="007962C8"/>
    <w:rsid w:val="007A380F"/>
    <w:rsid w:val="007C7BEC"/>
    <w:rsid w:val="007C7E45"/>
    <w:rsid w:val="007E4FDE"/>
    <w:rsid w:val="007E7C4A"/>
    <w:rsid w:val="007F1D69"/>
    <w:rsid w:val="007F5605"/>
    <w:rsid w:val="00806249"/>
    <w:rsid w:val="00807B60"/>
    <w:rsid w:val="00826076"/>
    <w:rsid w:val="00826EA4"/>
    <w:rsid w:val="00826F16"/>
    <w:rsid w:val="00830821"/>
    <w:rsid w:val="00837C93"/>
    <w:rsid w:val="0084092F"/>
    <w:rsid w:val="0084721B"/>
    <w:rsid w:val="00857053"/>
    <w:rsid w:val="00863418"/>
    <w:rsid w:val="008706D2"/>
    <w:rsid w:val="008801EA"/>
    <w:rsid w:val="008A370F"/>
    <w:rsid w:val="008B3EAF"/>
    <w:rsid w:val="008C49D4"/>
    <w:rsid w:val="008D2360"/>
    <w:rsid w:val="008F18E4"/>
    <w:rsid w:val="009051BF"/>
    <w:rsid w:val="0091589C"/>
    <w:rsid w:val="009158DF"/>
    <w:rsid w:val="00924923"/>
    <w:rsid w:val="00931A8E"/>
    <w:rsid w:val="00933C64"/>
    <w:rsid w:val="00950D67"/>
    <w:rsid w:val="00955873"/>
    <w:rsid w:val="0098077A"/>
    <w:rsid w:val="00980CB7"/>
    <w:rsid w:val="00985FA1"/>
    <w:rsid w:val="009A2802"/>
    <w:rsid w:val="009A393E"/>
    <w:rsid w:val="009B4E6F"/>
    <w:rsid w:val="009D0FF0"/>
    <w:rsid w:val="009D522F"/>
    <w:rsid w:val="009D67AC"/>
    <w:rsid w:val="009F1288"/>
    <w:rsid w:val="009F3757"/>
    <w:rsid w:val="00A00B4D"/>
    <w:rsid w:val="00A11056"/>
    <w:rsid w:val="00A154B3"/>
    <w:rsid w:val="00A17649"/>
    <w:rsid w:val="00A277F0"/>
    <w:rsid w:val="00A31540"/>
    <w:rsid w:val="00A420E9"/>
    <w:rsid w:val="00A47482"/>
    <w:rsid w:val="00A577C0"/>
    <w:rsid w:val="00A62268"/>
    <w:rsid w:val="00A6387C"/>
    <w:rsid w:val="00A66A56"/>
    <w:rsid w:val="00A92CB4"/>
    <w:rsid w:val="00AC32B8"/>
    <w:rsid w:val="00AD4B0E"/>
    <w:rsid w:val="00AE2EC0"/>
    <w:rsid w:val="00AE7D0F"/>
    <w:rsid w:val="00B011A9"/>
    <w:rsid w:val="00B0319D"/>
    <w:rsid w:val="00B27935"/>
    <w:rsid w:val="00B343E7"/>
    <w:rsid w:val="00B37CE4"/>
    <w:rsid w:val="00B5247C"/>
    <w:rsid w:val="00B6747B"/>
    <w:rsid w:val="00B71B73"/>
    <w:rsid w:val="00BA1EC0"/>
    <w:rsid w:val="00BA3F0B"/>
    <w:rsid w:val="00BB564A"/>
    <w:rsid w:val="00C127C3"/>
    <w:rsid w:val="00C133C1"/>
    <w:rsid w:val="00C17E2C"/>
    <w:rsid w:val="00C41A2E"/>
    <w:rsid w:val="00C42A6F"/>
    <w:rsid w:val="00C451C9"/>
    <w:rsid w:val="00C53963"/>
    <w:rsid w:val="00C60BC3"/>
    <w:rsid w:val="00C829A5"/>
    <w:rsid w:val="00C878E6"/>
    <w:rsid w:val="00C975DE"/>
    <w:rsid w:val="00CA5478"/>
    <w:rsid w:val="00CB12B3"/>
    <w:rsid w:val="00CB6E41"/>
    <w:rsid w:val="00CB77ED"/>
    <w:rsid w:val="00CC0211"/>
    <w:rsid w:val="00CD32A6"/>
    <w:rsid w:val="00CD73CE"/>
    <w:rsid w:val="00CE61A0"/>
    <w:rsid w:val="00CE6475"/>
    <w:rsid w:val="00CF3B96"/>
    <w:rsid w:val="00D032DF"/>
    <w:rsid w:val="00D07859"/>
    <w:rsid w:val="00D11931"/>
    <w:rsid w:val="00D2106A"/>
    <w:rsid w:val="00D268C8"/>
    <w:rsid w:val="00D50544"/>
    <w:rsid w:val="00D61A97"/>
    <w:rsid w:val="00D65DBC"/>
    <w:rsid w:val="00D7660C"/>
    <w:rsid w:val="00D86361"/>
    <w:rsid w:val="00D93554"/>
    <w:rsid w:val="00DA7680"/>
    <w:rsid w:val="00DB156F"/>
    <w:rsid w:val="00DB556D"/>
    <w:rsid w:val="00DC38F9"/>
    <w:rsid w:val="00DC54C7"/>
    <w:rsid w:val="00DE7CD2"/>
    <w:rsid w:val="00DF226C"/>
    <w:rsid w:val="00DF28BD"/>
    <w:rsid w:val="00E0347E"/>
    <w:rsid w:val="00E0400E"/>
    <w:rsid w:val="00E11E32"/>
    <w:rsid w:val="00E352F1"/>
    <w:rsid w:val="00E56DB2"/>
    <w:rsid w:val="00E769EB"/>
    <w:rsid w:val="00E76AE7"/>
    <w:rsid w:val="00E84204"/>
    <w:rsid w:val="00E90F51"/>
    <w:rsid w:val="00E93D6C"/>
    <w:rsid w:val="00EA3BB8"/>
    <w:rsid w:val="00EA47CC"/>
    <w:rsid w:val="00EB07C5"/>
    <w:rsid w:val="00EB0E98"/>
    <w:rsid w:val="00EB4FFC"/>
    <w:rsid w:val="00EC0202"/>
    <w:rsid w:val="00EC7869"/>
    <w:rsid w:val="00EE78FC"/>
    <w:rsid w:val="00EF47E2"/>
    <w:rsid w:val="00F16578"/>
    <w:rsid w:val="00F34073"/>
    <w:rsid w:val="00F43B32"/>
    <w:rsid w:val="00F51072"/>
    <w:rsid w:val="00F52EDC"/>
    <w:rsid w:val="00F874F0"/>
    <w:rsid w:val="00FB4B9D"/>
    <w:rsid w:val="00FC456C"/>
    <w:rsid w:val="00FC70E6"/>
    <w:rsid w:val="00FE03B3"/>
    <w:rsid w:val="00FF229A"/>
    <w:rsid w:val="00FF5617"/>
    <w:rsid w:val="031A14D9"/>
    <w:rsid w:val="048A25DF"/>
    <w:rsid w:val="07767674"/>
    <w:rsid w:val="140D4639"/>
    <w:rsid w:val="15B32BA9"/>
    <w:rsid w:val="16590E13"/>
    <w:rsid w:val="194B4807"/>
    <w:rsid w:val="2020147D"/>
    <w:rsid w:val="2272638E"/>
    <w:rsid w:val="23B976C5"/>
    <w:rsid w:val="25891872"/>
    <w:rsid w:val="28C978B9"/>
    <w:rsid w:val="2C937E06"/>
    <w:rsid w:val="31E04EAA"/>
    <w:rsid w:val="32E01AE0"/>
    <w:rsid w:val="350D711A"/>
    <w:rsid w:val="3CD11D42"/>
    <w:rsid w:val="41397742"/>
    <w:rsid w:val="463C0171"/>
    <w:rsid w:val="483C2488"/>
    <w:rsid w:val="4BEF455A"/>
    <w:rsid w:val="4FBD1F95"/>
    <w:rsid w:val="5D470907"/>
    <w:rsid w:val="615C33BC"/>
    <w:rsid w:val="61FC3BE3"/>
    <w:rsid w:val="6AB91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4"/>
    <w:qFormat/>
    <w:uiPriority w:val="9"/>
    <w:pPr>
      <w:keepNext/>
      <w:keepLines/>
      <w:spacing w:before="50" w:beforeLines="50" w:after="50" w:afterLines="50"/>
      <w:outlineLvl w:val="0"/>
    </w:pPr>
    <w:rPr>
      <w:rFonts w:eastAsia="Times New Roman" w:asciiTheme="majorHAnsi" w:hAnsiTheme="majorHAnsi" w:cstheme="majorBidi"/>
      <w:sz w:val="32"/>
      <w:szCs w:val="48"/>
    </w:rPr>
  </w:style>
  <w:style w:type="paragraph" w:styleId="3">
    <w:name w:val="heading 2"/>
    <w:basedOn w:val="1"/>
    <w:next w:val="1"/>
    <w:link w:val="23"/>
    <w:unhideWhenUsed/>
    <w:qFormat/>
    <w:uiPriority w:val="9"/>
    <w:pPr>
      <w:keepNext/>
      <w:keepLines/>
      <w:spacing w:before="50" w:beforeLines="50" w:after="50" w:afterLines="50"/>
      <w:jc w:val="center"/>
      <w:outlineLvl w:val="1"/>
    </w:pPr>
    <w:rPr>
      <w:rFonts w:cs="Times New Roman"/>
      <w:b/>
      <w:sz w:val="32"/>
      <w:szCs w:val="24"/>
    </w:rPr>
  </w:style>
  <w:style w:type="paragraph" w:styleId="4">
    <w:name w:val="heading 3"/>
    <w:basedOn w:val="1"/>
    <w:next w:val="1"/>
    <w:link w:val="25"/>
    <w:semiHidden/>
    <w:unhideWhenUsed/>
    <w:qFormat/>
    <w:uiPriority w:val="9"/>
    <w:pPr>
      <w:keepNext/>
      <w:keepLines/>
      <w:outlineLvl w:val="2"/>
    </w:pPr>
    <w:rPr>
      <w:rFonts w:cs="Times New Roman"/>
      <w:szCs w:val="24"/>
    </w:rPr>
  </w:style>
  <w:style w:type="paragraph" w:styleId="5">
    <w:name w:val="heading 4"/>
    <w:basedOn w:val="1"/>
    <w:next w:val="1"/>
    <w:link w:val="26"/>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Cs w:val="24"/>
    </w:rPr>
  </w:style>
  <w:style w:type="paragraph" w:styleId="7">
    <w:name w:val="heading 6"/>
    <w:basedOn w:val="1"/>
    <w:next w:val="1"/>
    <w:link w:val="28"/>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pPr>
      <w:adjustRightInd/>
      <w:snapToGrid/>
      <w:spacing w:line="240" w:lineRule="auto"/>
    </w:pPr>
    <w:rPr>
      <w:rFonts w:eastAsia="黑体" w:asciiTheme="majorHAnsi" w:hAnsiTheme="majorHAnsi" w:cstheme="majorBidi"/>
      <w:sz w:val="20"/>
      <w:szCs w:val="20"/>
    </w:rPr>
  </w:style>
  <w:style w:type="paragraph" w:styleId="12">
    <w:name w:val="footer"/>
    <w:basedOn w:val="1"/>
    <w:link w:val="42"/>
    <w:unhideWhenUsed/>
    <w:qFormat/>
    <w:uiPriority w:val="99"/>
    <w:pPr>
      <w:tabs>
        <w:tab w:val="center" w:pos="4153"/>
        <w:tab w:val="right" w:pos="8306"/>
      </w:tabs>
      <w:spacing w:line="240" w:lineRule="auto"/>
      <w:jc w:val="left"/>
    </w:pPr>
    <w:rPr>
      <w:sz w:val="18"/>
      <w:szCs w:val="18"/>
    </w:rPr>
  </w:style>
  <w:style w:type="paragraph" w:styleId="13">
    <w:name w:val="header"/>
    <w:basedOn w:val="1"/>
    <w:link w:val="41"/>
    <w:unhideWhenUsed/>
    <w:qFormat/>
    <w:uiPriority w:val="99"/>
    <w:pPr>
      <w:tabs>
        <w:tab w:val="center" w:pos="4153"/>
        <w:tab w:val="right" w:pos="8306"/>
      </w:tabs>
      <w:spacing w:line="240" w:lineRule="auto"/>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oc 2"/>
    <w:basedOn w:val="1"/>
    <w:next w:val="1"/>
    <w:autoRedefine/>
    <w:unhideWhenUsed/>
    <w:qFormat/>
    <w:uiPriority w:val="39"/>
    <w:pPr>
      <w:ind w:left="420" w:leftChars="200"/>
    </w:pPr>
  </w:style>
  <w:style w:type="paragraph" w:styleId="16">
    <w:name w:val="Normal (Web)"/>
    <w:basedOn w:val="1"/>
    <w:semiHidden/>
    <w:unhideWhenUsed/>
    <w:qFormat/>
    <w:uiPriority w:val="99"/>
    <w:pPr>
      <w:widowControl/>
      <w:adjustRightInd/>
      <w:snapToGrid/>
      <w:spacing w:before="100" w:beforeAutospacing="1" w:after="100" w:afterAutospacing="1" w:line="240" w:lineRule="auto"/>
      <w:jc w:val="left"/>
    </w:pPr>
    <w:rPr>
      <w:rFonts w:ascii="宋体" w:hAnsi="宋体" w:cs="宋体"/>
      <w:kern w:val="0"/>
      <w:szCs w:val="24"/>
    </w:r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96607D"/>
      <w:u w:val="single"/>
    </w:rPr>
  </w:style>
  <w:style w:type="character" w:styleId="22">
    <w:name w:val="Hyperlink"/>
    <w:basedOn w:val="20"/>
    <w:unhideWhenUsed/>
    <w:qFormat/>
    <w:uiPriority w:val="99"/>
    <w:rPr>
      <w:color w:val="467886"/>
      <w:u w:val="single"/>
    </w:rPr>
  </w:style>
  <w:style w:type="character" w:customStyle="1" w:styleId="23">
    <w:name w:val="标题 2 字符"/>
    <w:basedOn w:val="20"/>
    <w:link w:val="3"/>
    <w:qFormat/>
    <w:uiPriority w:val="9"/>
    <w:rPr>
      <w:b/>
      <w:kern w:val="2"/>
      <w:sz w:val="32"/>
      <w:szCs w:val="24"/>
    </w:rPr>
  </w:style>
  <w:style w:type="character" w:customStyle="1" w:styleId="24">
    <w:name w:val="标题 1 字符"/>
    <w:basedOn w:val="20"/>
    <w:link w:val="2"/>
    <w:qFormat/>
    <w:uiPriority w:val="9"/>
    <w:rPr>
      <w:rFonts w:eastAsia="Times New Roman" w:asciiTheme="majorHAnsi" w:hAnsiTheme="majorHAnsi" w:cstheme="majorBidi"/>
      <w:kern w:val="2"/>
      <w:sz w:val="32"/>
      <w:szCs w:val="48"/>
    </w:rPr>
  </w:style>
  <w:style w:type="character" w:customStyle="1" w:styleId="25">
    <w:name w:val="标题 3 字符"/>
    <w:basedOn w:val="20"/>
    <w:link w:val="4"/>
    <w:semiHidden/>
    <w:qFormat/>
    <w:uiPriority w:val="9"/>
    <w:rPr>
      <w:rFonts w:ascii="Times New Roman" w:hAnsi="Times New Roman" w:eastAsia="Times New Roman" w:cs="Times New Roman"/>
      <w:sz w:val="24"/>
      <w:szCs w:val="24"/>
    </w:rPr>
  </w:style>
  <w:style w:type="character" w:customStyle="1" w:styleId="26">
    <w:name w:val="标题 4 字符"/>
    <w:basedOn w:val="20"/>
    <w:link w:val="5"/>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szCs w:val="24"/>
    </w:rPr>
  </w:style>
  <w:style w:type="character" w:customStyle="1" w:styleId="28">
    <w:name w:val="标题 6 字符"/>
    <w:basedOn w:val="20"/>
    <w:link w:val="7"/>
    <w:semiHidden/>
    <w:qFormat/>
    <w:uiPriority w:val="9"/>
    <w:rPr>
      <w:rFonts w:cstheme="majorBidi"/>
      <w:b/>
      <w:bCs/>
      <w:color w:val="104862" w:themeColor="accent1" w:themeShade="BF"/>
      <w:sz w:val="24"/>
    </w:rPr>
  </w:style>
  <w:style w:type="character" w:customStyle="1" w:styleId="29">
    <w:name w:val="标题 7 字符"/>
    <w:basedOn w:val="20"/>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rFonts w:ascii="Times New Roman" w:hAnsi="Times New Roman" w:eastAsia="宋体"/>
      <w:i/>
      <w:iCs/>
      <w:color w:val="404040" w:themeColor="text1" w:themeTint="BF"/>
      <w:sz w:val="24"/>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rFonts w:ascii="Times New Roman" w:hAnsi="Times New Roman" w:eastAsia="宋体"/>
      <w:i/>
      <w:iCs/>
      <w:color w:val="104862" w:themeColor="accent1" w:themeShade="BF"/>
      <w:sz w:val="24"/>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3"/>
    <w:qFormat/>
    <w:uiPriority w:val="99"/>
    <w:rPr>
      <w:rFonts w:ascii="Times New Roman" w:hAnsi="Times New Roman" w:eastAsia="宋体"/>
      <w:sz w:val="18"/>
      <w:szCs w:val="18"/>
    </w:rPr>
  </w:style>
  <w:style w:type="character" w:customStyle="1" w:styleId="42">
    <w:name w:val="页脚 字符"/>
    <w:basedOn w:val="20"/>
    <w:link w:val="12"/>
    <w:qFormat/>
    <w:uiPriority w:val="99"/>
    <w:rPr>
      <w:rFonts w:ascii="Times New Roman" w:hAnsi="Times New Roman" w:eastAsia="宋体"/>
      <w:sz w:val="18"/>
      <w:szCs w:val="18"/>
    </w:rPr>
  </w:style>
  <w:style w:type="paragraph" w:customStyle="1" w:styleId="43">
    <w:name w:val="EndNote Bibliography Title"/>
    <w:basedOn w:val="1"/>
    <w:link w:val="44"/>
    <w:qFormat/>
    <w:uiPriority w:val="0"/>
    <w:pPr>
      <w:jc w:val="center"/>
    </w:pPr>
    <w:rPr>
      <w:rFonts w:cs="Times New Roman"/>
    </w:rPr>
  </w:style>
  <w:style w:type="character" w:customStyle="1" w:styleId="44">
    <w:name w:val="EndNote Bibliography Title 字符"/>
    <w:basedOn w:val="20"/>
    <w:link w:val="43"/>
    <w:qFormat/>
    <w:uiPriority w:val="0"/>
    <w:rPr>
      <w:rFonts w:ascii="Times New Roman" w:hAnsi="Times New Roman" w:eastAsia="宋体" w:cs="Times New Roman"/>
      <w:sz w:val="24"/>
    </w:rPr>
  </w:style>
  <w:style w:type="paragraph" w:customStyle="1" w:styleId="45">
    <w:name w:val="EndNote Bibliography"/>
    <w:basedOn w:val="1"/>
    <w:link w:val="46"/>
    <w:qFormat/>
    <w:uiPriority w:val="0"/>
    <w:pPr>
      <w:spacing w:line="240" w:lineRule="auto"/>
    </w:pPr>
    <w:rPr>
      <w:rFonts w:cs="Times New Roman"/>
    </w:rPr>
  </w:style>
  <w:style w:type="character" w:customStyle="1" w:styleId="46">
    <w:name w:val="EndNote Bibliography 字符"/>
    <w:basedOn w:val="20"/>
    <w:link w:val="45"/>
    <w:qFormat/>
    <w:uiPriority w:val="0"/>
    <w:rPr>
      <w:rFonts w:ascii="Times New Roman" w:hAnsi="Times New Roman" w:eastAsia="宋体" w:cs="Times New Roman"/>
      <w:sz w:val="24"/>
    </w:rPr>
  </w:style>
  <w:style w:type="character" w:customStyle="1" w:styleId="47">
    <w:name w:val="明显强调11"/>
    <w:basedOn w:val="20"/>
    <w:qFormat/>
    <w:uiPriority w:val="21"/>
    <w:rPr>
      <w:i/>
      <w:iCs/>
      <w:color w:val="104862" w:themeColor="accent1" w:themeShade="BF"/>
    </w:rPr>
  </w:style>
  <w:style w:type="character" w:customStyle="1" w:styleId="48">
    <w:name w:val="明显参考11"/>
    <w:basedOn w:val="20"/>
    <w:qFormat/>
    <w:uiPriority w:val="32"/>
    <w:rPr>
      <w:b/>
      <w:bCs/>
      <w:smallCaps/>
      <w:color w:val="104862" w:themeColor="accent1" w:themeShade="BF"/>
      <w:spacing w:val="5"/>
    </w:rPr>
  </w:style>
  <w:style w:type="character" w:customStyle="1" w:styleId="49">
    <w:name w:val="msointenseemphasis"/>
    <w:basedOn w:val="20"/>
    <w:qFormat/>
    <w:uiPriority w:val="0"/>
    <w:rPr>
      <w:i/>
      <w:iCs/>
      <w:color w:val="0F4761"/>
    </w:rPr>
  </w:style>
  <w:style w:type="character" w:customStyle="1" w:styleId="50">
    <w:name w:val="msointensereference"/>
    <w:basedOn w:val="20"/>
    <w:qFormat/>
    <w:uiPriority w:val="0"/>
    <w:rPr>
      <w:b/>
      <w:bCs/>
      <w:smallCaps/>
      <w:color w:val="0F4761"/>
      <w:spacing w:val="5"/>
    </w:rPr>
  </w:style>
  <w:style w:type="character" w:customStyle="1" w:styleId="51">
    <w:name w:val="EndNote Bibliography Title 字符1"/>
    <w:basedOn w:val="20"/>
    <w:qFormat/>
    <w:uiPriority w:val="0"/>
    <w:rPr>
      <w:rFonts w:ascii="等线" w:hAnsi="等线" w:eastAsia="等线" w:cstheme="minorBidi"/>
      <w:kern w:val="2"/>
      <w:szCs w:val="22"/>
    </w:rPr>
  </w:style>
  <w:style w:type="character" w:customStyle="1" w:styleId="52">
    <w:name w:val="EndNote Bibliography 字符1"/>
    <w:basedOn w:val="20"/>
    <w:qFormat/>
    <w:uiPriority w:val="0"/>
    <w:rPr>
      <w:rFonts w:ascii="等线" w:hAnsi="等线" w:eastAsia="等线" w:cstheme="minorBidi"/>
      <w:kern w:val="2"/>
      <w:szCs w:val="22"/>
    </w:rPr>
  </w:style>
  <w:style w:type="character" w:customStyle="1" w:styleId="53">
    <w:name w:val="未处理的提及1"/>
    <w:basedOn w:val="20"/>
    <w:semiHidden/>
    <w:unhideWhenUsed/>
    <w:qFormat/>
    <w:uiPriority w:val="99"/>
    <w:rPr>
      <w:color w:val="605E5C"/>
      <w:shd w:val="clear" w:color="auto" w:fill="E1DFDD"/>
    </w:rPr>
  </w:style>
  <w:style w:type="paragraph" w:customStyle="1" w:styleId="54">
    <w:name w:val="[Normal]"/>
    <w:unhideWhenUsed/>
    <w:qFormat/>
    <w:uiPriority w:val="99"/>
    <w:pPr>
      <w:widowControl w:val="0"/>
      <w:autoSpaceDE w:val="0"/>
      <w:autoSpaceDN w:val="0"/>
      <w:adjustRightInd w:val="0"/>
    </w:pPr>
    <w:rPr>
      <w:rFonts w:hint="eastAsia" w:ascii="宋体" w:hAnsi="宋体" w:eastAsia="宋体" w:cs="等线"/>
      <w:sz w:val="24"/>
      <w:szCs w:val="24"/>
      <w:lang w:val="en-US" w:eastAsia="zh-CN" w:bidi="ar-SA"/>
    </w:rPr>
  </w:style>
  <w:style w:type="paragraph" w:customStyle="1" w:styleId="55">
    <w:name w:val="TOC 标题1"/>
    <w:basedOn w:val="2"/>
    <w:next w:val="1"/>
    <w:unhideWhenUsed/>
    <w:qFormat/>
    <w:uiPriority w:val="39"/>
    <w:pPr>
      <w:widowControl/>
      <w:adjustRightInd/>
      <w:snapToGrid/>
      <w:spacing w:before="240" w:beforeLines="0" w:after="0" w:afterLines="0" w:line="259" w:lineRule="auto"/>
      <w:jc w:val="left"/>
      <w:outlineLvl w:val="9"/>
    </w:pPr>
    <w:rPr>
      <w:rFonts w:eastAsiaTheme="majorEastAsia"/>
      <w:color w:val="104862"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B63B0E-EFC9-423D-ABA2-5CD2E17353D0}">
  <ds:schemaRefs/>
</ds:datastoreItem>
</file>

<file path=docProps/app.xml><?xml version="1.0" encoding="utf-8"?>
<Properties xmlns="http://schemas.openxmlformats.org/officeDocument/2006/extended-properties" xmlns:vt="http://schemas.openxmlformats.org/officeDocument/2006/docPropsVTypes">
  <Template>Normal</Template>
  <Pages>33</Pages>
  <Words>665</Words>
  <Characters>4485</Characters>
  <Lines>330</Lines>
  <Paragraphs>92</Paragraphs>
  <TotalTime>0</TotalTime>
  <ScaleCrop>false</ScaleCrop>
  <LinksUpToDate>false</LinksUpToDate>
  <CharactersWithSpaces>5126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2026-03-16T14:05:00Z</dcterms:created>
  <dc:creator>L 李文瑞</dc:creator>
  <cp:lastModifiedBy>李文瑞</cp:lastModifiedBy>
  <cp:lastPrinted>2026-03-30T10:15:00Z</cp:lastPrinted>
  <dcterms:modified xsi:type="dcterms:W3CDTF">2026-07-13T07:19:44Z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eyJoZGlkIjoiYjA3NTk5N2Y4ODYwOTRmMjNmZGQ5N2VjMzAyZWQyYzYiLCJ1c2VySWQiOiIxNTg0NDU1ODg3In0=</vt:lpwstr>
  </property>
  <property fmtid="{D5CDD505-2E9C-101B-9397-08002B2CF9AE}" pid="3" name="KSOProductBuildVer">
    <vt:lpwstr>2052-12.1.0.26895</vt:lpwstr>
  </property>
  <property fmtid="{D5CDD505-2E9C-101B-9397-08002B2CF9AE}" pid="4" name="ICV">
    <vt:lpwstr>C0B6C711267A4863B1F2E0EFBE3FBCA7_12</vt:lpwstr>
  </property>
</Properties>
</file>