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470D8">
      <w:pPr>
        <w:spacing w:before="1800" w:after="240"/>
        <w:jc w:val="center"/>
      </w:pPr>
      <w:r>
        <w:rPr>
          <w:rFonts w:ascii="Times New Roman" w:hAnsi="Times New Roman" w:eastAsia="Times New Roman" w:cs="Times New Roman"/>
          <w:b/>
          <w:bCs/>
          <w:color w:val="1F4E79"/>
          <w:sz w:val="40"/>
          <w:szCs w:val="40"/>
        </w:rPr>
        <w:t>Supplementary Material</w:t>
      </w:r>
    </w:p>
    <w:p w14:paraId="4BB5DD57">
      <w:pPr>
        <w:keepNext w:val="0"/>
        <w:keepLines w:val="0"/>
        <w:pageBreakBefore w:val="0"/>
        <w:widowControl/>
        <w:kinsoku/>
        <w:wordWrap/>
        <w:overflowPunct/>
        <w:topLinePunct w:val="0"/>
        <w:autoSpaceDE/>
        <w:autoSpaceDN/>
        <w:bidi w:val="0"/>
        <w:adjustRightInd/>
        <w:snapToGrid/>
        <w:spacing w:after="60" w:line="480" w:lineRule="auto"/>
        <w:jc w:val="center"/>
        <w:textAlignment w:val="auto"/>
        <w:rPr>
          <w:rFonts w:ascii="Times New Roman" w:hAnsi="Times New Roman" w:eastAsia="Times New Roman" w:cs="Times New Roman"/>
          <w:b/>
          <w:bCs/>
          <w:color w:val="000000" w:themeColor="text1"/>
          <w:sz w:val="40"/>
          <w:szCs w:val="40"/>
          <w14:textFill>
            <w14:solidFill>
              <w14:schemeClr w14:val="tx1"/>
            </w14:solidFill>
          </w14:textFill>
        </w:rPr>
      </w:pPr>
      <w:bookmarkStart w:id="0" w:name="_Hlk231389901"/>
      <w:r>
        <w:rPr>
          <w:rFonts w:ascii="Times New Roman" w:hAnsi="Times New Roman" w:eastAsia="Times New Roman" w:cs="Times New Roman"/>
          <w:b/>
          <w:bCs/>
          <w:color w:val="000000" w:themeColor="text1"/>
          <w:sz w:val="40"/>
          <w:szCs w:val="40"/>
          <w14:textFill>
            <w14:solidFill>
              <w14:schemeClr w14:val="tx1"/>
            </w14:solidFill>
          </w14:textFill>
        </w:rPr>
        <w:t>Clinical and genetic spectrum of pediatric primary immunodeficiency diseases at King Fahad Medical City in Saudi Arabia: a tertiary care centre-based study</w:t>
      </w:r>
    </w:p>
    <w:bookmarkEnd w:id="0"/>
    <w:p w14:paraId="6D95C6BE">
      <w:pPr>
        <w:spacing w:after="240"/>
        <w:jc w:val="center"/>
        <w:rPr>
          <w:rFonts w:hint="default"/>
          <w:sz w:val="32"/>
          <w:szCs w:val="32"/>
          <w:lang w:val="en-US"/>
        </w:rPr>
      </w:pPr>
      <w:r>
        <w:rPr>
          <w:rFonts w:ascii="Times New Roman" w:hAnsi="Times New Roman" w:eastAsia="Times New Roman" w:cs="Times New Roman"/>
          <w:sz w:val="32"/>
          <w:szCs w:val="32"/>
        </w:rPr>
        <w:t>Lubna Alhamad</w:t>
      </w:r>
      <w:r>
        <w:rPr>
          <w:rFonts w:hint="default" w:cs="Times New Roman"/>
          <w:sz w:val="32"/>
          <w:szCs w:val="32"/>
          <w:lang w:val="en-US"/>
        </w:rPr>
        <w:t xml:space="preserve"> et al. 2026</w:t>
      </w:r>
    </w:p>
    <w:p w14:paraId="4735D563">
      <w:pPr>
        <w:pageBreakBefore/>
      </w:pPr>
    </w:p>
    <w:p w14:paraId="74D5A7AC">
      <w:pPr>
        <w:spacing w:before="320" w:after="120"/>
      </w:pPr>
      <w:r>
        <w:rPr>
          <w:rFonts w:ascii="Times New Roman" w:hAnsi="Times New Roman" w:eastAsia="Times New Roman" w:cs="Times New Roman"/>
          <w:b/>
          <w:bCs/>
          <w:color w:val="1F4E79"/>
          <w:sz w:val="28"/>
          <w:szCs w:val="28"/>
        </w:rPr>
        <w:t>Contents</w:t>
      </w:r>
    </w:p>
    <w:p w14:paraId="7077A9A4">
      <w:pPr>
        <w:spacing w:after="100" w:line="340" w:lineRule="auto"/>
        <w:jc w:val="both"/>
      </w:pPr>
      <w:r>
        <w:rPr>
          <w:rFonts w:ascii="Times New Roman" w:hAnsi="Times New Roman" w:eastAsia="Times New Roman" w:cs="Times New Roman"/>
          <w:b/>
          <w:bCs/>
          <w:sz w:val="24"/>
          <w:szCs w:val="24"/>
        </w:rPr>
        <w:t>Supplementary Figures</w:t>
      </w:r>
    </w:p>
    <w:p w14:paraId="4DF8E4FC">
      <w:pPr>
        <w:spacing w:after="60" w:line="340" w:lineRule="auto"/>
        <w:jc w:val="both"/>
      </w:pPr>
      <w:r>
        <w:rPr>
          <w:rFonts w:ascii="Times New Roman" w:hAnsi="Times New Roman" w:eastAsia="Times New Roman" w:cs="Times New Roman"/>
          <w:b w:val="0"/>
          <w:bCs w:val="0"/>
          <w:sz w:val="24"/>
          <w:szCs w:val="24"/>
        </w:rPr>
        <w:t>Figure S1. Top 15 most frequently identified gene defects</w:t>
      </w:r>
    </w:p>
    <w:p w14:paraId="19EC0964">
      <w:pPr>
        <w:spacing w:after="60" w:line="340" w:lineRule="auto"/>
        <w:jc w:val="both"/>
      </w:pPr>
      <w:r>
        <w:rPr>
          <w:rFonts w:ascii="Times New Roman" w:hAnsi="Times New Roman" w:eastAsia="Times New Roman" w:cs="Times New Roman"/>
          <w:b w:val="0"/>
          <w:bCs w:val="0"/>
          <w:sz w:val="24"/>
          <w:szCs w:val="24"/>
        </w:rPr>
        <w:t>Figure S2. Overall prevalence of clinical manifestations</w:t>
      </w:r>
    </w:p>
    <w:p w14:paraId="394306A5">
      <w:pPr>
        <w:spacing w:after="60" w:line="340" w:lineRule="auto"/>
        <w:jc w:val="both"/>
      </w:pPr>
      <w:r>
        <w:rPr>
          <w:rFonts w:ascii="Times New Roman" w:hAnsi="Times New Roman" w:eastAsia="Times New Roman" w:cs="Times New Roman"/>
          <w:b w:val="0"/>
          <w:bCs w:val="0"/>
          <w:sz w:val="24"/>
          <w:szCs w:val="24"/>
        </w:rPr>
        <w:t>Figure S3. Diagnostic delay, distribution and by classification</w:t>
      </w:r>
    </w:p>
    <w:p w14:paraId="76CBF862">
      <w:pPr>
        <w:spacing w:after="60" w:line="340" w:lineRule="auto"/>
        <w:jc w:val="both"/>
      </w:pPr>
      <w:r>
        <w:rPr>
          <w:rFonts w:ascii="Times New Roman" w:hAnsi="Times New Roman" w:eastAsia="Times New Roman" w:cs="Times New Roman"/>
          <w:b w:val="0"/>
          <w:bCs w:val="0"/>
          <w:sz w:val="24"/>
          <w:szCs w:val="24"/>
        </w:rPr>
        <w:t>Figure S4. Co-occurrence matrix of clinical manifestations</w:t>
      </w:r>
    </w:p>
    <w:p w14:paraId="0FAC9BCD">
      <w:pPr>
        <w:spacing w:after="60" w:line="340" w:lineRule="auto"/>
        <w:jc w:val="both"/>
      </w:pPr>
      <w:r>
        <w:rPr>
          <w:rFonts w:ascii="Times New Roman" w:hAnsi="Times New Roman" w:eastAsia="Times New Roman" w:cs="Times New Roman"/>
          <w:b w:val="0"/>
          <w:bCs w:val="0"/>
          <w:sz w:val="24"/>
          <w:szCs w:val="24"/>
        </w:rPr>
        <w:t>Figure S5. Age at symptom onset versus age at diagnosis</w:t>
      </w:r>
    </w:p>
    <w:p w14:paraId="162D9FFE">
      <w:pPr>
        <w:spacing w:after="60" w:line="340" w:lineRule="auto"/>
        <w:jc w:val="both"/>
      </w:pPr>
      <w:r>
        <w:rPr>
          <w:rFonts w:ascii="Times New Roman" w:hAnsi="Times New Roman" w:eastAsia="Times New Roman" w:cs="Times New Roman"/>
          <w:b w:val="0"/>
          <w:bCs w:val="0"/>
          <w:sz w:val="24"/>
          <w:szCs w:val="24"/>
        </w:rPr>
        <w:t>Figure S6. Treatment patterns by PID classification</w:t>
      </w:r>
    </w:p>
    <w:p w14:paraId="705B47FD">
      <w:pPr>
        <w:spacing w:after="60" w:line="340" w:lineRule="auto"/>
        <w:jc w:val="both"/>
      </w:pPr>
      <w:r>
        <w:rPr>
          <w:rFonts w:ascii="Times New Roman" w:hAnsi="Times New Roman" w:eastAsia="Times New Roman" w:cs="Times New Roman"/>
          <w:b w:val="0"/>
          <w:bCs w:val="0"/>
          <w:sz w:val="24"/>
          <w:szCs w:val="24"/>
        </w:rPr>
        <w:t>Figure S7. Patient outcomes by PID classification</w:t>
      </w:r>
    </w:p>
    <w:p w14:paraId="5AE57CC4">
      <w:pPr>
        <w:spacing w:after="60" w:line="340" w:lineRule="auto"/>
        <w:jc w:val="both"/>
      </w:pPr>
      <w:r>
        <w:rPr>
          <w:rFonts w:ascii="Times New Roman" w:hAnsi="Times New Roman" w:eastAsia="Times New Roman" w:cs="Times New Roman"/>
          <w:b w:val="0"/>
          <w:bCs w:val="0"/>
          <w:sz w:val="24"/>
          <w:szCs w:val="24"/>
        </w:rPr>
        <w:t>Figure S8. Mortality by PID classification</w:t>
      </w:r>
    </w:p>
    <w:p w14:paraId="179E2CEF">
      <w:pPr>
        <w:spacing w:after="240" w:line="340" w:lineRule="auto"/>
        <w:jc w:val="both"/>
      </w:pPr>
      <w:r>
        <w:rPr>
          <w:rFonts w:ascii="Times New Roman" w:hAnsi="Times New Roman" w:eastAsia="Times New Roman" w:cs="Times New Roman"/>
          <w:b w:val="0"/>
          <w:bCs w:val="0"/>
          <w:sz w:val="24"/>
          <w:szCs w:val="24"/>
        </w:rPr>
        <w:t>Figure S9. Clinical pathway from classification through HSCT to outcome</w:t>
      </w:r>
    </w:p>
    <w:p w14:paraId="6CBD7CF4">
      <w:pPr>
        <w:spacing w:after="100" w:line="340" w:lineRule="auto"/>
        <w:jc w:val="both"/>
      </w:pPr>
      <w:r>
        <w:rPr>
          <w:rFonts w:ascii="Times New Roman" w:hAnsi="Times New Roman" w:eastAsia="Times New Roman" w:cs="Times New Roman"/>
          <w:b/>
          <w:bCs/>
          <w:sz w:val="24"/>
          <w:szCs w:val="24"/>
        </w:rPr>
        <w:t>Supplementary Tables</w:t>
      </w:r>
    </w:p>
    <w:p w14:paraId="1BF7A23F">
      <w:pPr>
        <w:spacing w:after="60" w:line="340" w:lineRule="auto"/>
        <w:jc w:val="both"/>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rPr>
        <w:t>Table S1. Full spectrum of specific PID diagnoses grouped by IUIS classification.</w:t>
      </w:r>
    </w:p>
    <w:p w14:paraId="4944A568">
      <w:pPr>
        <w:spacing w:after="60" w:line="340" w:lineRule="auto"/>
        <w:jc w:val="both"/>
      </w:pPr>
      <w:r>
        <w:rPr>
          <w:rFonts w:ascii="Times New Roman" w:hAnsi="Times New Roman" w:eastAsia="Times New Roman" w:cs="Times New Roman"/>
          <w:b w:val="0"/>
          <w:bCs w:val="0"/>
          <w:sz w:val="24"/>
          <w:szCs w:val="24"/>
        </w:rPr>
        <w:t>Table S2.Detailed prevalence of clinical manifestations</w:t>
      </w:r>
    </w:p>
    <w:p w14:paraId="4E685528">
      <w:pPr>
        <w:spacing w:after="60" w:line="340" w:lineRule="auto"/>
        <w:jc w:val="both"/>
      </w:pPr>
      <w:r>
        <w:rPr>
          <w:rFonts w:ascii="Times New Roman" w:hAnsi="Times New Roman" w:eastAsia="Times New Roman" w:cs="Times New Roman"/>
          <w:b w:val="0"/>
          <w:bCs w:val="0"/>
          <w:sz w:val="24"/>
          <w:szCs w:val="24"/>
        </w:rPr>
        <w:t>Table S</w:t>
      </w:r>
      <w:r>
        <w:rPr>
          <w:rFonts w:hint="default" w:cs="Times New Roman"/>
          <w:b w:val="0"/>
          <w:bCs w:val="0"/>
          <w:sz w:val="24"/>
          <w:szCs w:val="24"/>
          <w:lang w:val="en-US"/>
        </w:rPr>
        <w:t>3</w:t>
      </w:r>
      <w:r>
        <w:rPr>
          <w:rFonts w:ascii="Times New Roman" w:hAnsi="Times New Roman" w:eastAsia="Times New Roman" w:cs="Times New Roman"/>
          <w:b w:val="0"/>
          <w:bCs w:val="0"/>
          <w:sz w:val="24"/>
          <w:szCs w:val="24"/>
        </w:rPr>
        <w:t>. Genetic testing status</w:t>
      </w:r>
    </w:p>
    <w:p w14:paraId="414A700C">
      <w:pPr>
        <w:spacing w:after="60" w:line="340" w:lineRule="auto"/>
        <w:jc w:val="both"/>
      </w:pPr>
      <w:r>
        <w:rPr>
          <w:rFonts w:ascii="Times New Roman" w:hAnsi="Times New Roman" w:eastAsia="Times New Roman" w:cs="Times New Roman"/>
          <w:b w:val="0"/>
          <w:bCs w:val="0"/>
          <w:sz w:val="24"/>
          <w:szCs w:val="24"/>
        </w:rPr>
        <w:t>Table S</w:t>
      </w:r>
      <w:r>
        <w:rPr>
          <w:rFonts w:hint="default" w:cs="Times New Roman"/>
          <w:b w:val="0"/>
          <w:bCs w:val="0"/>
          <w:sz w:val="24"/>
          <w:szCs w:val="24"/>
          <w:lang w:val="en-US"/>
        </w:rPr>
        <w:t>4</w:t>
      </w:r>
      <w:r>
        <w:rPr>
          <w:rFonts w:ascii="Times New Roman" w:hAnsi="Times New Roman" w:eastAsia="Times New Roman" w:cs="Times New Roman"/>
          <w:b w:val="0"/>
          <w:bCs w:val="0"/>
          <w:sz w:val="24"/>
          <w:szCs w:val="24"/>
        </w:rPr>
        <w:t>. Overall treatment patterns</w:t>
      </w:r>
    </w:p>
    <w:p w14:paraId="3D4C3D31">
      <w:pPr>
        <w:spacing w:after="60" w:line="340" w:lineRule="auto"/>
        <w:jc w:val="both"/>
      </w:pPr>
      <w:r>
        <w:rPr>
          <w:rFonts w:ascii="Times New Roman" w:hAnsi="Times New Roman" w:eastAsia="Times New Roman" w:cs="Times New Roman"/>
          <w:b w:val="0"/>
          <w:bCs w:val="0"/>
          <w:sz w:val="24"/>
          <w:szCs w:val="24"/>
        </w:rPr>
        <w:t>Table S</w:t>
      </w:r>
      <w:r>
        <w:rPr>
          <w:rFonts w:hint="default" w:cs="Times New Roman"/>
          <w:b w:val="0"/>
          <w:bCs w:val="0"/>
          <w:sz w:val="24"/>
          <w:szCs w:val="24"/>
          <w:lang w:val="en-US"/>
        </w:rPr>
        <w:t>5</w:t>
      </w:r>
      <w:r>
        <w:rPr>
          <w:rFonts w:ascii="Times New Roman" w:hAnsi="Times New Roman" w:eastAsia="Times New Roman" w:cs="Times New Roman"/>
          <w:b w:val="0"/>
          <w:bCs w:val="0"/>
          <w:sz w:val="24"/>
          <w:szCs w:val="24"/>
        </w:rPr>
        <w:t>. Univariable and multivariable logistic regression for mortality</w:t>
      </w:r>
    </w:p>
    <w:p w14:paraId="1AF2A593">
      <w:pPr>
        <w:pageBreakBefore/>
      </w:pPr>
    </w:p>
    <w:p w14:paraId="7D24F391">
      <w:pPr>
        <w:spacing w:before="320" w:after="120"/>
      </w:pPr>
      <w:r>
        <w:rPr>
          <w:rFonts w:ascii="Times New Roman" w:hAnsi="Times New Roman" w:eastAsia="Times New Roman" w:cs="Times New Roman"/>
          <w:b/>
          <w:bCs/>
          <w:color w:val="1F4E79"/>
          <w:sz w:val="28"/>
          <w:szCs w:val="28"/>
        </w:rPr>
        <w:t>Supplementary Figures</w:t>
      </w:r>
    </w:p>
    <w:p w14:paraId="480008FF">
      <w:pPr>
        <w:spacing w:before="200" w:after="60"/>
        <w:jc w:val="center"/>
      </w:pPr>
      <w:r>
        <w:drawing>
          <wp:inline distT="0" distB="0" distL="0" distR="0">
            <wp:extent cx="4381500" cy="293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rcRect/>
                    <a:stretch>
                      <a:fillRect/>
                    </a:stretch>
                  </pic:blipFill>
                  <pic:spPr>
                    <a:xfrm>
                      <a:off x="0" y="0"/>
                      <a:ext cx="4381500" cy="2933700"/>
                    </a:xfrm>
                    <a:prstGeom prst="rect">
                      <a:avLst/>
                    </a:prstGeom>
                  </pic:spPr>
                </pic:pic>
              </a:graphicData>
            </a:graphic>
          </wp:inline>
        </w:drawing>
      </w:r>
    </w:p>
    <w:p w14:paraId="2A81065B">
      <w:pPr>
        <w:spacing w:before="80" w:after="200"/>
        <w:jc w:val="both"/>
      </w:pPr>
      <w:r>
        <w:rPr>
          <w:rFonts w:ascii="Times New Roman" w:hAnsi="Times New Roman" w:eastAsia="Times New Roman" w:cs="Times New Roman"/>
          <w:b/>
          <w:bCs/>
          <w:sz w:val="22"/>
          <w:szCs w:val="22"/>
        </w:rPr>
        <w:t xml:space="preserve">Figure S1. </w:t>
      </w:r>
      <w:r>
        <w:rPr>
          <w:rFonts w:ascii="Times New Roman" w:hAnsi="Times New Roman" w:eastAsia="Times New Roman" w:cs="Times New Roman"/>
          <w:sz w:val="22"/>
          <w:szCs w:val="22"/>
        </w:rPr>
        <w:t>Top 15 most frequently identified gene defects among the 109 patients with a confirmed genetic diagnosis. Dot size is proportional to the number of patients carrying each gene.</w:t>
      </w:r>
    </w:p>
    <w:p w14:paraId="17448455">
      <w:pPr>
        <w:pageBreakBefore/>
      </w:pPr>
    </w:p>
    <w:p w14:paraId="58672D51">
      <w:pPr>
        <w:spacing w:before="200" w:after="60"/>
        <w:jc w:val="center"/>
      </w:pPr>
      <w:r>
        <w:drawing>
          <wp:inline distT="0" distB="0" distL="0" distR="0">
            <wp:extent cx="4381500" cy="2686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srcRect/>
                    <a:stretch>
                      <a:fillRect/>
                    </a:stretch>
                  </pic:blipFill>
                  <pic:spPr>
                    <a:xfrm>
                      <a:off x="0" y="0"/>
                      <a:ext cx="4381500" cy="2686050"/>
                    </a:xfrm>
                    <a:prstGeom prst="rect">
                      <a:avLst/>
                    </a:prstGeom>
                  </pic:spPr>
                </pic:pic>
              </a:graphicData>
            </a:graphic>
          </wp:inline>
        </w:drawing>
      </w:r>
    </w:p>
    <w:p w14:paraId="7F41FACB">
      <w:pPr>
        <w:spacing w:before="80" w:after="200"/>
        <w:jc w:val="both"/>
      </w:pPr>
      <w:r>
        <w:rPr>
          <w:rFonts w:ascii="Times New Roman" w:hAnsi="Times New Roman" w:eastAsia="Times New Roman" w:cs="Times New Roman"/>
          <w:b/>
          <w:bCs/>
          <w:sz w:val="22"/>
          <w:szCs w:val="22"/>
        </w:rPr>
        <w:t xml:space="preserve">Figure S2. </w:t>
      </w:r>
      <w:r>
        <w:rPr>
          <w:rFonts w:ascii="Times New Roman" w:hAnsi="Times New Roman" w:eastAsia="Times New Roman" w:cs="Times New Roman"/>
          <w:sz w:val="22"/>
          <w:szCs w:val="22"/>
        </w:rPr>
        <w:t>Overall prevalence of clinical manifestations. Each row shows the percentage of patients positive for the manifestation, with counts and denominators to the right. Dot size encodes the number of patients with available data.</w:t>
      </w:r>
    </w:p>
    <w:p w14:paraId="34269720">
      <w:pPr>
        <w:pageBreakBefore/>
      </w:pPr>
    </w:p>
    <w:p w14:paraId="26339203">
      <w:pPr>
        <w:spacing w:before="200" w:after="60"/>
        <w:jc w:val="center"/>
      </w:pPr>
      <w:r>
        <w:drawing>
          <wp:inline distT="0" distB="0" distL="0" distR="0">
            <wp:extent cx="4191000" cy="3724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srcRect/>
                    <a:stretch>
                      <a:fillRect/>
                    </a:stretch>
                  </pic:blipFill>
                  <pic:spPr>
                    <a:xfrm>
                      <a:off x="0" y="0"/>
                      <a:ext cx="4191000" cy="3724275"/>
                    </a:xfrm>
                    <a:prstGeom prst="rect">
                      <a:avLst/>
                    </a:prstGeom>
                  </pic:spPr>
                </pic:pic>
              </a:graphicData>
            </a:graphic>
          </wp:inline>
        </w:drawing>
      </w:r>
    </w:p>
    <w:p w14:paraId="62C294BF">
      <w:pPr>
        <w:spacing w:before="80" w:after="200"/>
        <w:jc w:val="both"/>
      </w:pPr>
      <w:r>
        <w:rPr>
          <w:rFonts w:ascii="Times New Roman" w:hAnsi="Times New Roman" w:eastAsia="Times New Roman" w:cs="Times New Roman"/>
          <w:b/>
          <w:bCs/>
          <w:sz w:val="22"/>
          <w:szCs w:val="22"/>
        </w:rPr>
        <w:t xml:space="preserve">Figure S3. </w:t>
      </w:r>
      <w:r>
        <w:rPr>
          <w:rFonts w:ascii="Times New Roman" w:hAnsi="Times New Roman" w:eastAsia="Times New Roman" w:cs="Times New Roman"/>
          <w:sz w:val="22"/>
          <w:szCs w:val="22"/>
        </w:rPr>
        <w:t>Diagnostic delay. Panel A shows the distribution of the interval between symptom onset and diagnosis among patients with derivable data. Panel B shows delay by IUIS classification. Differences across classifications were not statistically significant.</w:t>
      </w:r>
    </w:p>
    <w:p w14:paraId="224F4D63">
      <w:pPr>
        <w:pageBreakBefore/>
      </w:pPr>
    </w:p>
    <w:p w14:paraId="72037679">
      <w:pPr>
        <w:spacing w:before="200" w:after="60"/>
        <w:jc w:val="center"/>
      </w:pPr>
      <w:r>
        <w:drawing>
          <wp:inline distT="0" distB="0" distL="0" distR="0">
            <wp:extent cx="4191000" cy="3495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a:srcRect/>
                    <a:stretch>
                      <a:fillRect/>
                    </a:stretch>
                  </pic:blipFill>
                  <pic:spPr>
                    <a:xfrm>
                      <a:off x="0" y="0"/>
                      <a:ext cx="4191000" cy="3495675"/>
                    </a:xfrm>
                    <a:prstGeom prst="rect">
                      <a:avLst/>
                    </a:prstGeom>
                  </pic:spPr>
                </pic:pic>
              </a:graphicData>
            </a:graphic>
          </wp:inline>
        </w:drawing>
      </w:r>
    </w:p>
    <w:p w14:paraId="329D2542">
      <w:pPr>
        <w:spacing w:before="80" w:after="200"/>
        <w:jc w:val="both"/>
      </w:pPr>
      <w:r>
        <w:rPr>
          <w:rFonts w:ascii="Times New Roman" w:hAnsi="Times New Roman" w:eastAsia="Times New Roman" w:cs="Times New Roman"/>
          <w:b/>
          <w:bCs/>
          <w:sz w:val="22"/>
          <w:szCs w:val="22"/>
        </w:rPr>
        <w:t xml:space="preserve">Figure S4. </w:t>
      </w:r>
      <w:r>
        <w:rPr>
          <w:rFonts w:ascii="Times New Roman" w:hAnsi="Times New Roman" w:eastAsia="Times New Roman" w:cs="Times New Roman"/>
          <w:sz w:val="22"/>
          <w:szCs w:val="22"/>
        </w:rPr>
        <w:t>Co-occurrence matrix of clinical manifestations. Each cell shows the percentage of patients with complete manifestation data who had both the row and column manifestations. Diagonal cells show single-manifestation prevalence.</w:t>
      </w:r>
    </w:p>
    <w:p w14:paraId="1D0FF485">
      <w:pPr>
        <w:pageBreakBefore/>
      </w:pPr>
    </w:p>
    <w:p w14:paraId="76A53A99">
      <w:pPr>
        <w:spacing w:before="200" w:after="60"/>
        <w:jc w:val="center"/>
      </w:pPr>
      <w:r>
        <w:drawing>
          <wp:inline distT="0" distB="0" distL="0" distR="0">
            <wp:extent cx="3619500" cy="3400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srcRect/>
                    <a:stretch>
                      <a:fillRect/>
                    </a:stretch>
                  </pic:blipFill>
                  <pic:spPr>
                    <a:xfrm>
                      <a:off x="0" y="0"/>
                      <a:ext cx="3619500" cy="3400425"/>
                    </a:xfrm>
                    <a:prstGeom prst="rect">
                      <a:avLst/>
                    </a:prstGeom>
                  </pic:spPr>
                </pic:pic>
              </a:graphicData>
            </a:graphic>
          </wp:inline>
        </w:drawing>
      </w:r>
    </w:p>
    <w:p w14:paraId="692C5D49">
      <w:pPr>
        <w:spacing w:before="80" w:after="200"/>
        <w:jc w:val="both"/>
      </w:pPr>
      <w:r>
        <w:rPr>
          <w:rFonts w:ascii="Times New Roman" w:hAnsi="Times New Roman" w:eastAsia="Times New Roman" w:cs="Times New Roman"/>
          <w:b/>
          <w:bCs/>
          <w:sz w:val="22"/>
          <w:szCs w:val="22"/>
        </w:rPr>
        <w:t xml:space="preserve">Figure S5. </w:t>
      </w:r>
      <w:r>
        <w:rPr>
          <w:rFonts w:ascii="Times New Roman" w:hAnsi="Times New Roman" w:eastAsia="Times New Roman" w:cs="Times New Roman"/>
          <w:sz w:val="22"/>
          <w:szCs w:val="22"/>
        </w:rPr>
        <w:t>Age at symptom onset versus age at diagnosis. SCID patients, shown as red diamonds, cluster near the origin, reflecting early onset and short diagnostic delay. The dashed line represents equality, and points above it indicate delayed diagnosis.</w:t>
      </w:r>
    </w:p>
    <w:p w14:paraId="7A2B6F11">
      <w:pPr>
        <w:pageBreakBefore/>
      </w:pPr>
    </w:p>
    <w:p w14:paraId="7640B534">
      <w:pPr>
        <w:spacing w:before="200" w:after="60"/>
        <w:jc w:val="center"/>
      </w:pPr>
      <w:r>
        <w:drawing>
          <wp:inline distT="0" distB="0" distL="0" distR="0">
            <wp:extent cx="4286250" cy="2619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srcRect/>
                    <a:stretch>
                      <a:fillRect/>
                    </a:stretch>
                  </pic:blipFill>
                  <pic:spPr>
                    <a:xfrm>
                      <a:off x="0" y="0"/>
                      <a:ext cx="4286250" cy="2619375"/>
                    </a:xfrm>
                    <a:prstGeom prst="rect">
                      <a:avLst/>
                    </a:prstGeom>
                  </pic:spPr>
                </pic:pic>
              </a:graphicData>
            </a:graphic>
          </wp:inline>
        </w:drawing>
      </w:r>
    </w:p>
    <w:p w14:paraId="66F9A137">
      <w:pPr>
        <w:spacing w:before="80" w:after="200"/>
        <w:jc w:val="both"/>
      </w:pPr>
      <w:r>
        <w:rPr>
          <w:rFonts w:ascii="Times New Roman" w:hAnsi="Times New Roman" w:eastAsia="Times New Roman" w:cs="Times New Roman"/>
          <w:b/>
          <w:bCs/>
          <w:sz w:val="22"/>
          <w:szCs w:val="22"/>
        </w:rPr>
        <w:t xml:space="preserve">Figure S6. </w:t>
      </w:r>
      <w:r>
        <w:rPr>
          <w:rFonts w:ascii="Times New Roman" w:hAnsi="Times New Roman" w:eastAsia="Times New Roman" w:cs="Times New Roman"/>
          <w:sz w:val="22"/>
          <w:szCs w:val="22"/>
        </w:rPr>
        <w:t>Treatment patterns by IUIS classification. Cells show the percentage of patients in each classification receiving each treatment, among those with available data.</w:t>
      </w:r>
    </w:p>
    <w:p w14:paraId="5B76355C">
      <w:pPr>
        <w:pageBreakBefore/>
      </w:pPr>
    </w:p>
    <w:p w14:paraId="38D57573">
      <w:pPr>
        <w:spacing w:before="200" w:after="60"/>
        <w:jc w:val="center"/>
      </w:pPr>
      <w:r>
        <w:drawing>
          <wp:inline distT="0" distB="0" distL="0" distR="0">
            <wp:extent cx="4476750" cy="2686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a:srcRect/>
                    <a:stretch>
                      <a:fillRect/>
                    </a:stretch>
                  </pic:blipFill>
                  <pic:spPr>
                    <a:xfrm>
                      <a:off x="0" y="0"/>
                      <a:ext cx="4476750" cy="2686050"/>
                    </a:xfrm>
                    <a:prstGeom prst="rect">
                      <a:avLst/>
                    </a:prstGeom>
                  </pic:spPr>
                </pic:pic>
              </a:graphicData>
            </a:graphic>
          </wp:inline>
        </w:drawing>
      </w:r>
    </w:p>
    <w:p w14:paraId="66199638">
      <w:pPr>
        <w:spacing w:before="80" w:after="200"/>
        <w:jc w:val="both"/>
      </w:pPr>
      <w:r>
        <w:rPr>
          <w:rFonts w:ascii="Times New Roman" w:hAnsi="Times New Roman" w:eastAsia="Times New Roman" w:cs="Times New Roman"/>
          <w:b/>
          <w:bCs/>
          <w:sz w:val="22"/>
          <w:szCs w:val="22"/>
        </w:rPr>
        <w:t xml:space="preserve">Figure S7. </w:t>
      </w:r>
      <w:r>
        <w:rPr>
          <w:rFonts w:ascii="Times New Roman" w:hAnsi="Times New Roman" w:eastAsia="Times New Roman" w:cs="Times New Roman"/>
          <w:sz w:val="22"/>
          <w:szCs w:val="22"/>
        </w:rPr>
        <w:t>Patient outcomes by IUIS classification. Horizontal stacked bars show the proportion and absolute count of patients who were alive, deceased, or referred out across categories, ordered by mortality.</w:t>
      </w:r>
    </w:p>
    <w:p w14:paraId="59DE284C">
      <w:pPr>
        <w:pageBreakBefore/>
      </w:pPr>
    </w:p>
    <w:p w14:paraId="05717DFA">
      <w:pPr>
        <w:spacing w:before="200" w:after="60"/>
        <w:jc w:val="center"/>
      </w:pPr>
      <w:r>
        <w:drawing>
          <wp:inline distT="0" distB="0" distL="0" distR="0">
            <wp:extent cx="4572000"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4572000" cy="2286000"/>
                    </a:xfrm>
                    <a:prstGeom prst="rect">
                      <a:avLst/>
                    </a:prstGeom>
                  </pic:spPr>
                </pic:pic>
              </a:graphicData>
            </a:graphic>
          </wp:inline>
        </w:drawing>
      </w:r>
    </w:p>
    <w:p w14:paraId="2481172E">
      <w:pPr>
        <w:spacing w:before="80" w:after="200"/>
        <w:jc w:val="both"/>
      </w:pPr>
      <w:r>
        <w:rPr>
          <w:rFonts w:ascii="Times New Roman" w:hAnsi="Times New Roman" w:eastAsia="Times New Roman" w:cs="Times New Roman"/>
          <w:b/>
          <w:bCs/>
          <w:sz w:val="22"/>
          <w:szCs w:val="22"/>
        </w:rPr>
        <w:t xml:space="preserve">Figure S8. </w:t>
      </w:r>
      <w:r>
        <w:rPr>
          <w:rFonts w:ascii="Times New Roman" w:hAnsi="Times New Roman" w:eastAsia="Times New Roman" w:cs="Times New Roman"/>
          <w:sz w:val="22"/>
          <w:szCs w:val="22"/>
        </w:rPr>
        <w:t>Mortality by IUIS classification. Dot position shows the mortality percentage, dot size is proportional to the number of patients with a documented outcome, and colour darkens with increasing mortality.</w:t>
      </w:r>
    </w:p>
    <w:p w14:paraId="469D8624">
      <w:pPr>
        <w:pageBreakBefore/>
      </w:pPr>
    </w:p>
    <w:p w14:paraId="0DB2FECC">
      <w:pPr>
        <w:spacing w:before="200" w:after="60"/>
        <w:jc w:val="center"/>
      </w:pPr>
      <w:r>
        <w:drawing>
          <wp:inline distT="0" distB="0" distL="0" distR="0">
            <wp:extent cx="5143500" cy="3505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5143500" cy="3505200"/>
                    </a:xfrm>
                    <a:prstGeom prst="rect">
                      <a:avLst/>
                    </a:prstGeom>
                  </pic:spPr>
                </pic:pic>
              </a:graphicData>
            </a:graphic>
          </wp:inline>
        </w:drawing>
      </w:r>
    </w:p>
    <w:p w14:paraId="46761E7D">
      <w:pPr>
        <w:spacing w:before="80" w:after="200"/>
        <w:jc w:val="both"/>
      </w:pPr>
      <w:r>
        <w:rPr>
          <w:rFonts w:ascii="Times New Roman" w:hAnsi="Times New Roman" w:eastAsia="Times New Roman" w:cs="Times New Roman"/>
          <w:b/>
          <w:bCs/>
          <w:sz w:val="22"/>
          <w:szCs w:val="22"/>
        </w:rPr>
        <w:t xml:space="preserve">Figure S9. </w:t>
      </w:r>
      <w:r>
        <w:rPr>
          <w:rFonts w:ascii="Times New Roman" w:hAnsi="Times New Roman" w:eastAsia="Times New Roman" w:cs="Times New Roman"/>
          <w:sz w:val="22"/>
          <w:szCs w:val="22"/>
        </w:rPr>
        <w:t>Clinical pathway from IUIS classification, through transplantation status, to final vital status. Flows are coloured by outcome. HSCT, hematopoietic stem cell transplantation.</w:t>
      </w:r>
    </w:p>
    <w:p w14:paraId="04BF6BF1">
      <w:pPr>
        <w:pageBreakBefore/>
      </w:pPr>
    </w:p>
    <w:p w14:paraId="61F8905B">
      <w:pPr>
        <w:spacing w:before="320" w:after="120"/>
      </w:pPr>
      <w:r>
        <w:rPr>
          <w:rFonts w:ascii="Times New Roman" w:hAnsi="Times New Roman" w:eastAsia="Times New Roman" w:cs="Times New Roman"/>
          <w:b/>
          <w:bCs/>
          <w:color w:val="1F4E79"/>
          <w:sz w:val="28"/>
          <w:szCs w:val="28"/>
        </w:rPr>
        <w:t>Supplementary Tables</w:t>
      </w:r>
    </w:p>
    <w:p w14:paraId="364995A2">
      <w:pPr>
        <w:spacing w:before="200" w:after="80"/>
      </w:pPr>
      <w:r>
        <w:rPr>
          <w:rFonts w:ascii="Times New Roman" w:hAnsi="Times New Roman" w:eastAsia="Times New Roman" w:cs="Times New Roman"/>
          <w:b/>
          <w:bCs/>
          <w:sz w:val="24"/>
          <w:szCs w:val="24"/>
        </w:rPr>
        <w:t>Table S</w:t>
      </w:r>
      <w:r>
        <w:rPr>
          <w:rFonts w:hint="default" w:cs="Times New Roman"/>
          <w:b/>
          <w:bCs/>
          <w:sz w:val="24"/>
          <w:szCs w:val="24"/>
          <w:lang w:val="en-US"/>
        </w:rPr>
        <w:t>1</w:t>
      </w:r>
      <w:r>
        <w:rPr>
          <w:rFonts w:ascii="Times New Roman" w:hAnsi="Times New Roman" w:eastAsia="Times New Roman" w:cs="Times New Roman"/>
          <w:b/>
          <w:bCs/>
          <w:sz w:val="24"/>
          <w:szCs w:val="24"/>
        </w:rPr>
        <w:t>. Full spectrum of specific PID diagnoses grouped by IUIS classification.</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327"/>
        <w:gridCol w:w="5005"/>
        <w:gridCol w:w="614"/>
      </w:tblGrid>
      <w:tr w14:paraId="368C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000000" w:sz="12" w:space="0"/>
              <w:left w:val="nil"/>
              <w:bottom w:val="nil"/>
              <w:right w:val="nil"/>
            </w:tcBorders>
            <w:tcMar>
              <w:top w:w="70" w:type="dxa"/>
              <w:left w:w="100" w:type="dxa"/>
              <w:bottom w:w="70" w:type="dxa"/>
              <w:right w:w="100" w:type="dxa"/>
            </w:tcMar>
          </w:tcPr>
          <w:p w14:paraId="00F98D20">
            <w:pPr>
              <w:spacing w:after="0"/>
              <w:jc w:val="left"/>
            </w:pPr>
            <w:r>
              <w:rPr>
                <w:rFonts w:ascii="Times New Roman" w:hAnsi="Times New Roman" w:eastAsia="Times New Roman" w:cs="Times New Roman"/>
                <w:b/>
                <w:bCs/>
                <w:sz w:val="22"/>
                <w:szCs w:val="22"/>
              </w:rPr>
              <w:t>PID group (diagnosis)</w:t>
            </w:r>
          </w:p>
        </w:tc>
        <w:tc>
          <w:tcPr>
            <w:tcBorders>
              <w:top w:val="single" w:color="000000" w:sz="12" w:space="0"/>
              <w:left w:val="nil"/>
              <w:bottom w:val="nil"/>
              <w:right w:val="nil"/>
            </w:tcBorders>
            <w:tcMar>
              <w:top w:w="70" w:type="dxa"/>
              <w:left w:w="100" w:type="dxa"/>
              <w:bottom w:w="70" w:type="dxa"/>
              <w:right w:w="100" w:type="dxa"/>
            </w:tcMar>
          </w:tcPr>
          <w:p w14:paraId="1E674426">
            <w:pPr>
              <w:spacing w:after="0"/>
              <w:jc w:val="left"/>
            </w:pPr>
            <w:r>
              <w:rPr>
                <w:rFonts w:ascii="Times New Roman" w:hAnsi="Times New Roman" w:eastAsia="Times New Roman" w:cs="Times New Roman"/>
                <w:b/>
                <w:bCs/>
                <w:sz w:val="22"/>
                <w:szCs w:val="22"/>
              </w:rPr>
              <w:t>IUIS classification</w:t>
            </w:r>
          </w:p>
        </w:tc>
        <w:tc>
          <w:tcPr>
            <w:tcBorders>
              <w:top w:val="single" w:color="000000" w:sz="12" w:space="0"/>
              <w:left w:val="nil"/>
              <w:bottom w:val="nil"/>
              <w:right w:val="nil"/>
            </w:tcBorders>
            <w:tcMar>
              <w:top w:w="70" w:type="dxa"/>
              <w:left w:w="100" w:type="dxa"/>
              <w:bottom w:w="70" w:type="dxa"/>
              <w:right w:w="100" w:type="dxa"/>
            </w:tcMar>
          </w:tcPr>
          <w:p w14:paraId="42C1DA32">
            <w:pPr>
              <w:spacing w:after="0"/>
              <w:jc w:val="center"/>
            </w:pPr>
            <w:r>
              <w:rPr>
                <w:rFonts w:ascii="Times New Roman" w:hAnsi="Times New Roman" w:eastAsia="Times New Roman" w:cs="Times New Roman"/>
                <w:b/>
                <w:bCs/>
                <w:sz w:val="22"/>
                <w:szCs w:val="22"/>
              </w:rPr>
              <w:t>N</w:t>
            </w:r>
          </w:p>
        </w:tc>
      </w:tr>
      <w:tr w14:paraId="1A01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6C004E63">
            <w:pPr>
              <w:spacing w:after="0"/>
              <w:jc w:val="left"/>
            </w:pPr>
            <w:r>
              <w:rPr>
                <w:rFonts w:ascii="Times New Roman" w:hAnsi="Times New Roman" w:eastAsia="Times New Roman" w:cs="Times New Roman"/>
                <w:b w:val="0"/>
                <w:bCs w:val="0"/>
                <w:sz w:val="22"/>
                <w:szCs w:val="22"/>
              </w:rPr>
              <w:t>SCID or Omenn syndrome</w:t>
            </w:r>
          </w:p>
        </w:tc>
        <w:tc>
          <w:tcPr>
            <w:tcBorders>
              <w:top w:val="single" w:color="BFBFBF" w:sz="6" w:space="0"/>
              <w:left w:val="nil"/>
              <w:bottom w:val="nil"/>
              <w:right w:val="nil"/>
            </w:tcBorders>
            <w:tcMar>
              <w:top w:w="70" w:type="dxa"/>
              <w:left w:w="100" w:type="dxa"/>
              <w:bottom w:w="70" w:type="dxa"/>
              <w:right w:w="100" w:type="dxa"/>
            </w:tcMar>
          </w:tcPr>
          <w:p w14:paraId="74A952A9">
            <w:pPr>
              <w:spacing w:after="0"/>
              <w:jc w:val="left"/>
            </w:pPr>
            <w:r>
              <w:rPr>
                <w:rFonts w:ascii="Times New Roman" w:hAnsi="Times New Roman" w:eastAsia="Times New Roman" w:cs="Times New Roman"/>
                <w:b w:val="0"/>
                <w:bCs w:val="0"/>
                <w:sz w:val="22"/>
                <w:szCs w:val="22"/>
              </w:rPr>
              <w:t>Combined immunodeficiencies</w:t>
            </w:r>
          </w:p>
        </w:tc>
        <w:tc>
          <w:tcPr>
            <w:tcBorders>
              <w:top w:val="single" w:color="BFBFBF" w:sz="6" w:space="0"/>
              <w:left w:val="nil"/>
              <w:bottom w:val="nil"/>
              <w:right w:val="nil"/>
            </w:tcBorders>
            <w:tcMar>
              <w:top w:w="70" w:type="dxa"/>
              <w:left w:w="100" w:type="dxa"/>
              <w:bottom w:w="70" w:type="dxa"/>
              <w:right w:w="100" w:type="dxa"/>
            </w:tcMar>
          </w:tcPr>
          <w:p w14:paraId="004FC554">
            <w:pPr>
              <w:spacing w:after="0"/>
              <w:jc w:val="center"/>
            </w:pPr>
            <w:r>
              <w:rPr>
                <w:rFonts w:ascii="Times New Roman" w:hAnsi="Times New Roman" w:eastAsia="Times New Roman" w:cs="Times New Roman"/>
                <w:b w:val="0"/>
                <w:bCs w:val="0"/>
                <w:sz w:val="22"/>
                <w:szCs w:val="22"/>
              </w:rPr>
              <w:t>31</w:t>
            </w:r>
          </w:p>
        </w:tc>
      </w:tr>
      <w:tr w14:paraId="4937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27CFD07B">
            <w:pPr>
              <w:spacing w:after="0"/>
              <w:jc w:val="left"/>
            </w:pPr>
            <w:r>
              <w:rPr>
                <w:rFonts w:ascii="Times New Roman" w:hAnsi="Times New Roman" w:eastAsia="Times New Roman" w:cs="Times New Roman"/>
                <w:b w:val="0"/>
                <w:bCs w:val="0"/>
                <w:sz w:val="22"/>
                <w:szCs w:val="22"/>
              </w:rPr>
              <w:t>Ataxia-telangiectasia</w:t>
            </w:r>
          </w:p>
        </w:tc>
        <w:tc>
          <w:tcPr>
            <w:tcBorders>
              <w:top w:val="single" w:color="BFBFBF" w:sz="6" w:space="0"/>
              <w:left w:val="nil"/>
              <w:bottom w:val="nil"/>
              <w:right w:val="nil"/>
            </w:tcBorders>
            <w:tcMar>
              <w:top w:w="70" w:type="dxa"/>
              <w:left w:w="100" w:type="dxa"/>
              <w:bottom w:w="70" w:type="dxa"/>
              <w:right w:w="100" w:type="dxa"/>
            </w:tcMar>
          </w:tcPr>
          <w:p w14:paraId="4456383B">
            <w:pPr>
              <w:spacing w:after="0"/>
              <w:jc w:val="left"/>
            </w:pPr>
            <w:r>
              <w:rPr>
                <w:rFonts w:ascii="Times New Roman" w:hAnsi="Times New Roman" w:eastAsia="Times New Roman" w:cs="Times New Roman"/>
                <w:b w:val="0"/>
                <w:bCs w:val="0"/>
                <w:sz w:val="22"/>
                <w:szCs w:val="22"/>
              </w:rPr>
              <w:t>CID with syndromic features</w:t>
            </w:r>
          </w:p>
        </w:tc>
        <w:tc>
          <w:tcPr>
            <w:tcBorders>
              <w:top w:val="single" w:color="BFBFBF" w:sz="6" w:space="0"/>
              <w:left w:val="nil"/>
              <w:bottom w:val="nil"/>
              <w:right w:val="nil"/>
            </w:tcBorders>
            <w:tcMar>
              <w:top w:w="70" w:type="dxa"/>
              <w:left w:w="100" w:type="dxa"/>
              <w:bottom w:w="70" w:type="dxa"/>
              <w:right w:w="100" w:type="dxa"/>
            </w:tcMar>
          </w:tcPr>
          <w:p w14:paraId="795DC3FB">
            <w:pPr>
              <w:spacing w:after="0"/>
              <w:jc w:val="center"/>
            </w:pPr>
            <w:r>
              <w:rPr>
                <w:rFonts w:ascii="Times New Roman" w:hAnsi="Times New Roman" w:eastAsia="Times New Roman" w:cs="Times New Roman"/>
                <w:b w:val="0"/>
                <w:bCs w:val="0"/>
                <w:sz w:val="22"/>
                <w:szCs w:val="22"/>
              </w:rPr>
              <w:t>21</w:t>
            </w:r>
          </w:p>
        </w:tc>
      </w:tr>
      <w:tr w14:paraId="0139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6729C758">
            <w:pPr>
              <w:spacing w:after="0"/>
              <w:jc w:val="left"/>
            </w:pPr>
            <w:r>
              <w:rPr>
                <w:rFonts w:ascii="Times New Roman" w:hAnsi="Times New Roman" w:eastAsia="Times New Roman" w:cs="Times New Roman"/>
                <w:b w:val="0"/>
                <w:bCs w:val="0"/>
                <w:sz w:val="22"/>
                <w:szCs w:val="22"/>
              </w:rPr>
              <w:t>Fanconi anaemia</w:t>
            </w:r>
          </w:p>
        </w:tc>
        <w:tc>
          <w:tcPr>
            <w:tcBorders>
              <w:top w:val="single" w:color="BFBFBF" w:sz="6" w:space="0"/>
              <w:left w:val="nil"/>
              <w:bottom w:val="nil"/>
              <w:right w:val="nil"/>
            </w:tcBorders>
            <w:tcMar>
              <w:top w:w="70" w:type="dxa"/>
              <w:left w:w="100" w:type="dxa"/>
              <w:bottom w:w="70" w:type="dxa"/>
              <w:right w:w="100" w:type="dxa"/>
            </w:tcMar>
          </w:tcPr>
          <w:p w14:paraId="17126C51">
            <w:pPr>
              <w:spacing w:after="0"/>
              <w:jc w:val="left"/>
            </w:pPr>
            <w:r>
              <w:rPr>
                <w:rFonts w:ascii="Times New Roman" w:hAnsi="Times New Roman" w:eastAsia="Times New Roman" w:cs="Times New Roman"/>
                <w:b w:val="0"/>
                <w:bCs w:val="0"/>
                <w:sz w:val="22"/>
                <w:szCs w:val="22"/>
              </w:rPr>
              <w:t>Bone marrow failure</w:t>
            </w:r>
          </w:p>
        </w:tc>
        <w:tc>
          <w:tcPr>
            <w:tcBorders>
              <w:top w:val="single" w:color="BFBFBF" w:sz="6" w:space="0"/>
              <w:left w:val="nil"/>
              <w:bottom w:val="nil"/>
              <w:right w:val="nil"/>
            </w:tcBorders>
            <w:tcMar>
              <w:top w:w="70" w:type="dxa"/>
              <w:left w:w="100" w:type="dxa"/>
              <w:bottom w:w="70" w:type="dxa"/>
              <w:right w:w="100" w:type="dxa"/>
            </w:tcMar>
          </w:tcPr>
          <w:p w14:paraId="45945B77">
            <w:pPr>
              <w:spacing w:after="0"/>
              <w:jc w:val="center"/>
            </w:pPr>
            <w:r>
              <w:rPr>
                <w:rFonts w:ascii="Times New Roman" w:hAnsi="Times New Roman" w:eastAsia="Times New Roman" w:cs="Times New Roman"/>
                <w:b w:val="0"/>
                <w:bCs w:val="0"/>
                <w:sz w:val="22"/>
                <w:szCs w:val="22"/>
              </w:rPr>
              <w:t>16</w:t>
            </w:r>
          </w:p>
        </w:tc>
      </w:tr>
      <w:tr w14:paraId="15AE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78E02102">
            <w:pPr>
              <w:spacing w:after="0"/>
              <w:jc w:val="left"/>
            </w:pPr>
            <w:r>
              <w:rPr>
                <w:rFonts w:ascii="Times New Roman" w:hAnsi="Times New Roman" w:eastAsia="Times New Roman" w:cs="Times New Roman"/>
                <w:b w:val="0"/>
                <w:bCs w:val="0"/>
                <w:sz w:val="22"/>
                <w:szCs w:val="22"/>
              </w:rPr>
              <w:t>Chronic granulomatous disease</w:t>
            </w:r>
          </w:p>
        </w:tc>
        <w:tc>
          <w:tcPr>
            <w:tcBorders>
              <w:top w:val="single" w:color="BFBFBF" w:sz="6" w:space="0"/>
              <w:left w:val="nil"/>
              <w:bottom w:val="nil"/>
              <w:right w:val="nil"/>
            </w:tcBorders>
            <w:tcMar>
              <w:top w:w="70" w:type="dxa"/>
              <w:left w:w="100" w:type="dxa"/>
              <w:bottom w:w="70" w:type="dxa"/>
              <w:right w:w="100" w:type="dxa"/>
            </w:tcMar>
          </w:tcPr>
          <w:p w14:paraId="620402EB">
            <w:pPr>
              <w:spacing w:after="0"/>
              <w:jc w:val="left"/>
            </w:pPr>
            <w:r>
              <w:rPr>
                <w:rFonts w:ascii="Times New Roman" w:hAnsi="Times New Roman" w:eastAsia="Times New Roman" w:cs="Times New Roman"/>
                <w:b w:val="0"/>
                <w:bCs w:val="0"/>
                <w:sz w:val="22"/>
                <w:szCs w:val="22"/>
              </w:rPr>
              <w:t>Congenital defects of phagocytes</w:t>
            </w:r>
          </w:p>
        </w:tc>
        <w:tc>
          <w:tcPr>
            <w:tcBorders>
              <w:top w:val="single" w:color="BFBFBF" w:sz="6" w:space="0"/>
              <w:left w:val="nil"/>
              <w:bottom w:val="nil"/>
              <w:right w:val="nil"/>
            </w:tcBorders>
            <w:tcMar>
              <w:top w:w="70" w:type="dxa"/>
              <w:left w:w="100" w:type="dxa"/>
              <w:bottom w:w="70" w:type="dxa"/>
              <w:right w:w="100" w:type="dxa"/>
            </w:tcMar>
          </w:tcPr>
          <w:p w14:paraId="4A60633A">
            <w:pPr>
              <w:spacing w:after="0"/>
              <w:jc w:val="center"/>
            </w:pPr>
            <w:r>
              <w:rPr>
                <w:rFonts w:ascii="Times New Roman" w:hAnsi="Times New Roman" w:eastAsia="Times New Roman" w:cs="Times New Roman"/>
                <w:b w:val="0"/>
                <w:bCs w:val="0"/>
                <w:sz w:val="22"/>
                <w:szCs w:val="22"/>
              </w:rPr>
              <w:t>15</w:t>
            </w:r>
          </w:p>
        </w:tc>
      </w:tr>
      <w:tr w14:paraId="44F0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5307D639">
            <w:pPr>
              <w:spacing w:after="0"/>
              <w:jc w:val="left"/>
            </w:pPr>
            <w:r>
              <w:rPr>
                <w:rFonts w:ascii="Times New Roman" w:hAnsi="Times New Roman" w:eastAsia="Times New Roman" w:cs="Times New Roman"/>
                <w:b w:val="0"/>
                <w:bCs w:val="0"/>
                <w:sz w:val="22"/>
                <w:szCs w:val="22"/>
              </w:rPr>
              <w:t>Bare lymphocyte syndrome</w:t>
            </w:r>
          </w:p>
        </w:tc>
        <w:tc>
          <w:tcPr>
            <w:tcBorders>
              <w:top w:val="single" w:color="BFBFBF" w:sz="6" w:space="0"/>
              <w:left w:val="nil"/>
              <w:bottom w:val="nil"/>
              <w:right w:val="nil"/>
            </w:tcBorders>
            <w:tcMar>
              <w:top w:w="70" w:type="dxa"/>
              <w:left w:w="100" w:type="dxa"/>
              <w:bottom w:w="70" w:type="dxa"/>
              <w:right w:w="100" w:type="dxa"/>
            </w:tcMar>
          </w:tcPr>
          <w:p w14:paraId="28729BC2">
            <w:pPr>
              <w:spacing w:after="0"/>
              <w:jc w:val="left"/>
            </w:pPr>
            <w:r>
              <w:rPr>
                <w:rFonts w:ascii="Times New Roman" w:hAnsi="Times New Roman" w:eastAsia="Times New Roman" w:cs="Times New Roman"/>
                <w:b w:val="0"/>
                <w:bCs w:val="0"/>
                <w:sz w:val="22"/>
                <w:szCs w:val="22"/>
              </w:rPr>
              <w:t>Combined immunodeficiencies</w:t>
            </w:r>
          </w:p>
        </w:tc>
        <w:tc>
          <w:tcPr>
            <w:tcBorders>
              <w:top w:val="single" w:color="BFBFBF" w:sz="6" w:space="0"/>
              <w:left w:val="nil"/>
              <w:bottom w:val="nil"/>
              <w:right w:val="nil"/>
            </w:tcBorders>
            <w:tcMar>
              <w:top w:w="70" w:type="dxa"/>
              <w:left w:w="100" w:type="dxa"/>
              <w:bottom w:w="70" w:type="dxa"/>
              <w:right w:w="100" w:type="dxa"/>
            </w:tcMar>
          </w:tcPr>
          <w:p w14:paraId="78E2BF1D">
            <w:pPr>
              <w:spacing w:after="0"/>
              <w:jc w:val="center"/>
            </w:pPr>
            <w:r>
              <w:rPr>
                <w:rFonts w:ascii="Times New Roman" w:hAnsi="Times New Roman" w:eastAsia="Times New Roman" w:cs="Times New Roman"/>
                <w:b w:val="0"/>
                <w:bCs w:val="0"/>
                <w:sz w:val="22"/>
                <w:szCs w:val="22"/>
              </w:rPr>
              <w:t>14</w:t>
            </w:r>
          </w:p>
        </w:tc>
      </w:tr>
      <w:tr w14:paraId="0AA9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7B11E6BD">
            <w:pPr>
              <w:spacing w:after="0"/>
              <w:jc w:val="left"/>
            </w:pPr>
            <w:r>
              <w:rPr>
                <w:rFonts w:ascii="Times New Roman" w:hAnsi="Times New Roman" w:eastAsia="Times New Roman" w:cs="Times New Roman"/>
                <w:b w:val="0"/>
                <w:bCs w:val="0"/>
                <w:sz w:val="22"/>
                <w:szCs w:val="22"/>
              </w:rPr>
              <w:t>Griscelli syndrome type 2</w:t>
            </w:r>
          </w:p>
        </w:tc>
        <w:tc>
          <w:tcPr>
            <w:tcBorders>
              <w:top w:val="single" w:color="BFBFBF" w:sz="6" w:space="0"/>
              <w:left w:val="nil"/>
              <w:bottom w:val="nil"/>
              <w:right w:val="nil"/>
            </w:tcBorders>
            <w:tcMar>
              <w:top w:w="70" w:type="dxa"/>
              <w:left w:w="100" w:type="dxa"/>
              <w:bottom w:w="70" w:type="dxa"/>
              <w:right w:w="100" w:type="dxa"/>
            </w:tcMar>
          </w:tcPr>
          <w:p w14:paraId="612CC552">
            <w:pPr>
              <w:spacing w:after="0"/>
              <w:jc w:val="left"/>
            </w:pPr>
            <w:r>
              <w:rPr>
                <w:rFonts w:ascii="Times New Roman" w:hAnsi="Times New Roman" w:eastAsia="Times New Roman" w:cs="Times New Roman"/>
                <w:b w:val="0"/>
                <w:bCs w:val="0"/>
                <w:sz w:val="22"/>
                <w:szCs w:val="22"/>
              </w:rPr>
              <w:t>Diseases of immune dysregulation</w:t>
            </w:r>
          </w:p>
        </w:tc>
        <w:tc>
          <w:tcPr>
            <w:tcBorders>
              <w:top w:val="single" w:color="BFBFBF" w:sz="6" w:space="0"/>
              <w:left w:val="nil"/>
              <w:bottom w:val="nil"/>
              <w:right w:val="nil"/>
            </w:tcBorders>
            <w:tcMar>
              <w:top w:w="70" w:type="dxa"/>
              <w:left w:w="100" w:type="dxa"/>
              <w:bottom w:w="70" w:type="dxa"/>
              <w:right w:w="100" w:type="dxa"/>
            </w:tcMar>
          </w:tcPr>
          <w:p w14:paraId="2A5A52C5">
            <w:pPr>
              <w:spacing w:after="0"/>
              <w:jc w:val="center"/>
            </w:pPr>
            <w:r>
              <w:rPr>
                <w:rFonts w:ascii="Times New Roman" w:hAnsi="Times New Roman" w:eastAsia="Times New Roman" w:cs="Times New Roman"/>
                <w:b w:val="0"/>
                <w:bCs w:val="0"/>
                <w:sz w:val="22"/>
                <w:szCs w:val="22"/>
              </w:rPr>
              <w:t>7</w:t>
            </w:r>
          </w:p>
        </w:tc>
      </w:tr>
      <w:tr w14:paraId="2930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28F0C3A5">
            <w:pPr>
              <w:spacing w:after="0"/>
              <w:jc w:val="left"/>
            </w:pPr>
            <w:r>
              <w:rPr>
                <w:rFonts w:ascii="Times New Roman" w:hAnsi="Times New Roman" w:eastAsia="Times New Roman" w:cs="Times New Roman"/>
                <w:b w:val="0"/>
                <w:bCs w:val="0"/>
                <w:sz w:val="22"/>
                <w:szCs w:val="22"/>
              </w:rPr>
              <w:t>ADA2 deficiency</w:t>
            </w:r>
          </w:p>
        </w:tc>
        <w:tc>
          <w:tcPr>
            <w:tcBorders>
              <w:top w:val="single" w:color="BFBFBF" w:sz="6" w:space="0"/>
              <w:left w:val="nil"/>
              <w:bottom w:val="nil"/>
              <w:right w:val="nil"/>
            </w:tcBorders>
            <w:tcMar>
              <w:top w:w="70" w:type="dxa"/>
              <w:left w:w="100" w:type="dxa"/>
              <w:bottom w:w="70" w:type="dxa"/>
              <w:right w:w="100" w:type="dxa"/>
            </w:tcMar>
          </w:tcPr>
          <w:p w14:paraId="38CD32A0">
            <w:pPr>
              <w:spacing w:after="0"/>
              <w:jc w:val="left"/>
            </w:pPr>
            <w:r>
              <w:rPr>
                <w:rFonts w:ascii="Times New Roman" w:hAnsi="Times New Roman" w:eastAsia="Times New Roman" w:cs="Times New Roman"/>
                <w:b w:val="0"/>
                <w:bCs w:val="0"/>
                <w:sz w:val="22"/>
                <w:szCs w:val="22"/>
              </w:rPr>
              <w:t>Autoinflammatory disorders</w:t>
            </w:r>
          </w:p>
        </w:tc>
        <w:tc>
          <w:tcPr>
            <w:tcBorders>
              <w:top w:val="single" w:color="BFBFBF" w:sz="6" w:space="0"/>
              <w:left w:val="nil"/>
              <w:bottom w:val="nil"/>
              <w:right w:val="nil"/>
            </w:tcBorders>
            <w:tcMar>
              <w:top w:w="70" w:type="dxa"/>
              <w:left w:w="100" w:type="dxa"/>
              <w:bottom w:w="70" w:type="dxa"/>
              <w:right w:w="100" w:type="dxa"/>
            </w:tcMar>
          </w:tcPr>
          <w:p w14:paraId="5E081E69">
            <w:pPr>
              <w:spacing w:after="0"/>
              <w:jc w:val="center"/>
            </w:pPr>
            <w:r>
              <w:rPr>
                <w:rFonts w:ascii="Times New Roman" w:hAnsi="Times New Roman" w:eastAsia="Times New Roman" w:cs="Times New Roman"/>
                <w:b w:val="0"/>
                <w:bCs w:val="0"/>
                <w:sz w:val="22"/>
                <w:szCs w:val="22"/>
              </w:rPr>
              <w:t>4</w:t>
            </w:r>
          </w:p>
        </w:tc>
      </w:tr>
      <w:tr w14:paraId="71DE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6A8C8FBC">
            <w:pPr>
              <w:spacing w:after="0"/>
              <w:jc w:val="left"/>
            </w:pPr>
            <w:r>
              <w:rPr>
                <w:rFonts w:ascii="Times New Roman" w:hAnsi="Times New Roman" w:eastAsia="Times New Roman" w:cs="Times New Roman"/>
                <w:b w:val="0"/>
                <w:bCs w:val="0"/>
                <w:sz w:val="22"/>
                <w:szCs w:val="22"/>
              </w:rPr>
              <w:t>HLH</w:t>
            </w:r>
          </w:p>
        </w:tc>
        <w:tc>
          <w:tcPr>
            <w:tcBorders>
              <w:top w:val="single" w:color="BFBFBF" w:sz="6" w:space="0"/>
              <w:left w:val="nil"/>
              <w:bottom w:val="nil"/>
              <w:right w:val="nil"/>
            </w:tcBorders>
            <w:tcMar>
              <w:top w:w="70" w:type="dxa"/>
              <w:left w:w="100" w:type="dxa"/>
              <w:bottom w:w="70" w:type="dxa"/>
              <w:right w:w="100" w:type="dxa"/>
            </w:tcMar>
          </w:tcPr>
          <w:p w14:paraId="36CAEE1E">
            <w:pPr>
              <w:spacing w:after="0"/>
              <w:jc w:val="left"/>
            </w:pPr>
            <w:r>
              <w:rPr>
                <w:rFonts w:ascii="Times New Roman" w:hAnsi="Times New Roman" w:eastAsia="Times New Roman" w:cs="Times New Roman"/>
                <w:b w:val="0"/>
                <w:bCs w:val="0"/>
                <w:sz w:val="22"/>
                <w:szCs w:val="22"/>
              </w:rPr>
              <w:t>Diseases of immune dysregulation</w:t>
            </w:r>
          </w:p>
        </w:tc>
        <w:tc>
          <w:tcPr>
            <w:tcBorders>
              <w:top w:val="single" w:color="BFBFBF" w:sz="6" w:space="0"/>
              <w:left w:val="nil"/>
              <w:bottom w:val="nil"/>
              <w:right w:val="nil"/>
            </w:tcBorders>
            <w:tcMar>
              <w:top w:w="70" w:type="dxa"/>
              <w:left w:w="100" w:type="dxa"/>
              <w:bottom w:w="70" w:type="dxa"/>
              <w:right w:w="100" w:type="dxa"/>
            </w:tcMar>
          </w:tcPr>
          <w:p w14:paraId="68DAAB27">
            <w:pPr>
              <w:spacing w:after="0"/>
              <w:jc w:val="center"/>
            </w:pPr>
            <w:r>
              <w:rPr>
                <w:rFonts w:ascii="Times New Roman" w:hAnsi="Times New Roman" w:eastAsia="Times New Roman" w:cs="Times New Roman"/>
                <w:b w:val="0"/>
                <w:bCs w:val="0"/>
                <w:sz w:val="22"/>
                <w:szCs w:val="22"/>
              </w:rPr>
              <w:t>2</w:t>
            </w:r>
          </w:p>
        </w:tc>
      </w:tr>
      <w:tr w14:paraId="25DA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6124A549">
            <w:pPr>
              <w:spacing w:after="0"/>
              <w:jc w:val="left"/>
            </w:pPr>
            <w:r>
              <w:rPr>
                <w:rFonts w:ascii="Times New Roman" w:hAnsi="Times New Roman" w:eastAsia="Times New Roman" w:cs="Times New Roman"/>
                <w:b w:val="0"/>
                <w:bCs w:val="0"/>
                <w:sz w:val="22"/>
                <w:szCs w:val="22"/>
              </w:rPr>
              <w:t>Chediak-Higashi syndrome</w:t>
            </w:r>
          </w:p>
        </w:tc>
        <w:tc>
          <w:tcPr>
            <w:tcBorders>
              <w:top w:val="single" w:color="BFBFBF" w:sz="6" w:space="0"/>
              <w:left w:val="nil"/>
              <w:bottom w:val="nil"/>
              <w:right w:val="nil"/>
            </w:tcBorders>
            <w:tcMar>
              <w:top w:w="70" w:type="dxa"/>
              <w:left w:w="100" w:type="dxa"/>
              <w:bottom w:w="70" w:type="dxa"/>
              <w:right w:w="100" w:type="dxa"/>
            </w:tcMar>
          </w:tcPr>
          <w:p w14:paraId="16A9EBD4">
            <w:pPr>
              <w:spacing w:after="0"/>
              <w:jc w:val="left"/>
            </w:pPr>
            <w:r>
              <w:rPr>
                <w:rFonts w:ascii="Times New Roman" w:hAnsi="Times New Roman" w:eastAsia="Times New Roman" w:cs="Times New Roman"/>
                <w:b w:val="0"/>
                <w:bCs w:val="0"/>
                <w:sz w:val="22"/>
                <w:szCs w:val="22"/>
              </w:rPr>
              <w:t>Diseases of immune dysregulation</w:t>
            </w:r>
          </w:p>
        </w:tc>
        <w:tc>
          <w:tcPr>
            <w:tcBorders>
              <w:top w:val="single" w:color="BFBFBF" w:sz="6" w:space="0"/>
              <w:left w:val="nil"/>
              <w:bottom w:val="nil"/>
              <w:right w:val="nil"/>
            </w:tcBorders>
            <w:tcMar>
              <w:top w:w="70" w:type="dxa"/>
              <w:left w:w="100" w:type="dxa"/>
              <w:bottom w:w="70" w:type="dxa"/>
              <w:right w:w="100" w:type="dxa"/>
            </w:tcMar>
          </w:tcPr>
          <w:p w14:paraId="150E12F2">
            <w:pPr>
              <w:spacing w:after="0"/>
              <w:jc w:val="center"/>
            </w:pPr>
            <w:r>
              <w:rPr>
                <w:rFonts w:ascii="Times New Roman" w:hAnsi="Times New Roman" w:eastAsia="Times New Roman" w:cs="Times New Roman"/>
                <w:b w:val="0"/>
                <w:bCs w:val="0"/>
                <w:sz w:val="22"/>
                <w:szCs w:val="22"/>
              </w:rPr>
              <w:t>2</w:t>
            </w:r>
          </w:p>
        </w:tc>
      </w:tr>
      <w:tr w14:paraId="1DC4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4C52CAB8">
            <w:pPr>
              <w:spacing w:after="0"/>
              <w:jc w:val="left"/>
            </w:pPr>
            <w:r>
              <w:rPr>
                <w:rFonts w:ascii="Times New Roman" w:hAnsi="Times New Roman" w:eastAsia="Times New Roman" w:cs="Times New Roman"/>
                <w:b w:val="0"/>
                <w:bCs w:val="0"/>
                <w:sz w:val="22"/>
                <w:szCs w:val="22"/>
              </w:rPr>
              <w:t>Wiskott-Aldrich syndrome</w:t>
            </w:r>
          </w:p>
        </w:tc>
        <w:tc>
          <w:tcPr>
            <w:tcBorders>
              <w:top w:val="single" w:color="BFBFBF" w:sz="6" w:space="0"/>
              <w:left w:val="nil"/>
              <w:bottom w:val="nil"/>
              <w:right w:val="nil"/>
            </w:tcBorders>
            <w:tcMar>
              <w:top w:w="70" w:type="dxa"/>
              <w:left w:w="100" w:type="dxa"/>
              <w:bottom w:w="70" w:type="dxa"/>
              <w:right w:w="100" w:type="dxa"/>
            </w:tcMar>
          </w:tcPr>
          <w:p w14:paraId="1CF2D129">
            <w:pPr>
              <w:spacing w:after="0"/>
              <w:jc w:val="left"/>
            </w:pPr>
            <w:r>
              <w:rPr>
                <w:rFonts w:ascii="Times New Roman" w:hAnsi="Times New Roman" w:eastAsia="Times New Roman" w:cs="Times New Roman"/>
                <w:b w:val="0"/>
                <w:bCs w:val="0"/>
                <w:sz w:val="22"/>
                <w:szCs w:val="22"/>
              </w:rPr>
              <w:t>CID with syndromic features</w:t>
            </w:r>
          </w:p>
        </w:tc>
        <w:tc>
          <w:tcPr>
            <w:tcBorders>
              <w:top w:val="single" w:color="BFBFBF" w:sz="6" w:space="0"/>
              <w:left w:val="nil"/>
              <w:bottom w:val="nil"/>
              <w:right w:val="nil"/>
            </w:tcBorders>
            <w:tcMar>
              <w:top w:w="70" w:type="dxa"/>
              <w:left w:w="100" w:type="dxa"/>
              <w:bottom w:w="70" w:type="dxa"/>
              <w:right w:w="100" w:type="dxa"/>
            </w:tcMar>
          </w:tcPr>
          <w:p w14:paraId="4BB4D3B3">
            <w:pPr>
              <w:spacing w:after="0"/>
              <w:jc w:val="center"/>
            </w:pPr>
            <w:r>
              <w:rPr>
                <w:rFonts w:ascii="Times New Roman" w:hAnsi="Times New Roman" w:eastAsia="Times New Roman" w:cs="Times New Roman"/>
                <w:b w:val="0"/>
                <w:bCs w:val="0"/>
                <w:sz w:val="22"/>
                <w:szCs w:val="22"/>
              </w:rPr>
              <w:t>2</w:t>
            </w:r>
          </w:p>
        </w:tc>
      </w:tr>
      <w:tr w14:paraId="32E8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7A9BA2AD">
            <w:pPr>
              <w:spacing w:after="0"/>
              <w:jc w:val="left"/>
            </w:pPr>
            <w:r>
              <w:rPr>
                <w:rFonts w:ascii="Times New Roman" w:hAnsi="Times New Roman" w:eastAsia="Times New Roman" w:cs="Times New Roman"/>
                <w:b w:val="0"/>
                <w:bCs w:val="0"/>
                <w:sz w:val="22"/>
                <w:szCs w:val="22"/>
              </w:rPr>
              <w:t>Antibody deficiency</w:t>
            </w:r>
          </w:p>
        </w:tc>
        <w:tc>
          <w:tcPr>
            <w:tcBorders>
              <w:top w:val="single" w:color="BFBFBF" w:sz="6" w:space="0"/>
              <w:left w:val="nil"/>
              <w:bottom w:val="nil"/>
              <w:right w:val="nil"/>
            </w:tcBorders>
            <w:tcMar>
              <w:top w:w="70" w:type="dxa"/>
              <w:left w:w="100" w:type="dxa"/>
              <w:bottom w:w="70" w:type="dxa"/>
              <w:right w:w="100" w:type="dxa"/>
            </w:tcMar>
          </w:tcPr>
          <w:p w14:paraId="5BDC606D">
            <w:pPr>
              <w:spacing w:after="0"/>
              <w:jc w:val="left"/>
            </w:pPr>
            <w:r>
              <w:rPr>
                <w:rFonts w:ascii="Times New Roman" w:hAnsi="Times New Roman" w:eastAsia="Times New Roman" w:cs="Times New Roman"/>
                <w:b w:val="0"/>
                <w:bCs w:val="0"/>
                <w:sz w:val="22"/>
                <w:szCs w:val="22"/>
              </w:rPr>
              <w:t>Predominantly antibody deficiencies</w:t>
            </w:r>
          </w:p>
        </w:tc>
        <w:tc>
          <w:tcPr>
            <w:tcBorders>
              <w:top w:val="single" w:color="BFBFBF" w:sz="6" w:space="0"/>
              <w:left w:val="nil"/>
              <w:bottom w:val="nil"/>
              <w:right w:val="nil"/>
            </w:tcBorders>
            <w:tcMar>
              <w:top w:w="70" w:type="dxa"/>
              <w:left w:w="100" w:type="dxa"/>
              <w:bottom w:w="70" w:type="dxa"/>
              <w:right w:w="100" w:type="dxa"/>
            </w:tcMar>
          </w:tcPr>
          <w:p w14:paraId="32C58474">
            <w:pPr>
              <w:spacing w:after="0"/>
              <w:jc w:val="center"/>
            </w:pPr>
            <w:r>
              <w:rPr>
                <w:rFonts w:ascii="Times New Roman" w:hAnsi="Times New Roman" w:eastAsia="Times New Roman" w:cs="Times New Roman"/>
                <w:b w:val="0"/>
                <w:bCs w:val="0"/>
                <w:sz w:val="22"/>
                <w:szCs w:val="22"/>
              </w:rPr>
              <w:t>6</w:t>
            </w:r>
          </w:p>
        </w:tc>
      </w:tr>
      <w:tr w14:paraId="4B65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03342217">
            <w:pPr>
              <w:spacing w:after="0"/>
              <w:jc w:val="left"/>
            </w:pPr>
            <w:r>
              <w:rPr>
                <w:rFonts w:ascii="Times New Roman" w:hAnsi="Times New Roman" w:eastAsia="Times New Roman" w:cs="Times New Roman"/>
                <w:b w:val="0"/>
                <w:bCs w:val="0"/>
                <w:sz w:val="22"/>
                <w:szCs w:val="22"/>
              </w:rPr>
              <w:t>Hereditary angioedema</w:t>
            </w:r>
          </w:p>
        </w:tc>
        <w:tc>
          <w:tcPr>
            <w:tcBorders>
              <w:top w:val="single" w:color="BFBFBF" w:sz="6" w:space="0"/>
              <w:left w:val="nil"/>
              <w:bottom w:val="nil"/>
              <w:right w:val="nil"/>
            </w:tcBorders>
            <w:tcMar>
              <w:top w:w="70" w:type="dxa"/>
              <w:left w:w="100" w:type="dxa"/>
              <w:bottom w:w="70" w:type="dxa"/>
              <w:right w:w="100" w:type="dxa"/>
            </w:tcMar>
          </w:tcPr>
          <w:p w14:paraId="24051E3E">
            <w:pPr>
              <w:spacing w:after="0"/>
              <w:jc w:val="left"/>
            </w:pPr>
            <w:r>
              <w:rPr>
                <w:rFonts w:ascii="Times New Roman" w:hAnsi="Times New Roman" w:eastAsia="Times New Roman" w:cs="Times New Roman"/>
                <w:b w:val="0"/>
                <w:bCs w:val="0"/>
                <w:sz w:val="22"/>
                <w:szCs w:val="22"/>
              </w:rPr>
              <w:t>Complement deficiencies</w:t>
            </w:r>
          </w:p>
        </w:tc>
        <w:tc>
          <w:tcPr>
            <w:tcBorders>
              <w:top w:val="single" w:color="BFBFBF" w:sz="6" w:space="0"/>
              <w:left w:val="nil"/>
              <w:bottom w:val="nil"/>
              <w:right w:val="nil"/>
            </w:tcBorders>
            <w:tcMar>
              <w:top w:w="70" w:type="dxa"/>
              <w:left w:w="100" w:type="dxa"/>
              <w:bottom w:w="70" w:type="dxa"/>
              <w:right w:w="100" w:type="dxa"/>
            </w:tcMar>
          </w:tcPr>
          <w:p w14:paraId="4923365D">
            <w:pPr>
              <w:spacing w:after="0"/>
              <w:jc w:val="center"/>
            </w:pPr>
            <w:r>
              <w:rPr>
                <w:rFonts w:ascii="Times New Roman" w:hAnsi="Times New Roman" w:eastAsia="Times New Roman" w:cs="Times New Roman"/>
                <w:b w:val="0"/>
                <w:bCs w:val="0"/>
                <w:sz w:val="22"/>
                <w:szCs w:val="22"/>
              </w:rPr>
              <w:t>1</w:t>
            </w:r>
          </w:p>
        </w:tc>
      </w:tr>
      <w:tr w14:paraId="49C8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67A8CAF7">
            <w:pPr>
              <w:spacing w:after="0"/>
              <w:jc w:val="left"/>
            </w:pPr>
            <w:r>
              <w:rPr>
                <w:rFonts w:ascii="Times New Roman" w:hAnsi="Times New Roman" w:eastAsia="Times New Roman" w:cs="Times New Roman"/>
                <w:b w:val="0"/>
                <w:bCs w:val="0"/>
                <w:sz w:val="22"/>
                <w:szCs w:val="22"/>
              </w:rPr>
              <w:t>DOCK8 deficiency</w:t>
            </w:r>
          </w:p>
        </w:tc>
        <w:tc>
          <w:tcPr>
            <w:tcBorders>
              <w:top w:val="single" w:color="BFBFBF" w:sz="6" w:space="0"/>
              <w:left w:val="nil"/>
              <w:bottom w:val="nil"/>
              <w:right w:val="nil"/>
            </w:tcBorders>
            <w:tcMar>
              <w:top w:w="70" w:type="dxa"/>
              <w:left w:w="100" w:type="dxa"/>
              <w:bottom w:w="70" w:type="dxa"/>
              <w:right w:w="100" w:type="dxa"/>
            </w:tcMar>
          </w:tcPr>
          <w:p w14:paraId="7CDCCEAE">
            <w:pPr>
              <w:spacing w:after="0"/>
              <w:jc w:val="left"/>
            </w:pPr>
            <w:r>
              <w:rPr>
                <w:rFonts w:ascii="Times New Roman" w:hAnsi="Times New Roman" w:eastAsia="Times New Roman" w:cs="Times New Roman"/>
                <w:b w:val="0"/>
                <w:bCs w:val="0"/>
                <w:sz w:val="22"/>
                <w:szCs w:val="22"/>
              </w:rPr>
              <w:t>Combined immunodeficiencies</w:t>
            </w:r>
          </w:p>
        </w:tc>
        <w:tc>
          <w:tcPr>
            <w:tcBorders>
              <w:top w:val="single" w:color="BFBFBF" w:sz="6" w:space="0"/>
              <w:left w:val="nil"/>
              <w:bottom w:val="nil"/>
              <w:right w:val="nil"/>
            </w:tcBorders>
            <w:tcMar>
              <w:top w:w="70" w:type="dxa"/>
              <w:left w:w="100" w:type="dxa"/>
              <w:bottom w:w="70" w:type="dxa"/>
              <w:right w:w="100" w:type="dxa"/>
            </w:tcMar>
          </w:tcPr>
          <w:p w14:paraId="6680D3F2">
            <w:pPr>
              <w:spacing w:after="0"/>
              <w:jc w:val="center"/>
            </w:pPr>
            <w:r>
              <w:rPr>
                <w:rFonts w:ascii="Times New Roman" w:hAnsi="Times New Roman" w:eastAsia="Times New Roman" w:cs="Times New Roman"/>
                <w:b w:val="0"/>
                <w:bCs w:val="0"/>
                <w:sz w:val="22"/>
                <w:szCs w:val="22"/>
              </w:rPr>
              <w:t>1</w:t>
            </w:r>
          </w:p>
        </w:tc>
      </w:tr>
      <w:tr w14:paraId="346B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single" w:color="000000" w:sz="12" w:space="0"/>
              <w:right w:val="nil"/>
            </w:tcBorders>
            <w:tcMar>
              <w:top w:w="70" w:type="dxa"/>
              <w:left w:w="100" w:type="dxa"/>
              <w:bottom w:w="70" w:type="dxa"/>
              <w:right w:w="100" w:type="dxa"/>
            </w:tcMar>
          </w:tcPr>
          <w:p w14:paraId="589396B5">
            <w:pPr>
              <w:spacing w:after="0"/>
              <w:jc w:val="left"/>
            </w:pPr>
            <w:r>
              <w:rPr>
                <w:rFonts w:ascii="Times New Roman" w:hAnsi="Times New Roman" w:eastAsia="Times New Roman" w:cs="Times New Roman"/>
                <w:b w:val="0"/>
                <w:bCs w:val="0"/>
                <w:sz w:val="22"/>
                <w:szCs w:val="22"/>
              </w:rPr>
              <w:t>Other single cases</w:t>
            </w:r>
          </w:p>
        </w:tc>
        <w:tc>
          <w:tcPr>
            <w:tcBorders>
              <w:top w:val="nil"/>
              <w:left w:val="nil"/>
              <w:bottom w:val="single" w:color="000000" w:sz="12" w:space="0"/>
              <w:right w:val="nil"/>
            </w:tcBorders>
            <w:tcMar>
              <w:top w:w="70" w:type="dxa"/>
              <w:left w:w="100" w:type="dxa"/>
              <w:bottom w:w="70" w:type="dxa"/>
              <w:right w:w="100" w:type="dxa"/>
            </w:tcMar>
          </w:tcPr>
          <w:p w14:paraId="2E76D092">
            <w:pPr>
              <w:spacing w:after="0"/>
              <w:jc w:val="left"/>
            </w:pPr>
            <w:r>
              <w:rPr>
                <w:rFonts w:ascii="Times New Roman" w:hAnsi="Times New Roman" w:eastAsia="Times New Roman" w:cs="Times New Roman"/>
                <w:b w:val="0"/>
                <w:bCs w:val="0"/>
                <w:sz w:val="22"/>
                <w:szCs w:val="22"/>
              </w:rPr>
              <w:t>Various</w:t>
            </w:r>
          </w:p>
        </w:tc>
        <w:tc>
          <w:tcPr>
            <w:tcBorders>
              <w:top w:val="nil"/>
              <w:left w:val="nil"/>
              <w:bottom w:val="single" w:color="000000" w:sz="12" w:space="0"/>
              <w:right w:val="nil"/>
            </w:tcBorders>
            <w:tcMar>
              <w:top w:w="70" w:type="dxa"/>
              <w:left w:w="100" w:type="dxa"/>
              <w:bottom w:w="70" w:type="dxa"/>
              <w:right w:w="100" w:type="dxa"/>
            </w:tcMar>
          </w:tcPr>
          <w:p w14:paraId="3D7B70CD">
            <w:pPr>
              <w:spacing w:after="0"/>
              <w:jc w:val="center"/>
            </w:pPr>
            <w:r>
              <w:rPr>
                <w:rFonts w:ascii="Times New Roman" w:hAnsi="Times New Roman" w:eastAsia="Times New Roman" w:cs="Times New Roman"/>
                <w:b w:val="0"/>
                <w:bCs w:val="0"/>
                <w:sz w:val="22"/>
                <w:szCs w:val="22"/>
              </w:rPr>
              <w:t>22</w:t>
            </w:r>
          </w:p>
        </w:tc>
      </w:tr>
    </w:tbl>
    <w:p w14:paraId="387EC027">
      <w:pPr>
        <w:spacing w:before="40" w:after="240"/>
      </w:pPr>
      <w:r>
        <w:rPr>
          <w:rFonts w:ascii="Times New Roman" w:hAnsi="Times New Roman" w:eastAsia="Times New Roman" w:cs="Times New Roman"/>
          <w:color w:val="595959"/>
          <w:sz w:val="20"/>
          <w:szCs w:val="20"/>
        </w:rPr>
        <w:t>Diagnoses are grouped by canonical name after standardisation of free-text entries. Other single cases includes IPEX, MSMD, and various single-case syndromic forms.</w:t>
      </w:r>
    </w:p>
    <w:p w14:paraId="385E3AFC">
      <w:pPr>
        <w:spacing w:before="320" w:after="120"/>
        <w:rPr>
          <w:rFonts w:ascii="Times New Roman" w:hAnsi="Times New Roman" w:eastAsia="Times New Roman" w:cs="Times New Roman"/>
          <w:b/>
          <w:bCs/>
          <w:color w:val="1F4E79"/>
          <w:sz w:val="28"/>
          <w:szCs w:val="28"/>
        </w:rPr>
      </w:pPr>
    </w:p>
    <w:p w14:paraId="5A95A761">
      <w:pPr>
        <w:spacing w:before="200" w:after="80"/>
      </w:pPr>
      <w:r>
        <w:rPr>
          <w:rFonts w:ascii="Times New Roman" w:hAnsi="Times New Roman" w:eastAsia="Times New Roman" w:cs="Times New Roman"/>
          <w:b/>
          <w:bCs/>
          <w:sz w:val="24"/>
          <w:szCs w:val="24"/>
        </w:rPr>
        <w:t>Table S</w:t>
      </w:r>
      <w:r>
        <w:rPr>
          <w:rFonts w:hint="default" w:cs="Times New Roman"/>
          <w:b/>
          <w:bCs/>
          <w:sz w:val="24"/>
          <w:szCs w:val="24"/>
          <w:lang w:val="en-US"/>
        </w:rPr>
        <w:t>2</w:t>
      </w:r>
      <w:r>
        <w:rPr>
          <w:rFonts w:ascii="Times New Roman" w:hAnsi="Times New Roman" w:eastAsia="Times New Roman" w:cs="Times New Roman"/>
          <w:b/>
          <w:bCs/>
          <w:sz w:val="24"/>
          <w:szCs w:val="24"/>
        </w:rPr>
        <w:t>. Detailed prevalence of clinical manifestations.</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342"/>
        <w:gridCol w:w="1377"/>
        <w:gridCol w:w="2298"/>
        <w:gridCol w:w="929"/>
      </w:tblGrid>
      <w:tr w14:paraId="3622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000000" w:sz="12" w:space="0"/>
              <w:left w:val="nil"/>
              <w:bottom w:val="nil"/>
              <w:right w:val="nil"/>
            </w:tcBorders>
            <w:tcMar>
              <w:top w:w="70" w:type="dxa"/>
              <w:left w:w="100" w:type="dxa"/>
              <w:bottom w:w="70" w:type="dxa"/>
              <w:right w:w="100" w:type="dxa"/>
            </w:tcMar>
          </w:tcPr>
          <w:p w14:paraId="1F735FF2">
            <w:pPr>
              <w:spacing w:after="0"/>
              <w:jc w:val="left"/>
            </w:pPr>
            <w:r>
              <w:rPr>
                <w:rFonts w:ascii="Times New Roman" w:hAnsi="Times New Roman" w:eastAsia="Times New Roman" w:cs="Times New Roman"/>
                <w:b/>
                <w:bCs/>
                <w:sz w:val="22"/>
                <w:szCs w:val="22"/>
              </w:rPr>
              <w:t>Manifestation</w:t>
            </w:r>
          </w:p>
        </w:tc>
        <w:tc>
          <w:tcPr>
            <w:tcBorders>
              <w:top w:val="single" w:color="000000" w:sz="12" w:space="0"/>
              <w:left w:val="nil"/>
              <w:bottom w:val="nil"/>
              <w:right w:val="nil"/>
            </w:tcBorders>
            <w:tcMar>
              <w:top w:w="70" w:type="dxa"/>
              <w:left w:w="100" w:type="dxa"/>
              <w:bottom w:w="70" w:type="dxa"/>
              <w:right w:w="100" w:type="dxa"/>
            </w:tcMar>
          </w:tcPr>
          <w:p w14:paraId="01E91265">
            <w:pPr>
              <w:spacing w:after="0"/>
              <w:jc w:val="center"/>
            </w:pPr>
            <w:r>
              <w:rPr>
                <w:rFonts w:ascii="Times New Roman" w:hAnsi="Times New Roman" w:eastAsia="Times New Roman" w:cs="Times New Roman"/>
                <w:b/>
                <w:bCs/>
                <w:sz w:val="22"/>
                <w:szCs w:val="22"/>
              </w:rPr>
              <w:t>n (Yes)</w:t>
            </w:r>
          </w:p>
        </w:tc>
        <w:tc>
          <w:tcPr>
            <w:tcBorders>
              <w:top w:val="single" w:color="000000" w:sz="12" w:space="0"/>
              <w:left w:val="nil"/>
              <w:bottom w:val="nil"/>
              <w:right w:val="nil"/>
            </w:tcBorders>
            <w:tcMar>
              <w:top w:w="70" w:type="dxa"/>
              <w:left w:w="100" w:type="dxa"/>
              <w:bottom w:w="70" w:type="dxa"/>
              <w:right w:w="100" w:type="dxa"/>
            </w:tcMar>
          </w:tcPr>
          <w:p w14:paraId="17889682">
            <w:pPr>
              <w:spacing w:after="0"/>
              <w:jc w:val="center"/>
            </w:pPr>
            <w:r>
              <w:rPr>
                <w:rFonts w:ascii="Times New Roman" w:hAnsi="Times New Roman" w:eastAsia="Times New Roman" w:cs="Times New Roman"/>
                <w:b/>
                <w:bCs/>
                <w:sz w:val="22"/>
                <w:szCs w:val="22"/>
              </w:rPr>
              <w:t>N (with data)</w:t>
            </w:r>
          </w:p>
        </w:tc>
        <w:tc>
          <w:tcPr>
            <w:tcBorders>
              <w:top w:val="single" w:color="000000" w:sz="12" w:space="0"/>
              <w:left w:val="nil"/>
              <w:bottom w:val="nil"/>
              <w:right w:val="nil"/>
            </w:tcBorders>
            <w:tcMar>
              <w:top w:w="70" w:type="dxa"/>
              <w:left w:w="100" w:type="dxa"/>
              <w:bottom w:w="70" w:type="dxa"/>
              <w:right w:w="100" w:type="dxa"/>
            </w:tcMar>
          </w:tcPr>
          <w:p w14:paraId="23A96344">
            <w:pPr>
              <w:spacing w:after="0"/>
              <w:jc w:val="center"/>
            </w:pPr>
            <w:r>
              <w:rPr>
                <w:rFonts w:ascii="Times New Roman" w:hAnsi="Times New Roman" w:eastAsia="Times New Roman" w:cs="Times New Roman"/>
                <w:b/>
                <w:bCs/>
                <w:sz w:val="22"/>
                <w:szCs w:val="22"/>
              </w:rPr>
              <w:t>%</w:t>
            </w:r>
          </w:p>
        </w:tc>
      </w:tr>
      <w:tr w14:paraId="7845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5617C611">
            <w:pPr>
              <w:spacing w:after="0"/>
              <w:jc w:val="left"/>
            </w:pPr>
            <w:r>
              <w:rPr>
                <w:rFonts w:ascii="Times New Roman" w:hAnsi="Times New Roman" w:eastAsia="Times New Roman" w:cs="Times New Roman"/>
                <w:b w:val="0"/>
                <w:bCs w:val="0"/>
                <w:sz w:val="22"/>
                <w:szCs w:val="22"/>
              </w:rPr>
              <w:t>Recurrent fever</w:t>
            </w:r>
          </w:p>
        </w:tc>
        <w:tc>
          <w:tcPr>
            <w:tcBorders>
              <w:top w:val="single" w:color="BFBFBF" w:sz="6" w:space="0"/>
              <w:left w:val="nil"/>
              <w:bottom w:val="nil"/>
              <w:right w:val="nil"/>
            </w:tcBorders>
            <w:tcMar>
              <w:top w:w="70" w:type="dxa"/>
              <w:left w:w="100" w:type="dxa"/>
              <w:bottom w:w="70" w:type="dxa"/>
              <w:right w:w="100" w:type="dxa"/>
            </w:tcMar>
          </w:tcPr>
          <w:p w14:paraId="6B589B94">
            <w:pPr>
              <w:spacing w:after="0"/>
              <w:jc w:val="center"/>
            </w:pPr>
            <w:r>
              <w:rPr>
                <w:rFonts w:ascii="Times New Roman" w:hAnsi="Times New Roman" w:eastAsia="Times New Roman" w:cs="Times New Roman"/>
                <w:b w:val="0"/>
                <w:bCs w:val="0"/>
                <w:sz w:val="22"/>
                <w:szCs w:val="22"/>
              </w:rPr>
              <w:t>61</w:t>
            </w:r>
          </w:p>
        </w:tc>
        <w:tc>
          <w:tcPr>
            <w:tcBorders>
              <w:top w:val="single" w:color="BFBFBF" w:sz="6" w:space="0"/>
              <w:left w:val="nil"/>
              <w:bottom w:val="nil"/>
              <w:right w:val="nil"/>
            </w:tcBorders>
            <w:tcMar>
              <w:top w:w="70" w:type="dxa"/>
              <w:left w:w="100" w:type="dxa"/>
              <w:bottom w:w="70" w:type="dxa"/>
              <w:right w:w="100" w:type="dxa"/>
            </w:tcMar>
          </w:tcPr>
          <w:p w14:paraId="533D6174">
            <w:pPr>
              <w:spacing w:after="0"/>
              <w:jc w:val="center"/>
            </w:pPr>
            <w:r>
              <w:rPr>
                <w:rFonts w:ascii="Times New Roman" w:hAnsi="Times New Roman" w:eastAsia="Times New Roman" w:cs="Times New Roman"/>
                <w:b w:val="0"/>
                <w:bCs w:val="0"/>
                <w:sz w:val="22"/>
                <w:szCs w:val="22"/>
              </w:rPr>
              <w:t>91</w:t>
            </w:r>
          </w:p>
        </w:tc>
        <w:tc>
          <w:tcPr>
            <w:tcBorders>
              <w:top w:val="single" w:color="BFBFBF" w:sz="6" w:space="0"/>
              <w:left w:val="nil"/>
              <w:bottom w:val="nil"/>
              <w:right w:val="nil"/>
            </w:tcBorders>
            <w:tcMar>
              <w:top w:w="70" w:type="dxa"/>
              <w:left w:w="100" w:type="dxa"/>
              <w:bottom w:w="70" w:type="dxa"/>
              <w:right w:w="100" w:type="dxa"/>
            </w:tcMar>
          </w:tcPr>
          <w:p w14:paraId="4F6C0B01">
            <w:pPr>
              <w:spacing w:after="0"/>
              <w:jc w:val="center"/>
            </w:pPr>
            <w:r>
              <w:rPr>
                <w:rFonts w:ascii="Times New Roman" w:hAnsi="Times New Roman" w:eastAsia="Times New Roman" w:cs="Times New Roman"/>
                <w:b w:val="0"/>
                <w:bCs w:val="0"/>
                <w:sz w:val="22"/>
                <w:szCs w:val="22"/>
              </w:rPr>
              <w:t>67.0</w:t>
            </w:r>
          </w:p>
        </w:tc>
      </w:tr>
      <w:tr w14:paraId="3C35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79EC57FA">
            <w:pPr>
              <w:spacing w:after="0"/>
              <w:jc w:val="left"/>
            </w:pPr>
            <w:r>
              <w:rPr>
                <w:rFonts w:ascii="Times New Roman" w:hAnsi="Times New Roman" w:eastAsia="Times New Roman" w:cs="Times New Roman"/>
                <w:b w:val="0"/>
                <w:bCs w:val="0"/>
                <w:sz w:val="22"/>
                <w:szCs w:val="22"/>
              </w:rPr>
              <w:t>Failure to thrive</w:t>
            </w:r>
          </w:p>
        </w:tc>
        <w:tc>
          <w:tcPr>
            <w:tcBorders>
              <w:top w:val="single" w:color="BFBFBF" w:sz="6" w:space="0"/>
              <w:left w:val="nil"/>
              <w:bottom w:val="nil"/>
              <w:right w:val="nil"/>
            </w:tcBorders>
            <w:tcMar>
              <w:top w:w="70" w:type="dxa"/>
              <w:left w:w="100" w:type="dxa"/>
              <w:bottom w:w="70" w:type="dxa"/>
              <w:right w:w="100" w:type="dxa"/>
            </w:tcMar>
          </w:tcPr>
          <w:p w14:paraId="641809F4">
            <w:pPr>
              <w:spacing w:after="0"/>
              <w:jc w:val="center"/>
            </w:pPr>
            <w:r>
              <w:rPr>
                <w:rFonts w:ascii="Times New Roman" w:hAnsi="Times New Roman" w:eastAsia="Times New Roman" w:cs="Times New Roman"/>
                <w:b w:val="0"/>
                <w:bCs w:val="0"/>
                <w:sz w:val="22"/>
                <w:szCs w:val="22"/>
              </w:rPr>
              <w:t>62</w:t>
            </w:r>
          </w:p>
        </w:tc>
        <w:tc>
          <w:tcPr>
            <w:tcBorders>
              <w:top w:val="single" w:color="BFBFBF" w:sz="6" w:space="0"/>
              <w:left w:val="nil"/>
              <w:bottom w:val="nil"/>
              <w:right w:val="nil"/>
            </w:tcBorders>
            <w:tcMar>
              <w:top w:w="70" w:type="dxa"/>
              <w:left w:w="100" w:type="dxa"/>
              <w:bottom w:w="70" w:type="dxa"/>
              <w:right w:w="100" w:type="dxa"/>
            </w:tcMar>
          </w:tcPr>
          <w:p w14:paraId="57630F79">
            <w:pPr>
              <w:spacing w:after="0"/>
              <w:jc w:val="center"/>
            </w:pPr>
            <w:r>
              <w:rPr>
                <w:rFonts w:ascii="Times New Roman" w:hAnsi="Times New Roman" w:eastAsia="Times New Roman" w:cs="Times New Roman"/>
                <w:b w:val="0"/>
                <w:bCs w:val="0"/>
                <w:sz w:val="22"/>
                <w:szCs w:val="22"/>
              </w:rPr>
              <w:t>95</w:t>
            </w:r>
          </w:p>
        </w:tc>
        <w:tc>
          <w:tcPr>
            <w:tcBorders>
              <w:top w:val="single" w:color="BFBFBF" w:sz="6" w:space="0"/>
              <w:left w:val="nil"/>
              <w:bottom w:val="nil"/>
              <w:right w:val="nil"/>
            </w:tcBorders>
            <w:tcMar>
              <w:top w:w="70" w:type="dxa"/>
              <w:left w:w="100" w:type="dxa"/>
              <w:bottom w:w="70" w:type="dxa"/>
              <w:right w:w="100" w:type="dxa"/>
            </w:tcMar>
          </w:tcPr>
          <w:p w14:paraId="083405AE">
            <w:pPr>
              <w:spacing w:after="0"/>
              <w:jc w:val="center"/>
            </w:pPr>
            <w:r>
              <w:rPr>
                <w:rFonts w:ascii="Times New Roman" w:hAnsi="Times New Roman" w:eastAsia="Times New Roman" w:cs="Times New Roman"/>
                <w:b w:val="0"/>
                <w:bCs w:val="0"/>
                <w:sz w:val="22"/>
                <w:szCs w:val="22"/>
              </w:rPr>
              <w:t>65.3</w:t>
            </w:r>
          </w:p>
        </w:tc>
      </w:tr>
      <w:tr w14:paraId="7EB5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2F9BA83B">
            <w:pPr>
              <w:spacing w:after="0"/>
              <w:jc w:val="left"/>
            </w:pPr>
            <w:r>
              <w:rPr>
                <w:rFonts w:ascii="Times New Roman" w:hAnsi="Times New Roman" w:eastAsia="Times New Roman" w:cs="Times New Roman"/>
                <w:b w:val="0"/>
                <w:bCs w:val="0"/>
                <w:sz w:val="22"/>
                <w:szCs w:val="22"/>
              </w:rPr>
              <w:t>Recurrent sinopulmonary infections</w:t>
            </w:r>
          </w:p>
        </w:tc>
        <w:tc>
          <w:tcPr>
            <w:tcBorders>
              <w:top w:val="single" w:color="BFBFBF" w:sz="6" w:space="0"/>
              <w:left w:val="nil"/>
              <w:bottom w:val="nil"/>
              <w:right w:val="nil"/>
            </w:tcBorders>
            <w:tcMar>
              <w:top w:w="70" w:type="dxa"/>
              <w:left w:w="100" w:type="dxa"/>
              <w:bottom w:w="70" w:type="dxa"/>
              <w:right w:w="100" w:type="dxa"/>
            </w:tcMar>
          </w:tcPr>
          <w:p w14:paraId="01ED71F5">
            <w:pPr>
              <w:spacing w:after="0"/>
              <w:jc w:val="center"/>
            </w:pPr>
            <w:r>
              <w:rPr>
                <w:rFonts w:ascii="Times New Roman" w:hAnsi="Times New Roman" w:eastAsia="Times New Roman" w:cs="Times New Roman"/>
                <w:b w:val="0"/>
                <w:bCs w:val="0"/>
                <w:sz w:val="22"/>
                <w:szCs w:val="22"/>
              </w:rPr>
              <w:t>42</w:t>
            </w:r>
          </w:p>
        </w:tc>
        <w:tc>
          <w:tcPr>
            <w:tcBorders>
              <w:top w:val="single" w:color="BFBFBF" w:sz="6" w:space="0"/>
              <w:left w:val="nil"/>
              <w:bottom w:val="nil"/>
              <w:right w:val="nil"/>
            </w:tcBorders>
            <w:tcMar>
              <w:top w:w="70" w:type="dxa"/>
              <w:left w:w="100" w:type="dxa"/>
              <w:bottom w:w="70" w:type="dxa"/>
              <w:right w:w="100" w:type="dxa"/>
            </w:tcMar>
          </w:tcPr>
          <w:p w14:paraId="3CD77558">
            <w:pPr>
              <w:spacing w:after="0"/>
              <w:jc w:val="center"/>
            </w:pPr>
            <w:r>
              <w:rPr>
                <w:rFonts w:ascii="Times New Roman" w:hAnsi="Times New Roman" w:eastAsia="Times New Roman" w:cs="Times New Roman"/>
                <w:b w:val="0"/>
                <w:bCs w:val="0"/>
                <w:sz w:val="22"/>
                <w:szCs w:val="22"/>
              </w:rPr>
              <w:t>77</w:t>
            </w:r>
          </w:p>
        </w:tc>
        <w:tc>
          <w:tcPr>
            <w:tcBorders>
              <w:top w:val="single" w:color="BFBFBF" w:sz="6" w:space="0"/>
              <w:left w:val="nil"/>
              <w:bottom w:val="nil"/>
              <w:right w:val="nil"/>
            </w:tcBorders>
            <w:tcMar>
              <w:top w:w="70" w:type="dxa"/>
              <w:left w:w="100" w:type="dxa"/>
              <w:bottom w:w="70" w:type="dxa"/>
              <w:right w:w="100" w:type="dxa"/>
            </w:tcMar>
          </w:tcPr>
          <w:p w14:paraId="05330CE1">
            <w:pPr>
              <w:spacing w:after="0"/>
              <w:jc w:val="center"/>
            </w:pPr>
            <w:r>
              <w:rPr>
                <w:rFonts w:ascii="Times New Roman" w:hAnsi="Times New Roman" w:eastAsia="Times New Roman" w:cs="Times New Roman"/>
                <w:b w:val="0"/>
                <w:bCs w:val="0"/>
                <w:sz w:val="22"/>
                <w:szCs w:val="22"/>
              </w:rPr>
              <w:t>54.5</w:t>
            </w:r>
          </w:p>
        </w:tc>
      </w:tr>
      <w:tr w14:paraId="6AD3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5EE61FAD">
            <w:pPr>
              <w:spacing w:after="0"/>
              <w:jc w:val="left"/>
            </w:pPr>
            <w:r>
              <w:rPr>
                <w:rFonts w:ascii="Times New Roman" w:hAnsi="Times New Roman" w:eastAsia="Times New Roman" w:cs="Times New Roman"/>
                <w:b w:val="0"/>
                <w:bCs w:val="0"/>
                <w:sz w:val="22"/>
                <w:szCs w:val="22"/>
              </w:rPr>
              <w:t>GI symptoms or chronic diarrhoea</w:t>
            </w:r>
          </w:p>
        </w:tc>
        <w:tc>
          <w:tcPr>
            <w:tcBorders>
              <w:top w:val="single" w:color="BFBFBF" w:sz="6" w:space="0"/>
              <w:left w:val="nil"/>
              <w:bottom w:val="nil"/>
              <w:right w:val="nil"/>
            </w:tcBorders>
            <w:tcMar>
              <w:top w:w="70" w:type="dxa"/>
              <w:left w:w="100" w:type="dxa"/>
              <w:bottom w:w="70" w:type="dxa"/>
              <w:right w:w="100" w:type="dxa"/>
            </w:tcMar>
          </w:tcPr>
          <w:p w14:paraId="65E778BA">
            <w:pPr>
              <w:spacing w:after="0"/>
              <w:jc w:val="center"/>
            </w:pPr>
            <w:r>
              <w:rPr>
                <w:rFonts w:ascii="Times New Roman" w:hAnsi="Times New Roman" w:eastAsia="Times New Roman" w:cs="Times New Roman"/>
                <w:b w:val="0"/>
                <w:bCs w:val="0"/>
                <w:sz w:val="22"/>
                <w:szCs w:val="22"/>
              </w:rPr>
              <w:t>46</w:t>
            </w:r>
          </w:p>
        </w:tc>
        <w:tc>
          <w:tcPr>
            <w:tcBorders>
              <w:top w:val="single" w:color="BFBFBF" w:sz="6" w:space="0"/>
              <w:left w:val="nil"/>
              <w:bottom w:val="nil"/>
              <w:right w:val="nil"/>
            </w:tcBorders>
            <w:tcMar>
              <w:top w:w="70" w:type="dxa"/>
              <w:left w:w="100" w:type="dxa"/>
              <w:bottom w:w="70" w:type="dxa"/>
              <w:right w:w="100" w:type="dxa"/>
            </w:tcMar>
          </w:tcPr>
          <w:p w14:paraId="45E57878">
            <w:pPr>
              <w:spacing w:after="0"/>
              <w:jc w:val="center"/>
            </w:pPr>
            <w:r>
              <w:rPr>
                <w:rFonts w:ascii="Times New Roman" w:hAnsi="Times New Roman" w:eastAsia="Times New Roman" w:cs="Times New Roman"/>
                <w:b w:val="0"/>
                <w:bCs w:val="0"/>
                <w:sz w:val="22"/>
                <w:szCs w:val="22"/>
              </w:rPr>
              <w:t>91</w:t>
            </w:r>
          </w:p>
        </w:tc>
        <w:tc>
          <w:tcPr>
            <w:tcBorders>
              <w:top w:val="single" w:color="BFBFBF" w:sz="6" w:space="0"/>
              <w:left w:val="nil"/>
              <w:bottom w:val="nil"/>
              <w:right w:val="nil"/>
            </w:tcBorders>
            <w:tcMar>
              <w:top w:w="70" w:type="dxa"/>
              <w:left w:w="100" w:type="dxa"/>
              <w:bottom w:w="70" w:type="dxa"/>
              <w:right w:w="100" w:type="dxa"/>
            </w:tcMar>
          </w:tcPr>
          <w:p w14:paraId="2C94D727">
            <w:pPr>
              <w:spacing w:after="0"/>
              <w:jc w:val="center"/>
            </w:pPr>
            <w:r>
              <w:rPr>
                <w:rFonts w:ascii="Times New Roman" w:hAnsi="Times New Roman" w:eastAsia="Times New Roman" w:cs="Times New Roman"/>
                <w:b w:val="0"/>
                <w:bCs w:val="0"/>
                <w:sz w:val="22"/>
                <w:szCs w:val="22"/>
              </w:rPr>
              <w:t>50.5</w:t>
            </w:r>
          </w:p>
        </w:tc>
      </w:tr>
      <w:tr w14:paraId="2914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45D33443">
            <w:pPr>
              <w:spacing w:after="0"/>
              <w:jc w:val="left"/>
            </w:pPr>
            <w:r>
              <w:rPr>
                <w:rFonts w:ascii="Times New Roman" w:hAnsi="Times New Roman" w:eastAsia="Times New Roman" w:cs="Times New Roman"/>
                <w:b w:val="0"/>
                <w:bCs w:val="0"/>
                <w:sz w:val="22"/>
                <w:szCs w:val="22"/>
              </w:rPr>
              <w:t>Bacteraemia or sepsis</w:t>
            </w:r>
          </w:p>
        </w:tc>
        <w:tc>
          <w:tcPr>
            <w:tcBorders>
              <w:top w:val="single" w:color="BFBFBF" w:sz="6" w:space="0"/>
              <w:left w:val="nil"/>
              <w:bottom w:val="nil"/>
              <w:right w:val="nil"/>
            </w:tcBorders>
            <w:tcMar>
              <w:top w:w="70" w:type="dxa"/>
              <w:left w:w="100" w:type="dxa"/>
              <w:bottom w:w="70" w:type="dxa"/>
              <w:right w:w="100" w:type="dxa"/>
            </w:tcMar>
          </w:tcPr>
          <w:p w14:paraId="11218D8A">
            <w:pPr>
              <w:spacing w:after="0"/>
              <w:jc w:val="center"/>
            </w:pPr>
            <w:r>
              <w:rPr>
                <w:rFonts w:ascii="Times New Roman" w:hAnsi="Times New Roman" w:eastAsia="Times New Roman" w:cs="Times New Roman"/>
                <w:b w:val="0"/>
                <w:bCs w:val="0"/>
                <w:sz w:val="22"/>
                <w:szCs w:val="22"/>
              </w:rPr>
              <w:t>39</w:t>
            </w:r>
          </w:p>
        </w:tc>
        <w:tc>
          <w:tcPr>
            <w:tcBorders>
              <w:top w:val="single" w:color="BFBFBF" w:sz="6" w:space="0"/>
              <w:left w:val="nil"/>
              <w:bottom w:val="nil"/>
              <w:right w:val="nil"/>
            </w:tcBorders>
            <w:tcMar>
              <w:top w:w="70" w:type="dxa"/>
              <w:left w:w="100" w:type="dxa"/>
              <w:bottom w:w="70" w:type="dxa"/>
              <w:right w:w="100" w:type="dxa"/>
            </w:tcMar>
          </w:tcPr>
          <w:p w14:paraId="60D4FB53">
            <w:pPr>
              <w:spacing w:after="0"/>
              <w:jc w:val="center"/>
            </w:pPr>
            <w:r>
              <w:rPr>
                <w:rFonts w:ascii="Times New Roman" w:hAnsi="Times New Roman" w:eastAsia="Times New Roman" w:cs="Times New Roman"/>
                <w:b w:val="0"/>
                <w:bCs w:val="0"/>
                <w:sz w:val="22"/>
                <w:szCs w:val="22"/>
              </w:rPr>
              <w:t>86</w:t>
            </w:r>
          </w:p>
        </w:tc>
        <w:tc>
          <w:tcPr>
            <w:tcBorders>
              <w:top w:val="single" w:color="BFBFBF" w:sz="6" w:space="0"/>
              <w:left w:val="nil"/>
              <w:bottom w:val="nil"/>
              <w:right w:val="nil"/>
            </w:tcBorders>
            <w:tcMar>
              <w:top w:w="70" w:type="dxa"/>
              <w:left w:w="100" w:type="dxa"/>
              <w:bottom w:w="70" w:type="dxa"/>
              <w:right w:w="100" w:type="dxa"/>
            </w:tcMar>
          </w:tcPr>
          <w:p w14:paraId="797260EE">
            <w:pPr>
              <w:spacing w:after="0"/>
              <w:jc w:val="center"/>
            </w:pPr>
            <w:r>
              <w:rPr>
                <w:rFonts w:ascii="Times New Roman" w:hAnsi="Times New Roman" w:eastAsia="Times New Roman" w:cs="Times New Roman"/>
                <w:b w:val="0"/>
                <w:bCs w:val="0"/>
                <w:sz w:val="22"/>
                <w:szCs w:val="22"/>
              </w:rPr>
              <w:t>45.3</w:t>
            </w:r>
          </w:p>
        </w:tc>
      </w:tr>
      <w:tr w14:paraId="12C4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2EA3C2EF">
            <w:pPr>
              <w:spacing w:after="0"/>
              <w:jc w:val="left"/>
            </w:pPr>
            <w:r>
              <w:rPr>
                <w:rFonts w:ascii="Times New Roman" w:hAnsi="Times New Roman" w:eastAsia="Times New Roman" w:cs="Times New Roman"/>
                <w:b w:val="0"/>
                <w:bCs w:val="0"/>
                <w:sz w:val="22"/>
                <w:szCs w:val="22"/>
              </w:rPr>
              <w:t>Skin rash</w:t>
            </w:r>
          </w:p>
        </w:tc>
        <w:tc>
          <w:tcPr>
            <w:tcBorders>
              <w:top w:val="single" w:color="BFBFBF" w:sz="6" w:space="0"/>
              <w:left w:val="nil"/>
              <w:bottom w:val="nil"/>
              <w:right w:val="nil"/>
            </w:tcBorders>
            <w:tcMar>
              <w:top w:w="70" w:type="dxa"/>
              <w:left w:w="100" w:type="dxa"/>
              <w:bottom w:w="70" w:type="dxa"/>
              <w:right w:w="100" w:type="dxa"/>
            </w:tcMar>
          </w:tcPr>
          <w:p w14:paraId="4FFC34BD">
            <w:pPr>
              <w:spacing w:after="0"/>
              <w:jc w:val="center"/>
            </w:pPr>
            <w:r>
              <w:rPr>
                <w:rFonts w:ascii="Times New Roman" w:hAnsi="Times New Roman" w:eastAsia="Times New Roman" w:cs="Times New Roman"/>
                <w:b w:val="0"/>
                <w:bCs w:val="0"/>
                <w:sz w:val="22"/>
                <w:szCs w:val="22"/>
              </w:rPr>
              <w:t>38</w:t>
            </w:r>
          </w:p>
        </w:tc>
        <w:tc>
          <w:tcPr>
            <w:tcBorders>
              <w:top w:val="single" w:color="BFBFBF" w:sz="6" w:space="0"/>
              <w:left w:val="nil"/>
              <w:bottom w:val="nil"/>
              <w:right w:val="nil"/>
            </w:tcBorders>
            <w:tcMar>
              <w:top w:w="70" w:type="dxa"/>
              <w:left w:w="100" w:type="dxa"/>
              <w:bottom w:w="70" w:type="dxa"/>
              <w:right w:w="100" w:type="dxa"/>
            </w:tcMar>
          </w:tcPr>
          <w:p w14:paraId="5669319B">
            <w:pPr>
              <w:spacing w:after="0"/>
              <w:jc w:val="center"/>
            </w:pPr>
            <w:r>
              <w:rPr>
                <w:rFonts w:ascii="Times New Roman" w:hAnsi="Times New Roman" w:eastAsia="Times New Roman" w:cs="Times New Roman"/>
                <w:b w:val="0"/>
                <w:bCs w:val="0"/>
                <w:sz w:val="22"/>
                <w:szCs w:val="22"/>
              </w:rPr>
              <w:t>86</w:t>
            </w:r>
          </w:p>
        </w:tc>
        <w:tc>
          <w:tcPr>
            <w:tcBorders>
              <w:top w:val="single" w:color="BFBFBF" w:sz="6" w:space="0"/>
              <w:left w:val="nil"/>
              <w:bottom w:val="nil"/>
              <w:right w:val="nil"/>
            </w:tcBorders>
            <w:tcMar>
              <w:top w:w="70" w:type="dxa"/>
              <w:left w:w="100" w:type="dxa"/>
              <w:bottom w:w="70" w:type="dxa"/>
              <w:right w:w="100" w:type="dxa"/>
            </w:tcMar>
          </w:tcPr>
          <w:p w14:paraId="527B9909">
            <w:pPr>
              <w:spacing w:after="0"/>
              <w:jc w:val="center"/>
            </w:pPr>
            <w:r>
              <w:rPr>
                <w:rFonts w:ascii="Times New Roman" w:hAnsi="Times New Roman" w:eastAsia="Times New Roman" w:cs="Times New Roman"/>
                <w:b w:val="0"/>
                <w:bCs w:val="0"/>
                <w:sz w:val="22"/>
                <w:szCs w:val="22"/>
              </w:rPr>
              <w:t>44.2</w:t>
            </w:r>
          </w:p>
        </w:tc>
      </w:tr>
      <w:tr w14:paraId="4D69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039B9A9D">
            <w:pPr>
              <w:spacing w:after="0"/>
              <w:jc w:val="left"/>
            </w:pPr>
            <w:r>
              <w:rPr>
                <w:rFonts w:ascii="Times New Roman" w:hAnsi="Times New Roman" w:eastAsia="Times New Roman" w:cs="Times New Roman"/>
                <w:b w:val="0"/>
                <w:bCs w:val="0"/>
                <w:sz w:val="22"/>
                <w:szCs w:val="22"/>
              </w:rPr>
              <w:t>Oral fungal infection</w:t>
            </w:r>
          </w:p>
        </w:tc>
        <w:tc>
          <w:tcPr>
            <w:tcBorders>
              <w:top w:val="single" w:color="BFBFBF" w:sz="6" w:space="0"/>
              <w:left w:val="nil"/>
              <w:bottom w:val="nil"/>
              <w:right w:val="nil"/>
            </w:tcBorders>
            <w:tcMar>
              <w:top w:w="70" w:type="dxa"/>
              <w:left w:w="100" w:type="dxa"/>
              <w:bottom w:w="70" w:type="dxa"/>
              <w:right w:w="100" w:type="dxa"/>
            </w:tcMar>
          </w:tcPr>
          <w:p w14:paraId="488686C8">
            <w:pPr>
              <w:spacing w:after="0"/>
              <w:jc w:val="center"/>
            </w:pPr>
            <w:r>
              <w:rPr>
                <w:rFonts w:ascii="Times New Roman" w:hAnsi="Times New Roman" w:eastAsia="Times New Roman" w:cs="Times New Roman"/>
                <w:b w:val="0"/>
                <w:bCs w:val="0"/>
                <w:sz w:val="22"/>
                <w:szCs w:val="22"/>
              </w:rPr>
              <w:t>36</w:t>
            </w:r>
          </w:p>
        </w:tc>
        <w:tc>
          <w:tcPr>
            <w:tcBorders>
              <w:top w:val="single" w:color="BFBFBF" w:sz="6" w:space="0"/>
              <w:left w:val="nil"/>
              <w:bottom w:val="nil"/>
              <w:right w:val="nil"/>
            </w:tcBorders>
            <w:tcMar>
              <w:top w:w="70" w:type="dxa"/>
              <w:left w:w="100" w:type="dxa"/>
              <w:bottom w:w="70" w:type="dxa"/>
              <w:right w:w="100" w:type="dxa"/>
            </w:tcMar>
          </w:tcPr>
          <w:p w14:paraId="6AEF0EC1">
            <w:pPr>
              <w:spacing w:after="0"/>
              <w:jc w:val="center"/>
            </w:pPr>
            <w:r>
              <w:rPr>
                <w:rFonts w:ascii="Times New Roman" w:hAnsi="Times New Roman" w:eastAsia="Times New Roman" w:cs="Times New Roman"/>
                <w:b w:val="0"/>
                <w:bCs w:val="0"/>
                <w:sz w:val="22"/>
                <w:szCs w:val="22"/>
              </w:rPr>
              <w:t>87</w:t>
            </w:r>
          </w:p>
        </w:tc>
        <w:tc>
          <w:tcPr>
            <w:tcBorders>
              <w:top w:val="single" w:color="BFBFBF" w:sz="6" w:space="0"/>
              <w:left w:val="nil"/>
              <w:bottom w:val="nil"/>
              <w:right w:val="nil"/>
            </w:tcBorders>
            <w:tcMar>
              <w:top w:w="70" w:type="dxa"/>
              <w:left w:w="100" w:type="dxa"/>
              <w:bottom w:w="70" w:type="dxa"/>
              <w:right w:w="100" w:type="dxa"/>
            </w:tcMar>
          </w:tcPr>
          <w:p w14:paraId="588BB70F">
            <w:pPr>
              <w:spacing w:after="0"/>
              <w:jc w:val="center"/>
            </w:pPr>
            <w:r>
              <w:rPr>
                <w:rFonts w:ascii="Times New Roman" w:hAnsi="Times New Roman" w:eastAsia="Times New Roman" w:cs="Times New Roman"/>
                <w:b w:val="0"/>
                <w:bCs w:val="0"/>
                <w:sz w:val="22"/>
                <w:szCs w:val="22"/>
              </w:rPr>
              <w:t>41.4</w:t>
            </w:r>
          </w:p>
        </w:tc>
      </w:tr>
      <w:tr w14:paraId="5019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318DACF2">
            <w:pPr>
              <w:spacing w:after="0"/>
              <w:jc w:val="left"/>
            </w:pPr>
            <w:r>
              <w:rPr>
                <w:rFonts w:ascii="Times New Roman" w:hAnsi="Times New Roman" w:eastAsia="Times New Roman" w:cs="Times New Roman"/>
                <w:b w:val="0"/>
                <w:bCs w:val="0"/>
                <w:sz w:val="22"/>
                <w:szCs w:val="22"/>
              </w:rPr>
              <w:t>Skin abscesses</w:t>
            </w:r>
          </w:p>
        </w:tc>
        <w:tc>
          <w:tcPr>
            <w:tcBorders>
              <w:top w:val="single" w:color="BFBFBF" w:sz="6" w:space="0"/>
              <w:left w:val="nil"/>
              <w:bottom w:val="nil"/>
              <w:right w:val="nil"/>
            </w:tcBorders>
            <w:tcMar>
              <w:top w:w="70" w:type="dxa"/>
              <w:left w:w="100" w:type="dxa"/>
              <w:bottom w:w="70" w:type="dxa"/>
              <w:right w:w="100" w:type="dxa"/>
            </w:tcMar>
          </w:tcPr>
          <w:p w14:paraId="105B6BDA">
            <w:pPr>
              <w:spacing w:after="0"/>
              <w:jc w:val="center"/>
            </w:pPr>
            <w:r>
              <w:rPr>
                <w:rFonts w:ascii="Times New Roman" w:hAnsi="Times New Roman" w:eastAsia="Times New Roman" w:cs="Times New Roman"/>
                <w:b w:val="0"/>
                <w:bCs w:val="0"/>
                <w:sz w:val="22"/>
                <w:szCs w:val="22"/>
              </w:rPr>
              <w:t>24</w:t>
            </w:r>
          </w:p>
        </w:tc>
        <w:tc>
          <w:tcPr>
            <w:tcBorders>
              <w:top w:val="single" w:color="BFBFBF" w:sz="6" w:space="0"/>
              <w:left w:val="nil"/>
              <w:bottom w:val="nil"/>
              <w:right w:val="nil"/>
            </w:tcBorders>
            <w:tcMar>
              <w:top w:w="70" w:type="dxa"/>
              <w:left w:w="100" w:type="dxa"/>
              <w:bottom w:w="70" w:type="dxa"/>
              <w:right w:w="100" w:type="dxa"/>
            </w:tcMar>
          </w:tcPr>
          <w:p w14:paraId="3E62F53C">
            <w:pPr>
              <w:spacing w:after="0"/>
              <w:jc w:val="center"/>
            </w:pPr>
            <w:r>
              <w:rPr>
                <w:rFonts w:ascii="Times New Roman" w:hAnsi="Times New Roman" w:eastAsia="Times New Roman" w:cs="Times New Roman"/>
                <w:b w:val="0"/>
                <w:bCs w:val="0"/>
                <w:sz w:val="22"/>
                <w:szCs w:val="22"/>
              </w:rPr>
              <w:t>85</w:t>
            </w:r>
          </w:p>
        </w:tc>
        <w:tc>
          <w:tcPr>
            <w:tcBorders>
              <w:top w:val="single" w:color="BFBFBF" w:sz="6" w:space="0"/>
              <w:left w:val="nil"/>
              <w:bottom w:val="nil"/>
              <w:right w:val="nil"/>
            </w:tcBorders>
            <w:tcMar>
              <w:top w:w="70" w:type="dxa"/>
              <w:left w:w="100" w:type="dxa"/>
              <w:bottom w:w="70" w:type="dxa"/>
              <w:right w:w="100" w:type="dxa"/>
            </w:tcMar>
          </w:tcPr>
          <w:p w14:paraId="07CA2B85">
            <w:pPr>
              <w:spacing w:after="0"/>
              <w:jc w:val="center"/>
            </w:pPr>
            <w:r>
              <w:rPr>
                <w:rFonts w:ascii="Times New Roman" w:hAnsi="Times New Roman" w:eastAsia="Times New Roman" w:cs="Times New Roman"/>
                <w:b w:val="0"/>
                <w:bCs w:val="0"/>
                <w:sz w:val="22"/>
                <w:szCs w:val="22"/>
              </w:rPr>
              <w:t>28.2</w:t>
            </w:r>
          </w:p>
        </w:tc>
      </w:tr>
      <w:tr w14:paraId="0B88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12284D82">
            <w:pPr>
              <w:spacing w:after="0"/>
              <w:jc w:val="left"/>
            </w:pPr>
            <w:r>
              <w:rPr>
                <w:rFonts w:ascii="Times New Roman" w:hAnsi="Times New Roman" w:eastAsia="Times New Roman" w:cs="Times New Roman"/>
                <w:b w:val="0"/>
                <w:bCs w:val="0"/>
                <w:sz w:val="22"/>
                <w:szCs w:val="22"/>
              </w:rPr>
              <w:t>Deep-seated abscesses</w:t>
            </w:r>
          </w:p>
        </w:tc>
        <w:tc>
          <w:tcPr>
            <w:tcBorders>
              <w:top w:val="single" w:color="BFBFBF" w:sz="6" w:space="0"/>
              <w:left w:val="nil"/>
              <w:bottom w:val="nil"/>
              <w:right w:val="nil"/>
            </w:tcBorders>
            <w:tcMar>
              <w:top w:w="70" w:type="dxa"/>
              <w:left w:w="100" w:type="dxa"/>
              <w:bottom w:w="70" w:type="dxa"/>
              <w:right w:w="100" w:type="dxa"/>
            </w:tcMar>
          </w:tcPr>
          <w:p w14:paraId="03FE4856">
            <w:pPr>
              <w:spacing w:after="0"/>
              <w:jc w:val="center"/>
            </w:pPr>
            <w:r>
              <w:rPr>
                <w:rFonts w:ascii="Times New Roman" w:hAnsi="Times New Roman" w:eastAsia="Times New Roman" w:cs="Times New Roman"/>
                <w:b w:val="0"/>
                <w:bCs w:val="0"/>
                <w:sz w:val="22"/>
                <w:szCs w:val="22"/>
              </w:rPr>
              <w:t>23</w:t>
            </w:r>
          </w:p>
        </w:tc>
        <w:tc>
          <w:tcPr>
            <w:tcBorders>
              <w:top w:val="single" w:color="BFBFBF" w:sz="6" w:space="0"/>
              <w:left w:val="nil"/>
              <w:bottom w:val="nil"/>
              <w:right w:val="nil"/>
            </w:tcBorders>
            <w:tcMar>
              <w:top w:w="70" w:type="dxa"/>
              <w:left w:w="100" w:type="dxa"/>
              <w:bottom w:w="70" w:type="dxa"/>
              <w:right w:w="100" w:type="dxa"/>
            </w:tcMar>
          </w:tcPr>
          <w:p w14:paraId="11854CCD">
            <w:pPr>
              <w:spacing w:after="0"/>
              <w:jc w:val="center"/>
            </w:pPr>
            <w:r>
              <w:rPr>
                <w:rFonts w:ascii="Times New Roman" w:hAnsi="Times New Roman" w:eastAsia="Times New Roman" w:cs="Times New Roman"/>
                <w:b w:val="0"/>
                <w:bCs w:val="0"/>
                <w:sz w:val="22"/>
                <w:szCs w:val="22"/>
              </w:rPr>
              <w:t>85</w:t>
            </w:r>
          </w:p>
        </w:tc>
        <w:tc>
          <w:tcPr>
            <w:tcBorders>
              <w:top w:val="single" w:color="BFBFBF" w:sz="6" w:space="0"/>
              <w:left w:val="nil"/>
              <w:bottom w:val="nil"/>
              <w:right w:val="nil"/>
            </w:tcBorders>
            <w:tcMar>
              <w:top w:w="70" w:type="dxa"/>
              <w:left w:w="100" w:type="dxa"/>
              <w:bottom w:w="70" w:type="dxa"/>
              <w:right w:w="100" w:type="dxa"/>
            </w:tcMar>
          </w:tcPr>
          <w:p w14:paraId="7C82307D">
            <w:pPr>
              <w:spacing w:after="0"/>
              <w:jc w:val="center"/>
            </w:pPr>
            <w:r>
              <w:rPr>
                <w:rFonts w:ascii="Times New Roman" w:hAnsi="Times New Roman" w:eastAsia="Times New Roman" w:cs="Times New Roman"/>
                <w:b w:val="0"/>
                <w:bCs w:val="0"/>
                <w:sz w:val="22"/>
                <w:szCs w:val="22"/>
              </w:rPr>
              <w:t>27.1</w:t>
            </w:r>
          </w:p>
        </w:tc>
      </w:tr>
      <w:tr w14:paraId="7D4A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single" w:color="000000" w:sz="12" w:space="0"/>
              <w:right w:val="nil"/>
            </w:tcBorders>
            <w:tcMar>
              <w:top w:w="70" w:type="dxa"/>
              <w:left w:w="100" w:type="dxa"/>
              <w:bottom w:w="70" w:type="dxa"/>
              <w:right w:w="100" w:type="dxa"/>
            </w:tcMar>
          </w:tcPr>
          <w:p w14:paraId="1CA3E7B0">
            <w:pPr>
              <w:spacing w:after="0"/>
              <w:jc w:val="left"/>
            </w:pPr>
            <w:r>
              <w:rPr>
                <w:rFonts w:ascii="Times New Roman" w:hAnsi="Times New Roman" w:eastAsia="Times New Roman" w:cs="Times New Roman"/>
                <w:b w:val="0"/>
                <w:bCs w:val="0"/>
                <w:sz w:val="22"/>
                <w:szCs w:val="22"/>
              </w:rPr>
              <w:t>CNS infection</w:t>
            </w:r>
          </w:p>
        </w:tc>
        <w:tc>
          <w:tcPr>
            <w:tcBorders>
              <w:top w:val="nil"/>
              <w:left w:val="nil"/>
              <w:bottom w:val="single" w:color="000000" w:sz="12" w:space="0"/>
              <w:right w:val="nil"/>
            </w:tcBorders>
            <w:tcMar>
              <w:top w:w="70" w:type="dxa"/>
              <w:left w:w="100" w:type="dxa"/>
              <w:bottom w:w="70" w:type="dxa"/>
              <w:right w:w="100" w:type="dxa"/>
            </w:tcMar>
          </w:tcPr>
          <w:p w14:paraId="54C92B55">
            <w:pPr>
              <w:spacing w:after="0"/>
              <w:jc w:val="center"/>
            </w:pPr>
            <w:r>
              <w:rPr>
                <w:rFonts w:ascii="Times New Roman" w:hAnsi="Times New Roman" w:eastAsia="Times New Roman" w:cs="Times New Roman"/>
                <w:b w:val="0"/>
                <w:bCs w:val="0"/>
                <w:sz w:val="22"/>
                <w:szCs w:val="22"/>
              </w:rPr>
              <w:t>9</w:t>
            </w:r>
          </w:p>
        </w:tc>
        <w:tc>
          <w:tcPr>
            <w:tcBorders>
              <w:top w:val="nil"/>
              <w:left w:val="nil"/>
              <w:bottom w:val="single" w:color="000000" w:sz="12" w:space="0"/>
              <w:right w:val="nil"/>
            </w:tcBorders>
            <w:tcMar>
              <w:top w:w="70" w:type="dxa"/>
              <w:left w:w="100" w:type="dxa"/>
              <w:bottom w:w="70" w:type="dxa"/>
              <w:right w:w="100" w:type="dxa"/>
            </w:tcMar>
          </w:tcPr>
          <w:p w14:paraId="7FDA9F45">
            <w:pPr>
              <w:spacing w:after="0"/>
              <w:jc w:val="center"/>
            </w:pPr>
            <w:r>
              <w:rPr>
                <w:rFonts w:ascii="Times New Roman" w:hAnsi="Times New Roman" w:eastAsia="Times New Roman" w:cs="Times New Roman"/>
                <w:b w:val="0"/>
                <w:bCs w:val="0"/>
                <w:sz w:val="22"/>
                <w:szCs w:val="22"/>
              </w:rPr>
              <w:t>82</w:t>
            </w:r>
          </w:p>
        </w:tc>
        <w:tc>
          <w:tcPr>
            <w:tcBorders>
              <w:top w:val="nil"/>
              <w:left w:val="nil"/>
              <w:bottom w:val="single" w:color="000000" w:sz="12" w:space="0"/>
              <w:right w:val="nil"/>
            </w:tcBorders>
            <w:tcMar>
              <w:top w:w="70" w:type="dxa"/>
              <w:left w:w="100" w:type="dxa"/>
              <w:bottom w:w="70" w:type="dxa"/>
              <w:right w:w="100" w:type="dxa"/>
            </w:tcMar>
          </w:tcPr>
          <w:p w14:paraId="2BB126BA">
            <w:pPr>
              <w:spacing w:after="0"/>
              <w:jc w:val="center"/>
            </w:pPr>
            <w:r>
              <w:rPr>
                <w:rFonts w:ascii="Times New Roman" w:hAnsi="Times New Roman" w:eastAsia="Times New Roman" w:cs="Times New Roman"/>
                <w:b w:val="0"/>
                <w:bCs w:val="0"/>
                <w:sz w:val="22"/>
                <w:szCs w:val="22"/>
              </w:rPr>
              <w:t>11.0</w:t>
            </w:r>
          </w:p>
        </w:tc>
      </w:tr>
    </w:tbl>
    <w:p w14:paraId="1D83D866">
      <w:pPr>
        <w:spacing w:before="40" w:after="240"/>
      </w:pPr>
      <w:r>
        <w:rPr>
          <w:rFonts w:ascii="Times New Roman" w:hAnsi="Times New Roman" w:eastAsia="Times New Roman" w:cs="Times New Roman"/>
          <w:color w:val="595959"/>
          <w:sz w:val="20"/>
          <w:szCs w:val="20"/>
        </w:rPr>
        <w:t>Manifestations are ordered by descending prevalence. Denominators vary because some records were incomplete, and a question mark entry was treated as missing.</w:t>
      </w:r>
    </w:p>
    <w:p w14:paraId="4D7B25A8">
      <w:pPr>
        <w:pageBreakBefore/>
      </w:pPr>
    </w:p>
    <w:p w14:paraId="78B13CF1">
      <w:pPr>
        <w:spacing w:before="200" w:after="80"/>
      </w:pPr>
      <w:r>
        <w:rPr>
          <w:rFonts w:ascii="Times New Roman" w:hAnsi="Times New Roman" w:eastAsia="Times New Roman" w:cs="Times New Roman"/>
          <w:b/>
          <w:bCs/>
          <w:sz w:val="24"/>
          <w:szCs w:val="24"/>
        </w:rPr>
        <w:t>Table S</w:t>
      </w:r>
      <w:r>
        <w:rPr>
          <w:rFonts w:hint="default" w:cs="Times New Roman"/>
          <w:b/>
          <w:bCs/>
          <w:sz w:val="24"/>
          <w:szCs w:val="24"/>
          <w:lang w:val="en-US"/>
        </w:rPr>
        <w:t>3</w:t>
      </w:r>
      <w:r>
        <w:rPr>
          <w:rFonts w:ascii="Times New Roman" w:hAnsi="Times New Roman" w:eastAsia="Times New Roman" w:cs="Times New Roman"/>
          <w:b/>
          <w:bCs/>
          <w:sz w:val="24"/>
          <w:szCs w:val="24"/>
        </w:rPr>
        <w:t>. Genetic testing status in the cohort.</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370"/>
        <w:gridCol w:w="1022"/>
        <w:gridCol w:w="2554"/>
      </w:tblGrid>
      <w:tr w14:paraId="6894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000000" w:sz="12" w:space="0"/>
              <w:left w:val="nil"/>
              <w:bottom w:val="nil"/>
              <w:right w:val="nil"/>
            </w:tcBorders>
            <w:tcMar>
              <w:top w:w="70" w:type="dxa"/>
              <w:left w:w="100" w:type="dxa"/>
              <w:bottom w:w="70" w:type="dxa"/>
              <w:right w:w="100" w:type="dxa"/>
            </w:tcMar>
          </w:tcPr>
          <w:p w14:paraId="46B972BF">
            <w:pPr>
              <w:spacing w:after="0"/>
              <w:jc w:val="left"/>
            </w:pPr>
            <w:r>
              <w:rPr>
                <w:rFonts w:ascii="Times New Roman" w:hAnsi="Times New Roman" w:eastAsia="Times New Roman" w:cs="Times New Roman"/>
                <w:b/>
                <w:bCs/>
                <w:sz w:val="22"/>
                <w:szCs w:val="22"/>
              </w:rPr>
              <w:t>Genetic status</w:t>
            </w:r>
          </w:p>
        </w:tc>
        <w:tc>
          <w:tcPr>
            <w:tcBorders>
              <w:top w:val="single" w:color="000000" w:sz="12" w:space="0"/>
              <w:left w:val="nil"/>
              <w:bottom w:val="nil"/>
              <w:right w:val="nil"/>
            </w:tcBorders>
            <w:tcMar>
              <w:top w:w="70" w:type="dxa"/>
              <w:left w:w="100" w:type="dxa"/>
              <w:bottom w:w="70" w:type="dxa"/>
              <w:right w:w="100" w:type="dxa"/>
            </w:tcMar>
          </w:tcPr>
          <w:p w14:paraId="6361F909">
            <w:pPr>
              <w:spacing w:after="0"/>
              <w:jc w:val="center"/>
            </w:pPr>
            <w:r>
              <w:rPr>
                <w:rFonts w:ascii="Times New Roman" w:hAnsi="Times New Roman" w:eastAsia="Times New Roman" w:cs="Times New Roman"/>
                <w:b/>
                <w:bCs/>
                <w:sz w:val="22"/>
                <w:szCs w:val="22"/>
              </w:rPr>
              <w:t>n</w:t>
            </w:r>
          </w:p>
        </w:tc>
        <w:tc>
          <w:tcPr>
            <w:tcBorders>
              <w:top w:val="single" w:color="000000" w:sz="12" w:space="0"/>
              <w:left w:val="nil"/>
              <w:bottom w:val="nil"/>
              <w:right w:val="nil"/>
            </w:tcBorders>
            <w:tcMar>
              <w:top w:w="70" w:type="dxa"/>
              <w:left w:w="100" w:type="dxa"/>
              <w:bottom w:w="70" w:type="dxa"/>
              <w:right w:w="100" w:type="dxa"/>
            </w:tcMar>
          </w:tcPr>
          <w:p w14:paraId="094EA337">
            <w:pPr>
              <w:spacing w:after="0"/>
              <w:jc w:val="center"/>
            </w:pPr>
            <w:r>
              <w:rPr>
                <w:rFonts w:ascii="Times New Roman" w:hAnsi="Times New Roman" w:eastAsia="Times New Roman" w:cs="Times New Roman"/>
                <w:b/>
                <w:bCs/>
                <w:sz w:val="22"/>
                <w:szCs w:val="22"/>
              </w:rPr>
              <w:t>% of cohort</w:t>
            </w:r>
          </w:p>
        </w:tc>
      </w:tr>
      <w:tr w14:paraId="48F7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236DA04D">
            <w:pPr>
              <w:spacing w:after="0"/>
              <w:jc w:val="left"/>
            </w:pPr>
            <w:r>
              <w:rPr>
                <w:rFonts w:ascii="Times New Roman" w:hAnsi="Times New Roman" w:eastAsia="Times New Roman" w:cs="Times New Roman"/>
                <w:b w:val="0"/>
                <w:bCs w:val="0"/>
                <w:sz w:val="22"/>
                <w:szCs w:val="22"/>
              </w:rPr>
              <w:t>Causative gene identified</w:t>
            </w:r>
          </w:p>
        </w:tc>
        <w:tc>
          <w:tcPr>
            <w:tcBorders>
              <w:top w:val="single" w:color="BFBFBF" w:sz="6" w:space="0"/>
              <w:left w:val="nil"/>
              <w:bottom w:val="nil"/>
              <w:right w:val="nil"/>
            </w:tcBorders>
            <w:tcMar>
              <w:top w:w="70" w:type="dxa"/>
              <w:left w:w="100" w:type="dxa"/>
              <w:bottom w:w="70" w:type="dxa"/>
              <w:right w:w="100" w:type="dxa"/>
            </w:tcMar>
          </w:tcPr>
          <w:p w14:paraId="01C84DBF">
            <w:pPr>
              <w:spacing w:after="0"/>
              <w:jc w:val="center"/>
            </w:pPr>
            <w:r>
              <w:rPr>
                <w:rFonts w:ascii="Times New Roman" w:hAnsi="Times New Roman" w:eastAsia="Times New Roman" w:cs="Times New Roman"/>
                <w:b w:val="0"/>
                <w:bCs w:val="0"/>
                <w:sz w:val="22"/>
                <w:szCs w:val="22"/>
              </w:rPr>
              <w:t>109</w:t>
            </w:r>
          </w:p>
        </w:tc>
        <w:tc>
          <w:tcPr>
            <w:tcBorders>
              <w:top w:val="single" w:color="BFBFBF" w:sz="6" w:space="0"/>
              <w:left w:val="nil"/>
              <w:bottom w:val="nil"/>
              <w:right w:val="nil"/>
            </w:tcBorders>
            <w:tcMar>
              <w:top w:w="70" w:type="dxa"/>
              <w:left w:w="100" w:type="dxa"/>
              <w:bottom w:w="70" w:type="dxa"/>
              <w:right w:w="100" w:type="dxa"/>
            </w:tcMar>
          </w:tcPr>
          <w:p w14:paraId="46DE3DB7">
            <w:pPr>
              <w:spacing w:after="0"/>
              <w:jc w:val="center"/>
            </w:pPr>
            <w:r>
              <w:rPr>
                <w:rFonts w:ascii="Times New Roman" w:hAnsi="Times New Roman" w:eastAsia="Times New Roman" w:cs="Times New Roman"/>
                <w:b w:val="0"/>
                <w:bCs w:val="0"/>
                <w:sz w:val="22"/>
                <w:szCs w:val="22"/>
              </w:rPr>
              <w:t>74.7</w:t>
            </w:r>
          </w:p>
        </w:tc>
      </w:tr>
      <w:tr w14:paraId="7F32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34F79C4D">
            <w:pPr>
              <w:spacing w:after="0"/>
              <w:jc w:val="left"/>
            </w:pPr>
            <w:r>
              <w:rPr>
                <w:rFonts w:ascii="Times New Roman" w:hAnsi="Times New Roman" w:eastAsia="Times New Roman" w:cs="Times New Roman"/>
                <w:b w:val="0"/>
                <w:bCs w:val="0"/>
                <w:sz w:val="22"/>
                <w:szCs w:val="22"/>
              </w:rPr>
              <w:t>Genetic testing negative</w:t>
            </w:r>
          </w:p>
        </w:tc>
        <w:tc>
          <w:tcPr>
            <w:tcBorders>
              <w:top w:val="single" w:color="BFBFBF" w:sz="6" w:space="0"/>
              <w:left w:val="nil"/>
              <w:bottom w:val="nil"/>
              <w:right w:val="nil"/>
            </w:tcBorders>
            <w:tcMar>
              <w:top w:w="70" w:type="dxa"/>
              <w:left w:w="100" w:type="dxa"/>
              <w:bottom w:w="70" w:type="dxa"/>
              <w:right w:w="100" w:type="dxa"/>
            </w:tcMar>
          </w:tcPr>
          <w:p w14:paraId="4AF87443">
            <w:pPr>
              <w:spacing w:after="0"/>
              <w:jc w:val="center"/>
            </w:pPr>
            <w:r>
              <w:rPr>
                <w:rFonts w:ascii="Times New Roman" w:hAnsi="Times New Roman" w:eastAsia="Times New Roman" w:cs="Times New Roman"/>
                <w:b w:val="0"/>
                <w:bCs w:val="0"/>
                <w:sz w:val="22"/>
                <w:szCs w:val="22"/>
              </w:rPr>
              <w:t>3</w:t>
            </w:r>
          </w:p>
        </w:tc>
        <w:tc>
          <w:tcPr>
            <w:tcBorders>
              <w:top w:val="single" w:color="BFBFBF" w:sz="6" w:space="0"/>
              <w:left w:val="nil"/>
              <w:bottom w:val="nil"/>
              <w:right w:val="nil"/>
            </w:tcBorders>
            <w:tcMar>
              <w:top w:w="70" w:type="dxa"/>
              <w:left w:w="100" w:type="dxa"/>
              <w:bottom w:w="70" w:type="dxa"/>
              <w:right w:w="100" w:type="dxa"/>
            </w:tcMar>
          </w:tcPr>
          <w:p w14:paraId="7DCE8A1F">
            <w:pPr>
              <w:spacing w:after="0"/>
              <w:jc w:val="center"/>
            </w:pPr>
            <w:r>
              <w:rPr>
                <w:rFonts w:ascii="Times New Roman" w:hAnsi="Times New Roman" w:eastAsia="Times New Roman" w:cs="Times New Roman"/>
                <w:b w:val="0"/>
                <w:bCs w:val="0"/>
                <w:sz w:val="22"/>
                <w:szCs w:val="22"/>
              </w:rPr>
              <w:t>2.1</w:t>
            </w:r>
          </w:p>
        </w:tc>
      </w:tr>
      <w:tr w14:paraId="6DC7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single" w:color="000000" w:sz="12" w:space="0"/>
              <w:right w:val="nil"/>
            </w:tcBorders>
            <w:tcMar>
              <w:top w:w="70" w:type="dxa"/>
              <w:left w:w="100" w:type="dxa"/>
              <w:bottom w:w="70" w:type="dxa"/>
              <w:right w:w="100" w:type="dxa"/>
            </w:tcMar>
          </w:tcPr>
          <w:p w14:paraId="2B2F4F84">
            <w:pPr>
              <w:spacing w:after="0"/>
              <w:jc w:val="left"/>
            </w:pPr>
            <w:r>
              <w:rPr>
                <w:rFonts w:ascii="Times New Roman" w:hAnsi="Times New Roman" w:eastAsia="Times New Roman" w:cs="Times New Roman"/>
                <w:b w:val="0"/>
                <w:bCs w:val="0"/>
                <w:sz w:val="22"/>
                <w:szCs w:val="22"/>
              </w:rPr>
              <w:t>Not done, unavailable, or unknown</w:t>
            </w:r>
          </w:p>
        </w:tc>
        <w:tc>
          <w:tcPr>
            <w:tcBorders>
              <w:top w:val="nil"/>
              <w:left w:val="nil"/>
              <w:bottom w:val="single" w:color="000000" w:sz="12" w:space="0"/>
              <w:right w:val="nil"/>
            </w:tcBorders>
            <w:tcMar>
              <w:top w:w="70" w:type="dxa"/>
              <w:left w:w="100" w:type="dxa"/>
              <w:bottom w:w="70" w:type="dxa"/>
              <w:right w:w="100" w:type="dxa"/>
            </w:tcMar>
          </w:tcPr>
          <w:p w14:paraId="4837775C">
            <w:pPr>
              <w:spacing w:after="0"/>
              <w:jc w:val="center"/>
            </w:pPr>
            <w:r>
              <w:rPr>
                <w:rFonts w:ascii="Times New Roman" w:hAnsi="Times New Roman" w:eastAsia="Times New Roman" w:cs="Times New Roman"/>
                <w:b w:val="0"/>
                <w:bCs w:val="0"/>
                <w:sz w:val="22"/>
                <w:szCs w:val="22"/>
              </w:rPr>
              <w:t>34</w:t>
            </w:r>
          </w:p>
        </w:tc>
        <w:tc>
          <w:tcPr>
            <w:tcBorders>
              <w:top w:val="nil"/>
              <w:left w:val="nil"/>
              <w:bottom w:val="single" w:color="000000" w:sz="12" w:space="0"/>
              <w:right w:val="nil"/>
            </w:tcBorders>
            <w:tcMar>
              <w:top w:w="70" w:type="dxa"/>
              <w:left w:w="100" w:type="dxa"/>
              <w:bottom w:w="70" w:type="dxa"/>
              <w:right w:w="100" w:type="dxa"/>
            </w:tcMar>
          </w:tcPr>
          <w:p w14:paraId="7479AE03">
            <w:pPr>
              <w:spacing w:after="0"/>
              <w:jc w:val="center"/>
            </w:pPr>
            <w:r>
              <w:rPr>
                <w:rFonts w:ascii="Times New Roman" w:hAnsi="Times New Roman" w:eastAsia="Times New Roman" w:cs="Times New Roman"/>
                <w:b w:val="0"/>
                <w:bCs w:val="0"/>
                <w:sz w:val="22"/>
                <w:szCs w:val="22"/>
              </w:rPr>
              <w:t>23.3</w:t>
            </w:r>
          </w:p>
        </w:tc>
      </w:tr>
    </w:tbl>
    <w:p w14:paraId="6BE1B811">
      <w:pPr>
        <w:spacing w:before="40" w:after="240"/>
      </w:pPr>
      <w:r>
        <w:rPr>
          <w:rFonts w:ascii="Times New Roman" w:hAnsi="Times New Roman" w:eastAsia="Times New Roman" w:cs="Times New Roman"/>
          <w:color w:val="595959"/>
          <w:sz w:val="20"/>
          <w:szCs w:val="20"/>
        </w:rPr>
        <w:t>Of the 37 patients without an identified gene, 3 had an explicitly negative result and 34 either had not been tested or had results that were not available to the registry.</w:t>
      </w:r>
    </w:p>
    <w:p w14:paraId="494AAF5E">
      <w:pPr>
        <w:pageBreakBefore/>
      </w:pPr>
    </w:p>
    <w:p w14:paraId="6B469DB2">
      <w:pPr>
        <w:spacing w:before="200" w:after="80"/>
      </w:pPr>
      <w:r>
        <w:rPr>
          <w:rFonts w:ascii="Times New Roman" w:hAnsi="Times New Roman" w:eastAsia="Times New Roman" w:cs="Times New Roman"/>
          <w:b/>
          <w:bCs/>
          <w:sz w:val="24"/>
          <w:szCs w:val="24"/>
        </w:rPr>
        <w:t>Table S</w:t>
      </w:r>
      <w:r>
        <w:rPr>
          <w:rFonts w:hint="default" w:cs="Times New Roman"/>
          <w:b/>
          <w:bCs/>
          <w:sz w:val="24"/>
          <w:szCs w:val="24"/>
          <w:lang w:val="en-US"/>
        </w:rPr>
        <w:t>4</w:t>
      </w:r>
      <w:r>
        <w:rPr>
          <w:rFonts w:ascii="Times New Roman" w:hAnsi="Times New Roman" w:eastAsia="Times New Roman" w:cs="Times New Roman"/>
          <w:b/>
          <w:bCs/>
          <w:sz w:val="24"/>
          <w:szCs w:val="24"/>
        </w:rPr>
        <w:t>. Overall treatment patterns.</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974"/>
        <w:gridCol w:w="1373"/>
        <w:gridCol w:w="2563"/>
        <w:gridCol w:w="1036"/>
      </w:tblGrid>
      <w:tr w14:paraId="4689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000000" w:sz="12" w:space="0"/>
              <w:left w:val="nil"/>
              <w:bottom w:val="nil"/>
              <w:right w:val="nil"/>
            </w:tcBorders>
            <w:tcMar>
              <w:top w:w="70" w:type="dxa"/>
              <w:left w:w="100" w:type="dxa"/>
              <w:bottom w:w="70" w:type="dxa"/>
              <w:right w:w="100" w:type="dxa"/>
            </w:tcMar>
          </w:tcPr>
          <w:p w14:paraId="1C1E415F">
            <w:pPr>
              <w:spacing w:after="0"/>
              <w:jc w:val="left"/>
            </w:pPr>
            <w:r>
              <w:rPr>
                <w:rFonts w:ascii="Times New Roman" w:hAnsi="Times New Roman" w:eastAsia="Times New Roman" w:cs="Times New Roman"/>
                <w:b/>
                <w:bCs/>
                <w:sz w:val="22"/>
                <w:szCs w:val="22"/>
              </w:rPr>
              <w:t>Treatment</w:t>
            </w:r>
          </w:p>
        </w:tc>
        <w:tc>
          <w:tcPr>
            <w:tcBorders>
              <w:top w:val="single" w:color="000000" w:sz="12" w:space="0"/>
              <w:left w:val="nil"/>
              <w:bottom w:val="nil"/>
              <w:right w:val="nil"/>
            </w:tcBorders>
            <w:tcMar>
              <w:top w:w="70" w:type="dxa"/>
              <w:left w:w="100" w:type="dxa"/>
              <w:bottom w:w="70" w:type="dxa"/>
              <w:right w:w="100" w:type="dxa"/>
            </w:tcMar>
          </w:tcPr>
          <w:p w14:paraId="3619FE74">
            <w:pPr>
              <w:spacing w:after="0"/>
              <w:jc w:val="center"/>
            </w:pPr>
            <w:r>
              <w:rPr>
                <w:rFonts w:ascii="Times New Roman" w:hAnsi="Times New Roman" w:eastAsia="Times New Roman" w:cs="Times New Roman"/>
                <w:b/>
                <w:bCs/>
                <w:sz w:val="22"/>
                <w:szCs w:val="22"/>
              </w:rPr>
              <w:t>Yes, n</w:t>
            </w:r>
          </w:p>
        </w:tc>
        <w:tc>
          <w:tcPr>
            <w:tcBorders>
              <w:top w:val="single" w:color="000000" w:sz="12" w:space="0"/>
              <w:left w:val="nil"/>
              <w:bottom w:val="nil"/>
              <w:right w:val="nil"/>
            </w:tcBorders>
            <w:tcMar>
              <w:top w:w="70" w:type="dxa"/>
              <w:left w:w="100" w:type="dxa"/>
              <w:bottom w:w="70" w:type="dxa"/>
              <w:right w:w="100" w:type="dxa"/>
            </w:tcMar>
          </w:tcPr>
          <w:p w14:paraId="4BF6E826">
            <w:pPr>
              <w:spacing w:after="0"/>
              <w:jc w:val="center"/>
            </w:pPr>
            <w:r>
              <w:rPr>
                <w:rFonts w:ascii="Times New Roman" w:hAnsi="Times New Roman" w:eastAsia="Times New Roman" w:cs="Times New Roman"/>
                <w:b/>
                <w:bCs/>
                <w:sz w:val="22"/>
                <w:szCs w:val="22"/>
              </w:rPr>
              <w:t>N (with data)</w:t>
            </w:r>
          </w:p>
        </w:tc>
        <w:tc>
          <w:tcPr>
            <w:tcBorders>
              <w:top w:val="single" w:color="000000" w:sz="12" w:space="0"/>
              <w:left w:val="nil"/>
              <w:bottom w:val="nil"/>
              <w:right w:val="nil"/>
            </w:tcBorders>
            <w:tcMar>
              <w:top w:w="70" w:type="dxa"/>
              <w:left w:w="100" w:type="dxa"/>
              <w:bottom w:w="70" w:type="dxa"/>
              <w:right w:w="100" w:type="dxa"/>
            </w:tcMar>
          </w:tcPr>
          <w:p w14:paraId="6F979E00">
            <w:pPr>
              <w:spacing w:after="0"/>
              <w:jc w:val="center"/>
            </w:pPr>
            <w:r>
              <w:rPr>
                <w:rFonts w:ascii="Times New Roman" w:hAnsi="Times New Roman" w:eastAsia="Times New Roman" w:cs="Times New Roman"/>
                <w:b/>
                <w:bCs/>
                <w:sz w:val="22"/>
                <w:szCs w:val="22"/>
              </w:rPr>
              <w:t>%</w:t>
            </w:r>
          </w:p>
        </w:tc>
      </w:tr>
      <w:tr w14:paraId="68FC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19899082">
            <w:pPr>
              <w:spacing w:after="0"/>
              <w:jc w:val="left"/>
            </w:pPr>
            <w:r>
              <w:rPr>
                <w:rFonts w:ascii="Times New Roman" w:hAnsi="Times New Roman" w:eastAsia="Times New Roman" w:cs="Times New Roman"/>
                <w:b w:val="0"/>
                <w:bCs w:val="0"/>
                <w:sz w:val="22"/>
                <w:szCs w:val="22"/>
              </w:rPr>
              <w:t>Immunoglobulin replacement</w:t>
            </w:r>
          </w:p>
        </w:tc>
        <w:tc>
          <w:tcPr>
            <w:tcBorders>
              <w:top w:val="single" w:color="BFBFBF" w:sz="6" w:space="0"/>
              <w:left w:val="nil"/>
              <w:bottom w:val="nil"/>
              <w:right w:val="nil"/>
            </w:tcBorders>
            <w:tcMar>
              <w:top w:w="70" w:type="dxa"/>
              <w:left w:w="100" w:type="dxa"/>
              <w:bottom w:w="70" w:type="dxa"/>
              <w:right w:w="100" w:type="dxa"/>
            </w:tcMar>
          </w:tcPr>
          <w:p w14:paraId="5BC1A720">
            <w:pPr>
              <w:spacing w:after="0"/>
              <w:jc w:val="center"/>
            </w:pPr>
            <w:r>
              <w:rPr>
                <w:rFonts w:ascii="Times New Roman" w:hAnsi="Times New Roman" w:eastAsia="Times New Roman" w:cs="Times New Roman"/>
                <w:b w:val="0"/>
                <w:bCs w:val="0"/>
                <w:sz w:val="22"/>
                <w:szCs w:val="22"/>
              </w:rPr>
              <w:t>55</w:t>
            </w:r>
          </w:p>
        </w:tc>
        <w:tc>
          <w:tcPr>
            <w:tcBorders>
              <w:top w:val="single" w:color="BFBFBF" w:sz="6" w:space="0"/>
              <w:left w:val="nil"/>
              <w:bottom w:val="nil"/>
              <w:right w:val="nil"/>
            </w:tcBorders>
            <w:tcMar>
              <w:top w:w="70" w:type="dxa"/>
              <w:left w:w="100" w:type="dxa"/>
              <w:bottom w:w="70" w:type="dxa"/>
              <w:right w:w="100" w:type="dxa"/>
            </w:tcMar>
          </w:tcPr>
          <w:p w14:paraId="79CD5138">
            <w:pPr>
              <w:spacing w:after="0"/>
              <w:jc w:val="center"/>
            </w:pPr>
            <w:r>
              <w:rPr>
                <w:rFonts w:ascii="Times New Roman" w:hAnsi="Times New Roman" w:eastAsia="Times New Roman" w:cs="Times New Roman"/>
                <w:b w:val="0"/>
                <w:bCs w:val="0"/>
                <w:sz w:val="22"/>
                <w:szCs w:val="22"/>
              </w:rPr>
              <w:t>96</w:t>
            </w:r>
          </w:p>
        </w:tc>
        <w:tc>
          <w:tcPr>
            <w:tcBorders>
              <w:top w:val="single" w:color="BFBFBF" w:sz="6" w:space="0"/>
              <w:left w:val="nil"/>
              <w:bottom w:val="nil"/>
              <w:right w:val="nil"/>
            </w:tcBorders>
            <w:tcMar>
              <w:top w:w="70" w:type="dxa"/>
              <w:left w:w="100" w:type="dxa"/>
              <w:bottom w:w="70" w:type="dxa"/>
              <w:right w:w="100" w:type="dxa"/>
            </w:tcMar>
          </w:tcPr>
          <w:p w14:paraId="485C8351">
            <w:pPr>
              <w:spacing w:after="0"/>
              <w:jc w:val="center"/>
            </w:pPr>
            <w:r>
              <w:rPr>
                <w:rFonts w:ascii="Times New Roman" w:hAnsi="Times New Roman" w:eastAsia="Times New Roman" w:cs="Times New Roman"/>
                <w:b w:val="0"/>
                <w:bCs w:val="0"/>
                <w:sz w:val="22"/>
                <w:szCs w:val="22"/>
              </w:rPr>
              <w:t>57.3</w:t>
            </w:r>
          </w:p>
        </w:tc>
      </w:tr>
      <w:tr w14:paraId="57A9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0C3069C0">
            <w:pPr>
              <w:spacing w:after="0"/>
              <w:jc w:val="left"/>
            </w:pPr>
            <w:r>
              <w:rPr>
                <w:rFonts w:ascii="Times New Roman" w:hAnsi="Times New Roman" w:eastAsia="Times New Roman" w:cs="Times New Roman"/>
                <w:b w:val="0"/>
                <w:bCs w:val="0"/>
                <w:sz w:val="22"/>
                <w:szCs w:val="22"/>
              </w:rPr>
              <w:t>Antibacterial prophylaxis</w:t>
            </w:r>
          </w:p>
        </w:tc>
        <w:tc>
          <w:tcPr>
            <w:tcBorders>
              <w:top w:val="single" w:color="BFBFBF" w:sz="6" w:space="0"/>
              <w:left w:val="nil"/>
              <w:bottom w:val="nil"/>
              <w:right w:val="nil"/>
            </w:tcBorders>
            <w:tcMar>
              <w:top w:w="70" w:type="dxa"/>
              <w:left w:w="100" w:type="dxa"/>
              <w:bottom w:w="70" w:type="dxa"/>
              <w:right w:w="100" w:type="dxa"/>
            </w:tcMar>
          </w:tcPr>
          <w:p w14:paraId="40E81E54">
            <w:pPr>
              <w:spacing w:after="0"/>
              <w:jc w:val="center"/>
            </w:pPr>
            <w:r>
              <w:rPr>
                <w:rFonts w:ascii="Times New Roman" w:hAnsi="Times New Roman" w:eastAsia="Times New Roman" w:cs="Times New Roman"/>
                <w:b w:val="0"/>
                <w:bCs w:val="0"/>
                <w:sz w:val="22"/>
                <w:szCs w:val="22"/>
              </w:rPr>
              <w:t>67</w:t>
            </w:r>
          </w:p>
        </w:tc>
        <w:tc>
          <w:tcPr>
            <w:tcBorders>
              <w:top w:val="single" w:color="BFBFBF" w:sz="6" w:space="0"/>
              <w:left w:val="nil"/>
              <w:bottom w:val="nil"/>
              <w:right w:val="nil"/>
            </w:tcBorders>
            <w:tcMar>
              <w:top w:w="70" w:type="dxa"/>
              <w:left w:w="100" w:type="dxa"/>
              <w:bottom w:w="70" w:type="dxa"/>
              <w:right w:w="100" w:type="dxa"/>
            </w:tcMar>
          </w:tcPr>
          <w:p w14:paraId="7ACF6F53">
            <w:pPr>
              <w:spacing w:after="0"/>
              <w:jc w:val="center"/>
            </w:pPr>
            <w:r>
              <w:rPr>
                <w:rFonts w:ascii="Times New Roman" w:hAnsi="Times New Roman" w:eastAsia="Times New Roman" w:cs="Times New Roman"/>
                <w:b w:val="0"/>
                <w:bCs w:val="0"/>
                <w:sz w:val="22"/>
                <w:szCs w:val="22"/>
              </w:rPr>
              <w:t>97</w:t>
            </w:r>
          </w:p>
        </w:tc>
        <w:tc>
          <w:tcPr>
            <w:tcBorders>
              <w:top w:val="single" w:color="BFBFBF" w:sz="6" w:space="0"/>
              <w:left w:val="nil"/>
              <w:bottom w:val="nil"/>
              <w:right w:val="nil"/>
            </w:tcBorders>
            <w:tcMar>
              <w:top w:w="70" w:type="dxa"/>
              <w:left w:w="100" w:type="dxa"/>
              <w:bottom w:w="70" w:type="dxa"/>
              <w:right w:w="100" w:type="dxa"/>
            </w:tcMar>
          </w:tcPr>
          <w:p w14:paraId="43C0FC4C">
            <w:pPr>
              <w:spacing w:after="0"/>
              <w:jc w:val="center"/>
            </w:pPr>
            <w:r>
              <w:rPr>
                <w:rFonts w:ascii="Times New Roman" w:hAnsi="Times New Roman" w:eastAsia="Times New Roman" w:cs="Times New Roman"/>
                <w:b w:val="0"/>
                <w:bCs w:val="0"/>
                <w:sz w:val="22"/>
                <w:szCs w:val="22"/>
              </w:rPr>
              <w:t>69.1</w:t>
            </w:r>
          </w:p>
        </w:tc>
      </w:tr>
      <w:tr w14:paraId="7E02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4A060A6F">
            <w:pPr>
              <w:spacing w:after="0"/>
              <w:jc w:val="left"/>
            </w:pPr>
            <w:r>
              <w:rPr>
                <w:rFonts w:ascii="Times New Roman" w:hAnsi="Times New Roman" w:eastAsia="Times New Roman" w:cs="Times New Roman"/>
                <w:b w:val="0"/>
                <w:bCs w:val="0"/>
                <w:sz w:val="22"/>
                <w:szCs w:val="22"/>
              </w:rPr>
              <w:t>Antiviral prophylaxis</w:t>
            </w:r>
          </w:p>
        </w:tc>
        <w:tc>
          <w:tcPr>
            <w:tcBorders>
              <w:top w:val="single" w:color="BFBFBF" w:sz="6" w:space="0"/>
              <w:left w:val="nil"/>
              <w:bottom w:val="nil"/>
              <w:right w:val="nil"/>
            </w:tcBorders>
            <w:tcMar>
              <w:top w:w="70" w:type="dxa"/>
              <w:left w:w="100" w:type="dxa"/>
              <w:bottom w:w="70" w:type="dxa"/>
              <w:right w:w="100" w:type="dxa"/>
            </w:tcMar>
          </w:tcPr>
          <w:p w14:paraId="23191B78">
            <w:pPr>
              <w:spacing w:after="0"/>
              <w:jc w:val="center"/>
            </w:pPr>
            <w:r>
              <w:rPr>
                <w:rFonts w:ascii="Times New Roman" w:hAnsi="Times New Roman" w:eastAsia="Times New Roman" w:cs="Times New Roman"/>
                <w:b w:val="0"/>
                <w:bCs w:val="0"/>
                <w:sz w:val="22"/>
                <w:szCs w:val="22"/>
              </w:rPr>
              <w:t>34</w:t>
            </w:r>
          </w:p>
        </w:tc>
        <w:tc>
          <w:tcPr>
            <w:tcBorders>
              <w:top w:val="single" w:color="BFBFBF" w:sz="6" w:space="0"/>
              <w:left w:val="nil"/>
              <w:bottom w:val="nil"/>
              <w:right w:val="nil"/>
            </w:tcBorders>
            <w:tcMar>
              <w:top w:w="70" w:type="dxa"/>
              <w:left w:w="100" w:type="dxa"/>
              <w:bottom w:w="70" w:type="dxa"/>
              <w:right w:w="100" w:type="dxa"/>
            </w:tcMar>
          </w:tcPr>
          <w:p w14:paraId="79904B8B">
            <w:pPr>
              <w:spacing w:after="0"/>
              <w:jc w:val="center"/>
            </w:pPr>
            <w:r>
              <w:rPr>
                <w:rFonts w:ascii="Times New Roman" w:hAnsi="Times New Roman" w:eastAsia="Times New Roman" w:cs="Times New Roman"/>
                <w:b w:val="0"/>
                <w:bCs w:val="0"/>
                <w:sz w:val="22"/>
                <w:szCs w:val="22"/>
              </w:rPr>
              <w:t>95</w:t>
            </w:r>
          </w:p>
        </w:tc>
        <w:tc>
          <w:tcPr>
            <w:tcBorders>
              <w:top w:val="single" w:color="BFBFBF" w:sz="6" w:space="0"/>
              <w:left w:val="nil"/>
              <w:bottom w:val="nil"/>
              <w:right w:val="nil"/>
            </w:tcBorders>
            <w:tcMar>
              <w:top w:w="70" w:type="dxa"/>
              <w:left w:w="100" w:type="dxa"/>
              <w:bottom w:w="70" w:type="dxa"/>
              <w:right w:w="100" w:type="dxa"/>
            </w:tcMar>
          </w:tcPr>
          <w:p w14:paraId="6E267210">
            <w:pPr>
              <w:spacing w:after="0"/>
              <w:jc w:val="center"/>
            </w:pPr>
            <w:r>
              <w:rPr>
                <w:rFonts w:ascii="Times New Roman" w:hAnsi="Times New Roman" w:eastAsia="Times New Roman" w:cs="Times New Roman"/>
                <w:b w:val="0"/>
                <w:bCs w:val="0"/>
                <w:sz w:val="22"/>
                <w:szCs w:val="22"/>
              </w:rPr>
              <w:t>35.8</w:t>
            </w:r>
          </w:p>
        </w:tc>
      </w:tr>
      <w:tr w14:paraId="6F11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4B4D65E9">
            <w:pPr>
              <w:spacing w:after="0"/>
              <w:jc w:val="left"/>
            </w:pPr>
            <w:r>
              <w:rPr>
                <w:rFonts w:ascii="Times New Roman" w:hAnsi="Times New Roman" w:eastAsia="Times New Roman" w:cs="Times New Roman"/>
                <w:b w:val="0"/>
                <w:bCs w:val="0"/>
                <w:sz w:val="22"/>
                <w:szCs w:val="22"/>
              </w:rPr>
              <w:t>Antifungal prophylaxis</w:t>
            </w:r>
          </w:p>
        </w:tc>
        <w:tc>
          <w:tcPr>
            <w:tcBorders>
              <w:top w:val="single" w:color="BFBFBF" w:sz="6" w:space="0"/>
              <w:left w:val="nil"/>
              <w:bottom w:val="nil"/>
              <w:right w:val="nil"/>
            </w:tcBorders>
            <w:tcMar>
              <w:top w:w="70" w:type="dxa"/>
              <w:left w:w="100" w:type="dxa"/>
              <w:bottom w:w="70" w:type="dxa"/>
              <w:right w:w="100" w:type="dxa"/>
            </w:tcMar>
          </w:tcPr>
          <w:p w14:paraId="05A215F8">
            <w:pPr>
              <w:spacing w:after="0"/>
              <w:jc w:val="center"/>
            </w:pPr>
            <w:r>
              <w:rPr>
                <w:rFonts w:ascii="Times New Roman" w:hAnsi="Times New Roman" w:eastAsia="Times New Roman" w:cs="Times New Roman"/>
                <w:b w:val="0"/>
                <w:bCs w:val="0"/>
                <w:sz w:val="22"/>
                <w:szCs w:val="22"/>
              </w:rPr>
              <w:t>54</w:t>
            </w:r>
          </w:p>
        </w:tc>
        <w:tc>
          <w:tcPr>
            <w:tcBorders>
              <w:top w:val="single" w:color="BFBFBF" w:sz="6" w:space="0"/>
              <w:left w:val="nil"/>
              <w:bottom w:val="nil"/>
              <w:right w:val="nil"/>
            </w:tcBorders>
            <w:tcMar>
              <w:top w:w="70" w:type="dxa"/>
              <w:left w:w="100" w:type="dxa"/>
              <w:bottom w:w="70" w:type="dxa"/>
              <w:right w:w="100" w:type="dxa"/>
            </w:tcMar>
          </w:tcPr>
          <w:p w14:paraId="784AC44B">
            <w:pPr>
              <w:spacing w:after="0"/>
              <w:jc w:val="center"/>
            </w:pPr>
            <w:r>
              <w:rPr>
                <w:rFonts w:ascii="Times New Roman" w:hAnsi="Times New Roman" w:eastAsia="Times New Roman" w:cs="Times New Roman"/>
                <w:b w:val="0"/>
                <w:bCs w:val="0"/>
                <w:sz w:val="22"/>
                <w:szCs w:val="22"/>
              </w:rPr>
              <w:t>95</w:t>
            </w:r>
          </w:p>
        </w:tc>
        <w:tc>
          <w:tcPr>
            <w:tcBorders>
              <w:top w:val="single" w:color="BFBFBF" w:sz="6" w:space="0"/>
              <w:left w:val="nil"/>
              <w:bottom w:val="nil"/>
              <w:right w:val="nil"/>
            </w:tcBorders>
            <w:tcMar>
              <w:top w:w="70" w:type="dxa"/>
              <w:left w:w="100" w:type="dxa"/>
              <w:bottom w:w="70" w:type="dxa"/>
              <w:right w:w="100" w:type="dxa"/>
            </w:tcMar>
          </w:tcPr>
          <w:p w14:paraId="25462B10">
            <w:pPr>
              <w:spacing w:after="0"/>
              <w:jc w:val="center"/>
            </w:pPr>
            <w:r>
              <w:rPr>
                <w:rFonts w:ascii="Times New Roman" w:hAnsi="Times New Roman" w:eastAsia="Times New Roman" w:cs="Times New Roman"/>
                <w:b w:val="0"/>
                <w:bCs w:val="0"/>
                <w:sz w:val="22"/>
                <w:szCs w:val="22"/>
              </w:rPr>
              <w:t>56.8</w:t>
            </w:r>
          </w:p>
        </w:tc>
      </w:tr>
      <w:tr w14:paraId="62D9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single" w:color="000000" w:sz="12" w:space="0"/>
              <w:right w:val="nil"/>
            </w:tcBorders>
            <w:tcMar>
              <w:top w:w="70" w:type="dxa"/>
              <w:left w:w="100" w:type="dxa"/>
              <w:bottom w:w="70" w:type="dxa"/>
              <w:right w:w="100" w:type="dxa"/>
            </w:tcMar>
          </w:tcPr>
          <w:p w14:paraId="7DCE7991">
            <w:pPr>
              <w:spacing w:after="0"/>
              <w:jc w:val="left"/>
            </w:pPr>
            <w:r>
              <w:rPr>
                <w:rFonts w:ascii="Times New Roman" w:hAnsi="Times New Roman" w:eastAsia="Times New Roman" w:cs="Times New Roman"/>
                <w:b w:val="0"/>
                <w:bCs w:val="0"/>
                <w:sz w:val="22"/>
                <w:szCs w:val="22"/>
              </w:rPr>
              <w:t>HSCT performed</w:t>
            </w:r>
          </w:p>
        </w:tc>
        <w:tc>
          <w:tcPr>
            <w:tcBorders>
              <w:top w:val="nil"/>
              <w:left w:val="nil"/>
              <w:bottom w:val="single" w:color="000000" w:sz="12" w:space="0"/>
              <w:right w:val="nil"/>
            </w:tcBorders>
            <w:tcMar>
              <w:top w:w="70" w:type="dxa"/>
              <w:left w:w="100" w:type="dxa"/>
              <w:bottom w:w="70" w:type="dxa"/>
              <w:right w:w="100" w:type="dxa"/>
            </w:tcMar>
          </w:tcPr>
          <w:p w14:paraId="4B636A8D">
            <w:pPr>
              <w:spacing w:after="0"/>
              <w:jc w:val="center"/>
            </w:pPr>
            <w:r>
              <w:rPr>
                <w:rFonts w:ascii="Times New Roman" w:hAnsi="Times New Roman" w:eastAsia="Times New Roman" w:cs="Times New Roman"/>
                <w:b w:val="0"/>
                <w:bCs w:val="0"/>
                <w:sz w:val="22"/>
                <w:szCs w:val="22"/>
              </w:rPr>
              <w:t>33</w:t>
            </w:r>
          </w:p>
        </w:tc>
        <w:tc>
          <w:tcPr>
            <w:tcBorders>
              <w:top w:val="nil"/>
              <w:left w:val="nil"/>
              <w:bottom w:val="single" w:color="000000" w:sz="12" w:space="0"/>
              <w:right w:val="nil"/>
            </w:tcBorders>
            <w:tcMar>
              <w:top w:w="70" w:type="dxa"/>
              <w:left w:w="100" w:type="dxa"/>
              <w:bottom w:w="70" w:type="dxa"/>
              <w:right w:w="100" w:type="dxa"/>
            </w:tcMar>
          </w:tcPr>
          <w:p w14:paraId="726B7967">
            <w:pPr>
              <w:spacing w:after="0"/>
              <w:jc w:val="center"/>
            </w:pPr>
            <w:r>
              <w:rPr>
                <w:rFonts w:ascii="Times New Roman" w:hAnsi="Times New Roman" w:eastAsia="Times New Roman" w:cs="Times New Roman"/>
                <w:b w:val="0"/>
                <w:bCs w:val="0"/>
                <w:sz w:val="22"/>
                <w:szCs w:val="22"/>
              </w:rPr>
              <w:t>80</w:t>
            </w:r>
          </w:p>
        </w:tc>
        <w:tc>
          <w:tcPr>
            <w:tcBorders>
              <w:top w:val="nil"/>
              <w:left w:val="nil"/>
              <w:bottom w:val="single" w:color="000000" w:sz="12" w:space="0"/>
              <w:right w:val="nil"/>
            </w:tcBorders>
            <w:tcMar>
              <w:top w:w="70" w:type="dxa"/>
              <w:left w:w="100" w:type="dxa"/>
              <w:bottom w:w="70" w:type="dxa"/>
              <w:right w:w="100" w:type="dxa"/>
            </w:tcMar>
          </w:tcPr>
          <w:p w14:paraId="6F8BF89C">
            <w:pPr>
              <w:spacing w:after="0"/>
              <w:jc w:val="center"/>
            </w:pPr>
            <w:r>
              <w:rPr>
                <w:rFonts w:ascii="Times New Roman" w:hAnsi="Times New Roman" w:eastAsia="Times New Roman" w:cs="Times New Roman"/>
                <w:b w:val="0"/>
                <w:bCs w:val="0"/>
                <w:sz w:val="22"/>
                <w:szCs w:val="22"/>
              </w:rPr>
              <w:t>41.2</w:t>
            </w:r>
          </w:p>
        </w:tc>
      </w:tr>
    </w:tbl>
    <w:p w14:paraId="2278C6BC">
      <w:pPr>
        <w:spacing w:before="40" w:after="240"/>
      </w:pPr>
      <w:r>
        <w:rPr>
          <w:rFonts w:ascii="Times New Roman" w:hAnsi="Times New Roman" w:eastAsia="Times New Roman" w:cs="Times New Roman"/>
          <w:color w:val="595959"/>
          <w:sz w:val="20"/>
          <w:szCs w:val="20"/>
        </w:rPr>
        <w:t>Percentages use patients with available treatment data as the denominator. HSCT, hematopoietic stem cell transplantation.</w:t>
      </w:r>
    </w:p>
    <w:p w14:paraId="0904DFFA">
      <w:pPr>
        <w:pageBreakBefore/>
      </w:pPr>
    </w:p>
    <w:p w14:paraId="33AB412B">
      <w:pPr>
        <w:spacing w:before="200" w:after="80"/>
      </w:pPr>
      <w:r>
        <w:rPr>
          <w:rFonts w:ascii="Times New Roman" w:hAnsi="Times New Roman" w:eastAsia="Times New Roman" w:cs="Times New Roman"/>
          <w:b/>
          <w:bCs/>
          <w:sz w:val="24"/>
          <w:szCs w:val="24"/>
        </w:rPr>
        <w:t>Table S</w:t>
      </w:r>
      <w:r>
        <w:rPr>
          <w:rFonts w:hint="default" w:cs="Times New Roman"/>
          <w:b/>
          <w:bCs/>
          <w:sz w:val="24"/>
          <w:szCs w:val="24"/>
          <w:lang w:val="en-US"/>
        </w:rPr>
        <w:t>5</w:t>
      </w:r>
      <w:r>
        <w:rPr>
          <w:rFonts w:ascii="Times New Roman" w:hAnsi="Times New Roman" w:eastAsia="Times New Roman" w:cs="Times New Roman"/>
          <w:b/>
          <w:bCs/>
          <w:sz w:val="24"/>
          <w:szCs w:val="24"/>
        </w:rPr>
        <w:t>. Univariable and multivariable logistic regression for predictors of mortality.</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1"/>
        <w:gridCol w:w="2723"/>
        <w:gridCol w:w="847"/>
        <w:gridCol w:w="2458"/>
        <w:gridCol w:w="717"/>
      </w:tblGrid>
      <w:tr w14:paraId="67E2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000000" w:sz="12" w:space="0"/>
              <w:left w:val="nil"/>
              <w:bottom w:val="nil"/>
              <w:right w:val="nil"/>
            </w:tcBorders>
            <w:tcMar>
              <w:top w:w="70" w:type="dxa"/>
              <w:left w:w="100" w:type="dxa"/>
              <w:bottom w:w="70" w:type="dxa"/>
              <w:right w:w="100" w:type="dxa"/>
            </w:tcMar>
          </w:tcPr>
          <w:p w14:paraId="71D466FB">
            <w:pPr>
              <w:spacing w:after="0"/>
              <w:jc w:val="left"/>
            </w:pPr>
            <w:r>
              <w:rPr>
                <w:rFonts w:ascii="Times New Roman" w:hAnsi="Times New Roman" w:eastAsia="Times New Roman" w:cs="Times New Roman"/>
                <w:b/>
                <w:bCs/>
                <w:sz w:val="22"/>
                <w:szCs w:val="22"/>
              </w:rPr>
              <w:t>Predictor</w:t>
            </w:r>
          </w:p>
        </w:tc>
        <w:tc>
          <w:tcPr>
            <w:tcBorders>
              <w:top w:val="single" w:color="000000" w:sz="12" w:space="0"/>
              <w:left w:val="nil"/>
              <w:bottom w:val="nil"/>
              <w:right w:val="nil"/>
            </w:tcBorders>
            <w:tcMar>
              <w:top w:w="70" w:type="dxa"/>
              <w:left w:w="100" w:type="dxa"/>
              <w:bottom w:w="70" w:type="dxa"/>
              <w:right w:w="100" w:type="dxa"/>
            </w:tcMar>
          </w:tcPr>
          <w:p w14:paraId="3A9A3BB7">
            <w:pPr>
              <w:spacing w:after="0"/>
              <w:jc w:val="center"/>
            </w:pPr>
            <w:r>
              <w:rPr>
                <w:rFonts w:ascii="Times New Roman" w:hAnsi="Times New Roman" w:eastAsia="Times New Roman" w:cs="Times New Roman"/>
                <w:b/>
                <w:bCs/>
                <w:sz w:val="22"/>
                <w:szCs w:val="22"/>
              </w:rPr>
              <w:t>Univariable OR (95% CI)</w:t>
            </w:r>
          </w:p>
        </w:tc>
        <w:tc>
          <w:tcPr>
            <w:tcBorders>
              <w:top w:val="single" w:color="000000" w:sz="12" w:space="0"/>
              <w:left w:val="nil"/>
              <w:bottom w:val="nil"/>
              <w:right w:val="nil"/>
            </w:tcBorders>
            <w:tcMar>
              <w:top w:w="70" w:type="dxa"/>
              <w:left w:w="100" w:type="dxa"/>
              <w:bottom w:w="70" w:type="dxa"/>
              <w:right w:w="100" w:type="dxa"/>
            </w:tcMar>
          </w:tcPr>
          <w:p w14:paraId="02B8EA2C">
            <w:pPr>
              <w:spacing w:after="0"/>
              <w:jc w:val="center"/>
            </w:pPr>
            <w:r>
              <w:rPr>
                <w:rFonts w:ascii="Times New Roman" w:hAnsi="Times New Roman" w:eastAsia="Times New Roman" w:cs="Times New Roman"/>
                <w:b/>
                <w:bCs/>
                <w:sz w:val="22"/>
                <w:szCs w:val="22"/>
              </w:rPr>
              <w:t>p</w:t>
            </w:r>
          </w:p>
        </w:tc>
        <w:tc>
          <w:tcPr>
            <w:tcBorders>
              <w:top w:val="single" w:color="000000" w:sz="12" w:space="0"/>
              <w:left w:val="nil"/>
              <w:bottom w:val="nil"/>
              <w:right w:val="nil"/>
            </w:tcBorders>
            <w:tcMar>
              <w:top w:w="70" w:type="dxa"/>
              <w:left w:w="100" w:type="dxa"/>
              <w:bottom w:w="70" w:type="dxa"/>
              <w:right w:w="100" w:type="dxa"/>
            </w:tcMar>
          </w:tcPr>
          <w:p w14:paraId="276219B2">
            <w:pPr>
              <w:spacing w:after="0"/>
              <w:jc w:val="center"/>
            </w:pPr>
            <w:r>
              <w:rPr>
                <w:rFonts w:ascii="Times New Roman" w:hAnsi="Times New Roman" w:eastAsia="Times New Roman" w:cs="Times New Roman"/>
                <w:b/>
                <w:bCs/>
                <w:sz w:val="22"/>
                <w:szCs w:val="22"/>
              </w:rPr>
              <w:t>Adjusted OR (95% CI)</w:t>
            </w:r>
          </w:p>
        </w:tc>
        <w:tc>
          <w:tcPr>
            <w:tcBorders>
              <w:top w:val="single" w:color="000000" w:sz="12" w:space="0"/>
              <w:left w:val="nil"/>
              <w:bottom w:val="nil"/>
              <w:right w:val="nil"/>
            </w:tcBorders>
            <w:tcMar>
              <w:top w:w="70" w:type="dxa"/>
              <w:left w:w="100" w:type="dxa"/>
              <w:bottom w:w="70" w:type="dxa"/>
              <w:right w:w="100" w:type="dxa"/>
            </w:tcMar>
          </w:tcPr>
          <w:p w14:paraId="3DC6C4B8">
            <w:pPr>
              <w:spacing w:after="0"/>
              <w:jc w:val="center"/>
            </w:pPr>
            <w:r>
              <w:rPr>
                <w:rFonts w:ascii="Times New Roman" w:hAnsi="Times New Roman" w:eastAsia="Times New Roman" w:cs="Times New Roman"/>
                <w:b/>
                <w:bCs/>
                <w:sz w:val="22"/>
                <w:szCs w:val="22"/>
              </w:rPr>
              <w:t>p</w:t>
            </w:r>
          </w:p>
        </w:tc>
      </w:tr>
      <w:tr w14:paraId="4C86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5A70F80B">
            <w:pPr>
              <w:spacing w:after="0"/>
              <w:jc w:val="left"/>
            </w:pPr>
            <w:r>
              <w:rPr>
                <w:rFonts w:ascii="Times New Roman" w:hAnsi="Times New Roman" w:eastAsia="Times New Roman" w:cs="Times New Roman"/>
                <w:b/>
                <w:bCs/>
                <w:sz w:val="22"/>
                <w:szCs w:val="22"/>
              </w:rPr>
              <w:t>Age (per year)</w:t>
            </w:r>
          </w:p>
        </w:tc>
        <w:tc>
          <w:tcPr>
            <w:tcBorders>
              <w:top w:val="single" w:color="BFBFBF" w:sz="6" w:space="0"/>
              <w:left w:val="nil"/>
              <w:bottom w:val="nil"/>
              <w:right w:val="nil"/>
            </w:tcBorders>
            <w:tcMar>
              <w:top w:w="70" w:type="dxa"/>
              <w:left w:w="100" w:type="dxa"/>
              <w:bottom w:w="70" w:type="dxa"/>
              <w:right w:w="100" w:type="dxa"/>
            </w:tcMar>
          </w:tcPr>
          <w:p w14:paraId="59133A3F">
            <w:pPr>
              <w:spacing w:after="0"/>
              <w:jc w:val="center"/>
            </w:pPr>
            <w:r>
              <w:rPr>
                <w:rFonts w:ascii="Times New Roman" w:hAnsi="Times New Roman" w:eastAsia="Times New Roman" w:cs="Times New Roman"/>
                <w:b w:val="0"/>
                <w:bCs w:val="0"/>
                <w:sz w:val="22"/>
                <w:szCs w:val="22"/>
              </w:rPr>
              <w:t>0.83 (0.73-0.96)</w:t>
            </w:r>
          </w:p>
        </w:tc>
        <w:tc>
          <w:tcPr>
            <w:tcBorders>
              <w:top w:val="single" w:color="BFBFBF" w:sz="6" w:space="0"/>
              <w:left w:val="nil"/>
              <w:bottom w:val="nil"/>
              <w:right w:val="nil"/>
            </w:tcBorders>
            <w:tcMar>
              <w:top w:w="70" w:type="dxa"/>
              <w:left w:w="100" w:type="dxa"/>
              <w:bottom w:w="70" w:type="dxa"/>
              <w:right w:w="100" w:type="dxa"/>
            </w:tcMar>
          </w:tcPr>
          <w:p w14:paraId="78A24798">
            <w:pPr>
              <w:spacing w:after="0"/>
              <w:jc w:val="center"/>
            </w:pPr>
            <w:r>
              <w:rPr>
                <w:rFonts w:ascii="Times New Roman" w:hAnsi="Times New Roman" w:eastAsia="Times New Roman" w:cs="Times New Roman"/>
                <w:b/>
                <w:bCs/>
                <w:sz w:val="22"/>
                <w:szCs w:val="22"/>
              </w:rPr>
              <w:t>0.009</w:t>
            </w:r>
          </w:p>
        </w:tc>
        <w:tc>
          <w:tcPr>
            <w:tcBorders>
              <w:top w:val="single" w:color="BFBFBF" w:sz="6" w:space="0"/>
              <w:left w:val="nil"/>
              <w:bottom w:val="nil"/>
              <w:right w:val="nil"/>
            </w:tcBorders>
            <w:tcMar>
              <w:top w:w="70" w:type="dxa"/>
              <w:left w:w="100" w:type="dxa"/>
              <w:bottom w:w="70" w:type="dxa"/>
              <w:right w:w="100" w:type="dxa"/>
            </w:tcMar>
          </w:tcPr>
          <w:p w14:paraId="664B0FEC">
            <w:pPr>
              <w:spacing w:after="0"/>
              <w:jc w:val="center"/>
            </w:pPr>
            <w:r>
              <w:rPr>
                <w:rFonts w:ascii="Times New Roman" w:hAnsi="Times New Roman" w:eastAsia="Times New Roman" w:cs="Times New Roman"/>
                <w:b w:val="0"/>
                <w:bCs w:val="0"/>
                <w:sz w:val="22"/>
                <w:szCs w:val="22"/>
              </w:rPr>
              <w:t>0.94 (0.79-1.12)</w:t>
            </w:r>
          </w:p>
        </w:tc>
        <w:tc>
          <w:tcPr>
            <w:tcBorders>
              <w:top w:val="single" w:color="BFBFBF" w:sz="6" w:space="0"/>
              <w:left w:val="nil"/>
              <w:bottom w:val="nil"/>
              <w:right w:val="nil"/>
            </w:tcBorders>
            <w:tcMar>
              <w:top w:w="70" w:type="dxa"/>
              <w:left w:w="100" w:type="dxa"/>
              <w:bottom w:w="70" w:type="dxa"/>
              <w:right w:w="100" w:type="dxa"/>
            </w:tcMar>
          </w:tcPr>
          <w:p w14:paraId="0F5D924B">
            <w:pPr>
              <w:spacing w:after="0"/>
              <w:jc w:val="center"/>
            </w:pPr>
            <w:r>
              <w:rPr>
                <w:rFonts w:ascii="Times New Roman" w:hAnsi="Times New Roman" w:eastAsia="Times New Roman" w:cs="Times New Roman"/>
                <w:b w:val="0"/>
                <w:bCs w:val="0"/>
                <w:sz w:val="22"/>
                <w:szCs w:val="22"/>
              </w:rPr>
              <w:t>0.474</w:t>
            </w:r>
          </w:p>
        </w:tc>
      </w:tr>
      <w:tr w14:paraId="60CE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01195D23">
            <w:pPr>
              <w:spacing w:after="0"/>
              <w:jc w:val="left"/>
            </w:pPr>
            <w:r>
              <w:rPr>
                <w:rFonts w:ascii="Times New Roman" w:hAnsi="Times New Roman" w:eastAsia="Times New Roman" w:cs="Times New Roman"/>
                <w:b w:val="0"/>
                <w:bCs w:val="0"/>
                <w:sz w:val="22"/>
                <w:szCs w:val="22"/>
              </w:rPr>
              <w:t>Male sex</w:t>
            </w:r>
          </w:p>
        </w:tc>
        <w:tc>
          <w:tcPr>
            <w:tcBorders>
              <w:top w:val="single" w:color="BFBFBF" w:sz="6" w:space="0"/>
              <w:left w:val="nil"/>
              <w:bottom w:val="nil"/>
              <w:right w:val="nil"/>
            </w:tcBorders>
            <w:tcMar>
              <w:top w:w="70" w:type="dxa"/>
              <w:left w:w="100" w:type="dxa"/>
              <w:bottom w:w="70" w:type="dxa"/>
              <w:right w:w="100" w:type="dxa"/>
            </w:tcMar>
          </w:tcPr>
          <w:p w14:paraId="6D852D5E">
            <w:pPr>
              <w:spacing w:after="0"/>
              <w:jc w:val="center"/>
            </w:pPr>
            <w:r>
              <w:rPr>
                <w:rFonts w:ascii="Times New Roman" w:hAnsi="Times New Roman" w:eastAsia="Times New Roman" w:cs="Times New Roman"/>
                <w:b w:val="0"/>
                <w:bCs w:val="0"/>
                <w:sz w:val="22"/>
                <w:szCs w:val="22"/>
              </w:rPr>
              <w:t>0.80 (0.30-2.14)</w:t>
            </w:r>
          </w:p>
        </w:tc>
        <w:tc>
          <w:tcPr>
            <w:tcBorders>
              <w:top w:val="single" w:color="BFBFBF" w:sz="6" w:space="0"/>
              <w:left w:val="nil"/>
              <w:bottom w:val="nil"/>
              <w:right w:val="nil"/>
            </w:tcBorders>
            <w:tcMar>
              <w:top w:w="70" w:type="dxa"/>
              <w:left w:w="100" w:type="dxa"/>
              <w:bottom w:w="70" w:type="dxa"/>
              <w:right w:w="100" w:type="dxa"/>
            </w:tcMar>
          </w:tcPr>
          <w:p w14:paraId="0DB7FF94">
            <w:pPr>
              <w:spacing w:after="0"/>
              <w:jc w:val="center"/>
            </w:pPr>
            <w:r>
              <w:rPr>
                <w:rFonts w:ascii="Times New Roman" w:hAnsi="Times New Roman" w:eastAsia="Times New Roman" w:cs="Times New Roman"/>
                <w:b w:val="0"/>
                <w:bCs w:val="0"/>
                <w:sz w:val="22"/>
                <w:szCs w:val="22"/>
              </w:rPr>
              <w:t>0.653</w:t>
            </w:r>
          </w:p>
        </w:tc>
        <w:tc>
          <w:tcPr>
            <w:tcBorders>
              <w:top w:val="single" w:color="BFBFBF" w:sz="6" w:space="0"/>
              <w:left w:val="nil"/>
              <w:bottom w:val="nil"/>
              <w:right w:val="nil"/>
            </w:tcBorders>
            <w:tcMar>
              <w:top w:w="70" w:type="dxa"/>
              <w:left w:w="100" w:type="dxa"/>
              <w:bottom w:w="70" w:type="dxa"/>
              <w:right w:w="100" w:type="dxa"/>
            </w:tcMar>
          </w:tcPr>
          <w:p w14:paraId="44592133">
            <w:pPr>
              <w:spacing w:after="0"/>
              <w:jc w:val="center"/>
            </w:pPr>
            <w:r>
              <w:rPr>
                <w:rFonts w:ascii="Times New Roman" w:hAnsi="Times New Roman" w:eastAsia="Times New Roman" w:cs="Times New Roman"/>
                <w:b w:val="0"/>
                <w:bCs w:val="0"/>
                <w:sz w:val="22"/>
                <w:szCs w:val="22"/>
              </w:rPr>
              <w:t>1.13 (0.34-3.76)</w:t>
            </w:r>
          </w:p>
        </w:tc>
        <w:tc>
          <w:tcPr>
            <w:tcBorders>
              <w:top w:val="single" w:color="BFBFBF" w:sz="6" w:space="0"/>
              <w:left w:val="nil"/>
              <w:bottom w:val="nil"/>
              <w:right w:val="nil"/>
            </w:tcBorders>
            <w:tcMar>
              <w:top w:w="70" w:type="dxa"/>
              <w:left w:w="100" w:type="dxa"/>
              <w:bottom w:w="70" w:type="dxa"/>
              <w:right w:w="100" w:type="dxa"/>
            </w:tcMar>
          </w:tcPr>
          <w:p w14:paraId="2E4310F3">
            <w:pPr>
              <w:spacing w:after="0"/>
              <w:jc w:val="center"/>
            </w:pPr>
            <w:r>
              <w:rPr>
                <w:rFonts w:ascii="Times New Roman" w:hAnsi="Times New Roman" w:eastAsia="Times New Roman" w:cs="Times New Roman"/>
                <w:b w:val="0"/>
                <w:bCs w:val="0"/>
                <w:sz w:val="22"/>
                <w:szCs w:val="22"/>
              </w:rPr>
              <w:t>0.846</w:t>
            </w:r>
          </w:p>
        </w:tc>
      </w:tr>
      <w:tr w14:paraId="36FC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38F4A040">
            <w:pPr>
              <w:spacing w:after="0"/>
              <w:jc w:val="left"/>
            </w:pPr>
            <w:r>
              <w:rPr>
                <w:rFonts w:ascii="Times New Roman" w:hAnsi="Times New Roman" w:eastAsia="Times New Roman" w:cs="Times New Roman"/>
                <w:b/>
                <w:bCs/>
                <w:sz w:val="22"/>
                <w:szCs w:val="22"/>
              </w:rPr>
              <w:t>SCID diagnosis</w:t>
            </w:r>
          </w:p>
        </w:tc>
        <w:tc>
          <w:tcPr>
            <w:tcBorders>
              <w:top w:val="single" w:color="BFBFBF" w:sz="6" w:space="0"/>
              <w:left w:val="nil"/>
              <w:bottom w:val="nil"/>
              <w:right w:val="nil"/>
            </w:tcBorders>
            <w:tcMar>
              <w:top w:w="70" w:type="dxa"/>
              <w:left w:w="100" w:type="dxa"/>
              <w:bottom w:w="70" w:type="dxa"/>
              <w:right w:w="100" w:type="dxa"/>
            </w:tcMar>
          </w:tcPr>
          <w:p w14:paraId="13A9D012">
            <w:pPr>
              <w:spacing w:after="0"/>
              <w:jc w:val="center"/>
            </w:pPr>
            <w:r>
              <w:rPr>
                <w:rFonts w:ascii="Times New Roman" w:hAnsi="Times New Roman" w:eastAsia="Times New Roman" w:cs="Times New Roman"/>
                <w:b w:val="0"/>
                <w:bCs w:val="0"/>
                <w:sz w:val="22"/>
                <w:szCs w:val="22"/>
              </w:rPr>
              <w:t>11.14 (3.64-34.11)</w:t>
            </w:r>
          </w:p>
        </w:tc>
        <w:tc>
          <w:tcPr>
            <w:tcBorders>
              <w:top w:val="single" w:color="BFBFBF" w:sz="6" w:space="0"/>
              <w:left w:val="nil"/>
              <w:bottom w:val="nil"/>
              <w:right w:val="nil"/>
            </w:tcBorders>
            <w:tcMar>
              <w:top w:w="70" w:type="dxa"/>
              <w:left w:w="100" w:type="dxa"/>
              <w:bottom w:w="70" w:type="dxa"/>
              <w:right w:w="100" w:type="dxa"/>
            </w:tcMar>
          </w:tcPr>
          <w:p w14:paraId="61C13956">
            <w:pPr>
              <w:spacing w:after="0"/>
              <w:jc w:val="center"/>
            </w:pPr>
            <w:r>
              <w:rPr>
                <w:rFonts w:ascii="Times New Roman" w:hAnsi="Times New Roman" w:eastAsia="Times New Roman" w:cs="Times New Roman"/>
                <w:b/>
                <w:bCs/>
                <w:sz w:val="22"/>
                <w:szCs w:val="22"/>
              </w:rPr>
              <w:t>&lt;0.001</w:t>
            </w:r>
          </w:p>
        </w:tc>
        <w:tc>
          <w:tcPr>
            <w:tcBorders>
              <w:top w:val="single" w:color="BFBFBF" w:sz="6" w:space="0"/>
              <w:left w:val="nil"/>
              <w:bottom w:val="nil"/>
              <w:right w:val="nil"/>
            </w:tcBorders>
            <w:tcMar>
              <w:top w:w="70" w:type="dxa"/>
              <w:left w:w="100" w:type="dxa"/>
              <w:bottom w:w="70" w:type="dxa"/>
              <w:right w:w="100" w:type="dxa"/>
            </w:tcMar>
          </w:tcPr>
          <w:p w14:paraId="3552D67B">
            <w:pPr>
              <w:spacing w:after="0"/>
              <w:jc w:val="center"/>
            </w:pPr>
            <w:r>
              <w:rPr>
                <w:rFonts w:ascii="Times New Roman" w:hAnsi="Times New Roman" w:eastAsia="Times New Roman" w:cs="Times New Roman"/>
                <w:b w:val="0"/>
                <w:bCs w:val="0"/>
                <w:sz w:val="22"/>
                <w:szCs w:val="22"/>
              </w:rPr>
              <w:t>7.55 (1.55-36.72)</w:t>
            </w:r>
          </w:p>
        </w:tc>
        <w:tc>
          <w:tcPr>
            <w:tcBorders>
              <w:top w:val="single" w:color="BFBFBF" w:sz="6" w:space="0"/>
              <w:left w:val="nil"/>
              <w:bottom w:val="nil"/>
              <w:right w:val="nil"/>
            </w:tcBorders>
            <w:tcMar>
              <w:top w:w="70" w:type="dxa"/>
              <w:left w:w="100" w:type="dxa"/>
              <w:bottom w:w="70" w:type="dxa"/>
              <w:right w:w="100" w:type="dxa"/>
            </w:tcMar>
          </w:tcPr>
          <w:p w14:paraId="77E406A3">
            <w:pPr>
              <w:spacing w:after="0"/>
              <w:jc w:val="center"/>
            </w:pPr>
            <w:r>
              <w:rPr>
                <w:rFonts w:ascii="Times New Roman" w:hAnsi="Times New Roman" w:eastAsia="Times New Roman" w:cs="Times New Roman"/>
                <w:b w:val="0"/>
                <w:bCs w:val="0"/>
                <w:sz w:val="22"/>
                <w:szCs w:val="22"/>
              </w:rPr>
              <w:t>0.012</w:t>
            </w:r>
          </w:p>
        </w:tc>
      </w:tr>
      <w:tr w14:paraId="1995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145C4C14">
            <w:pPr>
              <w:spacing w:after="0"/>
              <w:jc w:val="left"/>
            </w:pPr>
            <w:r>
              <w:rPr>
                <w:rFonts w:ascii="Times New Roman" w:hAnsi="Times New Roman" w:eastAsia="Times New Roman" w:cs="Times New Roman"/>
                <w:b/>
                <w:bCs/>
                <w:sz w:val="22"/>
                <w:szCs w:val="22"/>
              </w:rPr>
              <w:t>Combined immunodef. (any)</w:t>
            </w:r>
          </w:p>
        </w:tc>
        <w:tc>
          <w:tcPr>
            <w:tcBorders>
              <w:top w:val="single" w:color="BFBFBF" w:sz="6" w:space="0"/>
              <w:left w:val="nil"/>
              <w:bottom w:val="nil"/>
              <w:right w:val="nil"/>
            </w:tcBorders>
            <w:tcMar>
              <w:top w:w="70" w:type="dxa"/>
              <w:left w:w="100" w:type="dxa"/>
              <w:bottom w:w="70" w:type="dxa"/>
              <w:right w:w="100" w:type="dxa"/>
            </w:tcMar>
          </w:tcPr>
          <w:p w14:paraId="349E03D5">
            <w:pPr>
              <w:spacing w:after="0"/>
              <w:jc w:val="center"/>
            </w:pPr>
            <w:r>
              <w:rPr>
                <w:rFonts w:ascii="Times New Roman" w:hAnsi="Times New Roman" w:eastAsia="Times New Roman" w:cs="Times New Roman"/>
                <w:b w:val="0"/>
                <w:bCs w:val="0"/>
                <w:sz w:val="22"/>
                <w:szCs w:val="22"/>
              </w:rPr>
              <w:t>10.00 (3.01-33.27)</w:t>
            </w:r>
          </w:p>
        </w:tc>
        <w:tc>
          <w:tcPr>
            <w:tcBorders>
              <w:top w:val="single" w:color="BFBFBF" w:sz="6" w:space="0"/>
              <w:left w:val="nil"/>
              <w:bottom w:val="nil"/>
              <w:right w:val="nil"/>
            </w:tcBorders>
            <w:tcMar>
              <w:top w:w="70" w:type="dxa"/>
              <w:left w:w="100" w:type="dxa"/>
              <w:bottom w:w="70" w:type="dxa"/>
              <w:right w:w="100" w:type="dxa"/>
            </w:tcMar>
          </w:tcPr>
          <w:p w14:paraId="6592B3CE">
            <w:pPr>
              <w:spacing w:after="0"/>
              <w:jc w:val="center"/>
            </w:pPr>
            <w:r>
              <w:rPr>
                <w:rFonts w:ascii="Times New Roman" w:hAnsi="Times New Roman" w:eastAsia="Times New Roman" w:cs="Times New Roman"/>
                <w:b/>
                <w:bCs/>
                <w:sz w:val="22"/>
                <w:szCs w:val="22"/>
              </w:rPr>
              <w:t>&lt;0.001</w:t>
            </w:r>
          </w:p>
        </w:tc>
        <w:tc>
          <w:tcPr>
            <w:tcBorders>
              <w:top w:val="single" w:color="BFBFBF" w:sz="6" w:space="0"/>
              <w:left w:val="nil"/>
              <w:bottom w:val="nil"/>
              <w:right w:val="nil"/>
            </w:tcBorders>
            <w:tcMar>
              <w:top w:w="70" w:type="dxa"/>
              <w:left w:w="100" w:type="dxa"/>
              <w:bottom w:w="70" w:type="dxa"/>
              <w:right w:w="100" w:type="dxa"/>
            </w:tcMar>
          </w:tcPr>
          <w:p w14:paraId="42E53CB6">
            <w:pPr>
              <w:spacing w:after="0"/>
              <w:jc w:val="center"/>
            </w:pPr>
            <w:r>
              <w:rPr>
                <w:rFonts w:ascii="Times New Roman" w:hAnsi="Times New Roman" w:eastAsia="Times New Roman" w:cs="Times New Roman"/>
                <w:b w:val="0"/>
                <w:bCs w:val="0"/>
                <w:sz w:val="22"/>
                <w:szCs w:val="22"/>
              </w:rPr>
              <w:t>—</w:t>
            </w:r>
          </w:p>
        </w:tc>
        <w:tc>
          <w:tcPr>
            <w:tcBorders>
              <w:top w:val="single" w:color="BFBFBF" w:sz="6" w:space="0"/>
              <w:left w:val="nil"/>
              <w:bottom w:val="nil"/>
              <w:right w:val="nil"/>
            </w:tcBorders>
            <w:tcMar>
              <w:top w:w="70" w:type="dxa"/>
              <w:left w:w="100" w:type="dxa"/>
              <w:bottom w:w="70" w:type="dxa"/>
              <w:right w:w="100" w:type="dxa"/>
            </w:tcMar>
          </w:tcPr>
          <w:p w14:paraId="1039F36E">
            <w:pPr>
              <w:spacing w:after="0"/>
              <w:jc w:val="center"/>
            </w:pPr>
            <w:r>
              <w:rPr>
                <w:rFonts w:ascii="Times New Roman" w:hAnsi="Times New Roman" w:eastAsia="Times New Roman" w:cs="Times New Roman"/>
                <w:b w:val="0"/>
                <w:bCs w:val="0"/>
                <w:sz w:val="22"/>
                <w:szCs w:val="22"/>
              </w:rPr>
              <w:t>—</w:t>
            </w:r>
          </w:p>
        </w:tc>
      </w:tr>
      <w:tr w14:paraId="7FF6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5A69A629">
            <w:pPr>
              <w:spacing w:after="0"/>
              <w:jc w:val="left"/>
            </w:pPr>
            <w:r>
              <w:rPr>
                <w:rFonts w:ascii="Times New Roman" w:hAnsi="Times New Roman" w:eastAsia="Times New Roman" w:cs="Times New Roman"/>
                <w:b w:val="0"/>
                <w:bCs w:val="0"/>
                <w:sz w:val="22"/>
                <w:szCs w:val="22"/>
              </w:rPr>
              <w:t>Consanguinity</w:t>
            </w:r>
          </w:p>
        </w:tc>
        <w:tc>
          <w:tcPr>
            <w:tcBorders>
              <w:top w:val="single" w:color="BFBFBF" w:sz="6" w:space="0"/>
              <w:left w:val="nil"/>
              <w:bottom w:val="nil"/>
              <w:right w:val="nil"/>
            </w:tcBorders>
            <w:tcMar>
              <w:top w:w="70" w:type="dxa"/>
              <w:left w:w="100" w:type="dxa"/>
              <w:bottom w:w="70" w:type="dxa"/>
              <w:right w:w="100" w:type="dxa"/>
            </w:tcMar>
          </w:tcPr>
          <w:p w14:paraId="7450B89F">
            <w:pPr>
              <w:spacing w:after="0"/>
              <w:jc w:val="center"/>
            </w:pPr>
            <w:r>
              <w:rPr>
                <w:rFonts w:ascii="Times New Roman" w:hAnsi="Times New Roman" w:eastAsia="Times New Roman" w:cs="Times New Roman"/>
                <w:b w:val="0"/>
                <w:bCs w:val="0"/>
                <w:sz w:val="22"/>
                <w:szCs w:val="22"/>
              </w:rPr>
              <w:t>1.26 (0.43-3.65)</w:t>
            </w:r>
          </w:p>
        </w:tc>
        <w:tc>
          <w:tcPr>
            <w:tcBorders>
              <w:top w:val="single" w:color="BFBFBF" w:sz="6" w:space="0"/>
              <w:left w:val="nil"/>
              <w:bottom w:val="nil"/>
              <w:right w:val="nil"/>
            </w:tcBorders>
            <w:tcMar>
              <w:top w:w="70" w:type="dxa"/>
              <w:left w:w="100" w:type="dxa"/>
              <w:bottom w:w="70" w:type="dxa"/>
              <w:right w:w="100" w:type="dxa"/>
            </w:tcMar>
          </w:tcPr>
          <w:p w14:paraId="34D06C50">
            <w:pPr>
              <w:spacing w:after="0"/>
              <w:jc w:val="center"/>
            </w:pPr>
            <w:r>
              <w:rPr>
                <w:rFonts w:ascii="Times New Roman" w:hAnsi="Times New Roman" w:eastAsia="Times New Roman" w:cs="Times New Roman"/>
                <w:b w:val="0"/>
                <w:bCs w:val="0"/>
                <w:sz w:val="22"/>
                <w:szCs w:val="22"/>
              </w:rPr>
              <w:t>0.671</w:t>
            </w:r>
          </w:p>
        </w:tc>
        <w:tc>
          <w:tcPr>
            <w:tcBorders>
              <w:top w:val="single" w:color="BFBFBF" w:sz="6" w:space="0"/>
              <w:left w:val="nil"/>
              <w:bottom w:val="nil"/>
              <w:right w:val="nil"/>
            </w:tcBorders>
            <w:tcMar>
              <w:top w:w="70" w:type="dxa"/>
              <w:left w:w="100" w:type="dxa"/>
              <w:bottom w:w="70" w:type="dxa"/>
              <w:right w:w="100" w:type="dxa"/>
            </w:tcMar>
          </w:tcPr>
          <w:p w14:paraId="2300D7C5">
            <w:pPr>
              <w:spacing w:after="0"/>
              <w:jc w:val="center"/>
            </w:pPr>
            <w:r>
              <w:rPr>
                <w:rFonts w:ascii="Times New Roman" w:hAnsi="Times New Roman" w:eastAsia="Times New Roman" w:cs="Times New Roman"/>
                <w:b w:val="0"/>
                <w:bCs w:val="0"/>
                <w:sz w:val="22"/>
                <w:szCs w:val="22"/>
              </w:rPr>
              <w:t>0.59 (0.15-2.42)</w:t>
            </w:r>
          </w:p>
        </w:tc>
        <w:tc>
          <w:tcPr>
            <w:tcBorders>
              <w:top w:val="single" w:color="BFBFBF" w:sz="6" w:space="0"/>
              <w:left w:val="nil"/>
              <w:bottom w:val="nil"/>
              <w:right w:val="nil"/>
            </w:tcBorders>
            <w:tcMar>
              <w:top w:w="70" w:type="dxa"/>
              <w:left w:w="100" w:type="dxa"/>
              <w:bottom w:w="70" w:type="dxa"/>
              <w:right w:w="100" w:type="dxa"/>
            </w:tcMar>
          </w:tcPr>
          <w:p w14:paraId="69C80B8A">
            <w:pPr>
              <w:spacing w:after="0"/>
              <w:jc w:val="center"/>
            </w:pPr>
            <w:r>
              <w:rPr>
                <w:rFonts w:ascii="Times New Roman" w:hAnsi="Times New Roman" w:eastAsia="Times New Roman" w:cs="Times New Roman"/>
                <w:b w:val="0"/>
                <w:bCs w:val="0"/>
                <w:sz w:val="22"/>
                <w:szCs w:val="22"/>
              </w:rPr>
              <w:t>0.468</w:t>
            </w:r>
          </w:p>
        </w:tc>
      </w:tr>
      <w:tr w14:paraId="3EE5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5597BC15">
            <w:pPr>
              <w:spacing w:after="0"/>
              <w:jc w:val="left"/>
            </w:pPr>
            <w:r>
              <w:rPr>
                <w:rFonts w:ascii="Times New Roman" w:hAnsi="Times New Roman" w:eastAsia="Times New Roman" w:cs="Times New Roman"/>
                <w:b w:val="0"/>
                <w:bCs w:val="0"/>
                <w:sz w:val="22"/>
                <w:szCs w:val="22"/>
              </w:rPr>
              <w:t>Gene identified</w:t>
            </w:r>
          </w:p>
        </w:tc>
        <w:tc>
          <w:tcPr>
            <w:tcBorders>
              <w:top w:val="single" w:color="BFBFBF" w:sz="6" w:space="0"/>
              <w:left w:val="nil"/>
              <w:bottom w:val="nil"/>
              <w:right w:val="nil"/>
            </w:tcBorders>
            <w:tcMar>
              <w:top w:w="70" w:type="dxa"/>
              <w:left w:w="100" w:type="dxa"/>
              <w:bottom w:w="70" w:type="dxa"/>
              <w:right w:w="100" w:type="dxa"/>
            </w:tcMar>
          </w:tcPr>
          <w:p w14:paraId="71EE06EE">
            <w:pPr>
              <w:spacing w:after="0"/>
              <w:jc w:val="center"/>
            </w:pPr>
            <w:r>
              <w:rPr>
                <w:rFonts w:ascii="Times New Roman" w:hAnsi="Times New Roman" w:eastAsia="Times New Roman" w:cs="Times New Roman"/>
                <w:b w:val="0"/>
                <w:bCs w:val="0"/>
                <w:sz w:val="22"/>
                <w:szCs w:val="22"/>
              </w:rPr>
              <w:t>0.57 (0.20-1.63)</w:t>
            </w:r>
          </w:p>
        </w:tc>
        <w:tc>
          <w:tcPr>
            <w:tcBorders>
              <w:top w:val="single" w:color="BFBFBF" w:sz="6" w:space="0"/>
              <w:left w:val="nil"/>
              <w:bottom w:val="nil"/>
              <w:right w:val="nil"/>
            </w:tcBorders>
            <w:tcMar>
              <w:top w:w="70" w:type="dxa"/>
              <w:left w:w="100" w:type="dxa"/>
              <w:bottom w:w="70" w:type="dxa"/>
              <w:right w:w="100" w:type="dxa"/>
            </w:tcMar>
          </w:tcPr>
          <w:p w14:paraId="654EAB16">
            <w:pPr>
              <w:spacing w:after="0"/>
              <w:jc w:val="center"/>
            </w:pPr>
            <w:r>
              <w:rPr>
                <w:rFonts w:ascii="Times New Roman" w:hAnsi="Times New Roman" w:eastAsia="Times New Roman" w:cs="Times New Roman"/>
                <w:b w:val="0"/>
                <w:bCs w:val="0"/>
                <w:sz w:val="22"/>
                <w:szCs w:val="22"/>
              </w:rPr>
              <w:t>0.293</w:t>
            </w:r>
          </w:p>
        </w:tc>
        <w:tc>
          <w:tcPr>
            <w:tcBorders>
              <w:top w:val="single" w:color="BFBFBF" w:sz="6" w:space="0"/>
              <w:left w:val="nil"/>
              <w:bottom w:val="nil"/>
              <w:right w:val="nil"/>
            </w:tcBorders>
            <w:tcMar>
              <w:top w:w="70" w:type="dxa"/>
              <w:left w:w="100" w:type="dxa"/>
              <w:bottom w:w="70" w:type="dxa"/>
              <w:right w:w="100" w:type="dxa"/>
            </w:tcMar>
          </w:tcPr>
          <w:p w14:paraId="7F99C0A5">
            <w:pPr>
              <w:spacing w:after="0"/>
              <w:jc w:val="center"/>
            </w:pPr>
            <w:r>
              <w:rPr>
                <w:rFonts w:ascii="Times New Roman" w:hAnsi="Times New Roman" w:eastAsia="Times New Roman" w:cs="Times New Roman"/>
                <w:b w:val="0"/>
                <w:bCs w:val="0"/>
                <w:sz w:val="22"/>
                <w:szCs w:val="22"/>
              </w:rPr>
              <w:t>—</w:t>
            </w:r>
          </w:p>
        </w:tc>
        <w:tc>
          <w:tcPr>
            <w:tcBorders>
              <w:top w:val="single" w:color="BFBFBF" w:sz="6" w:space="0"/>
              <w:left w:val="nil"/>
              <w:bottom w:val="nil"/>
              <w:right w:val="nil"/>
            </w:tcBorders>
            <w:tcMar>
              <w:top w:w="70" w:type="dxa"/>
              <w:left w:w="100" w:type="dxa"/>
              <w:bottom w:w="70" w:type="dxa"/>
              <w:right w:w="100" w:type="dxa"/>
            </w:tcMar>
          </w:tcPr>
          <w:p w14:paraId="7045D15F">
            <w:pPr>
              <w:spacing w:after="0"/>
              <w:jc w:val="center"/>
            </w:pPr>
            <w:r>
              <w:rPr>
                <w:rFonts w:ascii="Times New Roman" w:hAnsi="Times New Roman" w:eastAsia="Times New Roman" w:cs="Times New Roman"/>
                <w:b w:val="0"/>
                <w:bCs w:val="0"/>
                <w:sz w:val="22"/>
                <w:szCs w:val="22"/>
              </w:rPr>
              <w:t>—</w:t>
            </w:r>
          </w:p>
        </w:tc>
      </w:tr>
      <w:tr w14:paraId="2BA1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3B753F8A">
            <w:pPr>
              <w:spacing w:after="0"/>
              <w:jc w:val="left"/>
            </w:pPr>
            <w:r>
              <w:rPr>
                <w:rFonts w:ascii="Times New Roman" w:hAnsi="Times New Roman" w:eastAsia="Times New Roman" w:cs="Times New Roman"/>
                <w:b/>
                <w:bCs/>
                <w:sz w:val="22"/>
                <w:szCs w:val="22"/>
              </w:rPr>
              <w:t>CNS infection</w:t>
            </w:r>
          </w:p>
        </w:tc>
        <w:tc>
          <w:tcPr>
            <w:tcBorders>
              <w:top w:val="single" w:color="BFBFBF" w:sz="6" w:space="0"/>
              <w:left w:val="nil"/>
              <w:bottom w:val="nil"/>
              <w:right w:val="nil"/>
            </w:tcBorders>
            <w:tcMar>
              <w:top w:w="70" w:type="dxa"/>
              <w:left w:w="100" w:type="dxa"/>
              <w:bottom w:w="70" w:type="dxa"/>
              <w:right w:w="100" w:type="dxa"/>
            </w:tcMar>
          </w:tcPr>
          <w:p w14:paraId="569CEC1C">
            <w:pPr>
              <w:spacing w:after="0"/>
              <w:jc w:val="center"/>
            </w:pPr>
            <w:r>
              <w:rPr>
                <w:rFonts w:ascii="Times New Roman" w:hAnsi="Times New Roman" w:eastAsia="Times New Roman" w:cs="Times New Roman"/>
                <w:b w:val="0"/>
                <w:bCs w:val="0"/>
                <w:sz w:val="22"/>
                <w:szCs w:val="22"/>
              </w:rPr>
              <w:t>8.22 (1.77-38.17)</w:t>
            </w:r>
          </w:p>
        </w:tc>
        <w:tc>
          <w:tcPr>
            <w:tcBorders>
              <w:top w:val="single" w:color="BFBFBF" w:sz="6" w:space="0"/>
              <w:left w:val="nil"/>
              <w:bottom w:val="nil"/>
              <w:right w:val="nil"/>
            </w:tcBorders>
            <w:tcMar>
              <w:top w:w="70" w:type="dxa"/>
              <w:left w:w="100" w:type="dxa"/>
              <w:bottom w:w="70" w:type="dxa"/>
              <w:right w:w="100" w:type="dxa"/>
            </w:tcMar>
          </w:tcPr>
          <w:p w14:paraId="2470348D">
            <w:pPr>
              <w:spacing w:after="0"/>
              <w:jc w:val="center"/>
            </w:pPr>
            <w:r>
              <w:rPr>
                <w:rFonts w:ascii="Times New Roman" w:hAnsi="Times New Roman" w:eastAsia="Times New Roman" w:cs="Times New Roman"/>
                <w:b/>
                <w:bCs/>
                <w:sz w:val="22"/>
                <w:szCs w:val="22"/>
              </w:rPr>
              <w:t>0.007</w:t>
            </w:r>
          </w:p>
        </w:tc>
        <w:tc>
          <w:tcPr>
            <w:tcBorders>
              <w:top w:val="single" w:color="BFBFBF" w:sz="6" w:space="0"/>
              <w:left w:val="nil"/>
              <w:bottom w:val="nil"/>
              <w:right w:val="nil"/>
            </w:tcBorders>
            <w:tcMar>
              <w:top w:w="70" w:type="dxa"/>
              <w:left w:w="100" w:type="dxa"/>
              <w:bottom w:w="70" w:type="dxa"/>
              <w:right w:w="100" w:type="dxa"/>
            </w:tcMar>
          </w:tcPr>
          <w:p w14:paraId="197357F7">
            <w:pPr>
              <w:spacing w:after="0"/>
              <w:jc w:val="center"/>
            </w:pPr>
            <w:r>
              <w:rPr>
                <w:rFonts w:ascii="Times New Roman" w:hAnsi="Times New Roman" w:eastAsia="Times New Roman" w:cs="Times New Roman"/>
                <w:b w:val="0"/>
                <w:bCs w:val="0"/>
                <w:sz w:val="22"/>
                <w:szCs w:val="22"/>
              </w:rPr>
              <w:t>2.58 (0.42-16.04)</w:t>
            </w:r>
          </w:p>
        </w:tc>
        <w:tc>
          <w:tcPr>
            <w:tcBorders>
              <w:top w:val="single" w:color="BFBFBF" w:sz="6" w:space="0"/>
              <w:left w:val="nil"/>
              <w:bottom w:val="nil"/>
              <w:right w:val="nil"/>
            </w:tcBorders>
            <w:tcMar>
              <w:top w:w="70" w:type="dxa"/>
              <w:left w:w="100" w:type="dxa"/>
              <w:bottom w:w="70" w:type="dxa"/>
              <w:right w:w="100" w:type="dxa"/>
            </w:tcMar>
          </w:tcPr>
          <w:p w14:paraId="13394E32">
            <w:pPr>
              <w:spacing w:after="0"/>
              <w:jc w:val="center"/>
            </w:pPr>
            <w:r>
              <w:rPr>
                <w:rFonts w:ascii="Times New Roman" w:hAnsi="Times New Roman" w:eastAsia="Times New Roman" w:cs="Times New Roman"/>
                <w:b w:val="0"/>
                <w:bCs w:val="0"/>
                <w:sz w:val="22"/>
                <w:szCs w:val="22"/>
              </w:rPr>
              <w:t>0.308</w:t>
            </w:r>
          </w:p>
        </w:tc>
      </w:tr>
      <w:tr w14:paraId="31BB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44A91ED5">
            <w:pPr>
              <w:spacing w:after="0"/>
              <w:jc w:val="left"/>
            </w:pPr>
            <w:r>
              <w:rPr>
                <w:rFonts w:ascii="Times New Roman" w:hAnsi="Times New Roman" w:eastAsia="Times New Roman" w:cs="Times New Roman"/>
                <w:b/>
                <w:bCs/>
                <w:sz w:val="22"/>
                <w:szCs w:val="22"/>
              </w:rPr>
              <w:t>Bacteraemia or sepsis</w:t>
            </w:r>
          </w:p>
        </w:tc>
        <w:tc>
          <w:tcPr>
            <w:tcBorders>
              <w:top w:val="single" w:color="BFBFBF" w:sz="6" w:space="0"/>
              <w:left w:val="nil"/>
              <w:bottom w:val="nil"/>
              <w:right w:val="nil"/>
            </w:tcBorders>
            <w:tcMar>
              <w:top w:w="70" w:type="dxa"/>
              <w:left w:w="100" w:type="dxa"/>
              <w:bottom w:w="70" w:type="dxa"/>
              <w:right w:w="100" w:type="dxa"/>
            </w:tcMar>
          </w:tcPr>
          <w:p w14:paraId="29531EBF">
            <w:pPr>
              <w:spacing w:after="0"/>
              <w:jc w:val="center"/>
            </w:pPr>
            <w:r>
              <w:rPr>
                <w:rFonts w:ascii="Times New Roman" w:hAnsi="Times New Roman" w:eastAsia="Times New Roman" w:cs="Times New Roman"/>
                <w:b w:val="0"/>
                <w:bCs w:val="0"/>
                <w:sz w:val="22"/>
                <w:szCs w:val="22"/>
              </w:rPr>
              <w:t>2.94 (1.07-8.09)</w:t>
            </w:r>
          </w:p>
        </w:tc>
        <w:tc>
          <w:tcPr>
            <w:tcBorders>
              <w:top w:val="single" w:color="BFBFBF" w:sz="6" w:space="0"/>
              <w:left w:val="nil"/>
              <w:bottom w:val="nil"/>
              <w:right w:val="nil"/>
            </w:tcBorders>
            <w:tcMar>
              <w:top w:w="70" w:type="dxa"/>
              <w:left w:w="100" w:type="dxa"/>
              <w:bottom w:w="70" w:type="dxa"/>
              <w:right w:w="100" w:type="dxa"/>
            </w:tcMar>
          </w:tcPr>
          <w:p w14:paraId="359AA162">
            <w:pPr>
              <w:spacing w:after="0"/>
              <w:jc w:val="center"/>
            </w:pPr>
            <w:r>
              <w:rPr>
                <w:rFonts w:ascii="Times New Roman" w:hAnsi="Times New Roman" w:eastAsia="Times New Roman" w:cs="Times New Roman"/>
                <w:b/>
                <w:bCs/>
                <w:sz w:val="22"/>
                <w:szCs w:val="22"/>
              </w:rPr>
              <w:t>0.037</w:t>
            </w:r>
          </w:p>
        </w:tc>
        <w:tc>
          <w:tcPr>
            <w:tcBorders>
              <w:top w:val="single" w:color="BFBFBF" w:sz="6" w:space="0"/>
              <w:left w:val="nil"/>
              <w:bottom w:val="nil"/>
              <w:right w:val="nil"/>
            </w:tcBorders>
            <w:tcMar>
              <w:top w:w="70" w:type="dxa"/>
              <w:left w:w="100" w:type="dxa"/>
              <w:bottom w:w="70" w:type="dxa"/>
              <w:right w:w="100" w:type="dxa"/>
            </w:tcMar>
          </w:tcPr>
          <w:p w14:paraId="4DB3C38E">
            <w:pPr>
              <w:spacing w:after="0"/>
              <w:jc w:val="center"/>
            </w:pPr>
            <w:r>
              <w:rPr>
                <w:rFonts w:ascii="Times New Roman" w:hAnsi="Times New Roman" w:eastAsia="Times New Roman" w:cs="Times New Roman"/>
                <w:b w:val="0"/>
                <w:bCs w:val="0"/>
                <w:sz w:val="22"/>
                <w:szCs w:val="22"/>
              </w:rPr>
              <w:t>0.63 (0.13-3.01)</w:t>
            </w:r>
          </w:p>
        </w:tc>
        <w:tc>
          <w:tcPr>
            <w:tcBorders>
              <w:top w:val="single" w:color="BFBFBF" w:sz="6" w:space="0"/>
              <w:left w:val="nil"/>
              <w:bottom w:val="nil"/>
              <w:right w:val="nil"/>
            </w:tcBorders>
            <w:tcMar>
              <w:top w:w="70" w:type="dxa"/>
              <w:left w:w="100" w:type="dxa"/>
              <w:bottom w:w="70" w:type="dxa"/>
              <w:right w:w="100" w:type="dxa"/>
            </w:tcMar>
          </w:tcPr>
          <w:p w14:paraId="7815FBC0">
            <w:pPr>
              <w:spacing w:after="0"/>
              <w:jc w:val="center"/>
            </w:pPr>
            <w:r>
              <w:rPr>
                <w:rFonts w:ascii="Times New Roman" w:hAnsi="Times New Roman" w:eastAsia="Times New Roman" w:cs="Times New Roman"/>
                <w:b w:val="0"/>
                <w:bCs w:val="0"/>
                <w:sz w:val="22"/>
                <w:szCs w:val="22"/>
              </w:rPr>
              <w:t>0.561</w:t>
            </w:r>
          </w:p>
        </w:tc>
      </w:tr>
      <w:tr w14:paraId="052D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252583AD">
            <w:pPr>
              <w:spacing w:after="0"/>
              <w:jc w:val="left"/>
            </w:pPr>
            <w:r>
              <w:rPr>
                <w:rFonts w:ascii="Times New Roman" w:hAnsi="Times New Roman" w:eastAsia="Times New Roman" w:cs="Times New Roman"/>
                <w:b/>
                <w:bCs/>
                <w:sz w:val="22"/>
                <w:szCs w:val="22"/>
              </w:rPr>
              <w:t>Failure to thrive</w:t>
            </w:r>
          </w:p>
        </w:tc>
        <w:tc>
          <w:tcPr>
            <w:tcBorders>
              <w:top w:val="single" w:color="BFBFBF" w:sz="6" w:space="0"/>
              <w:left w:val="nil"/>
              <w:bottom w:val="nil"/>
              <w:right w:val="nil"/>
            </w:tcBorders>
            <w:tcMar>
              <w:top w:w="70" w:type="dxa"/>
              <w:left w:w="100" w:type="dxa"/>
              <w:bottom w:w="70" w:type="dxa"/>
              <w:right w:w="100" w:type="dxa"/>
            </w:tcMar>
          </w:tcPr>
          <w:p w14:paraId="5CE2CCF1">
            <w:pPr>
              <w:spacing w:after="0"/>
              <w:jc w:val="center"/>
            </w:pPr>
            <w:r>
              <w:rPr>
                <w:rFonts w:ascii="Times New Roman" w:hAnsi="Times New Roman" w:eastAsia="Times New Roman" w:cs="Times New Roman"/>
                <w:b w:val="0"/>
                <w:bCs w:val="0"/>
                <w:sz w:val="22"/>
                <w:szCs w:val="22"/>
              </w:rPr>
              <w:t>4.98 (1.35-18.38)</w:t>
            </w:r>
          </w:p>
        </w:tc>
        <w:tc>
          <w:tcPr>
            <w:tcBorders>
              <w:top w:val="single" w:color="BFBFBF" w:sz="6" w:space="0"/>
              <w:left w:val="nil"/>
              <w:bottom w:val="nil"/>
              <w:right w:val="nil"/>
            </w:tcBorders>
            <w:tcMar>
              <w:top w:w="70" w:type="dxa"/>
              <w:left w:w="100" w:type="dxa"/>
              <w:bottom w:w="70" w:type="dxa"/>
              <w:right w:w="100" w:type="dxa"/>
            </w:tcMar>
          </w:tcPr>
          <w:p w14:paraId="3EE95CAD">
            <w:pPr>
              <w:spacing w:after="0"/>
              <w:jc w:val="center"/>
            </w:pPr>
            <w:r>
              <w:rPr>
                <w:rFonts w:ascii="Times New Roman" w:hAnsi="Times New Roman" w:eastAsia="Times New Roman" w:cs="Times New Roman"/>
                <w:b/>
                <w:bCs/>
                <w:sz w:val="22"/>
                <w:szCs w:val="22"/>
              </w:rPr>
              <w:t>0.016</w:t>
            </w:r>
          </w:p>
        </w:tc>
        <w:tc>
          <w:tcPr>
            <w:tcBorders>
              <w:top w:val="single" w:color="BFBFBF" w:sz="6" w:space="0"/>
              <w:left w:val="nil"/>
              <w:bottom w:val="nil"/>
              <w:right w:val="nil"/>
            </w:tcBorders>
            <w:tcMar>
              <w:top w:w="70" w:type="dxa"/>
              <w:left w:w="100" w:type="dxa"/>
              <w:bottom w:w="70" w:type="dxa"/>
              <w:right w:w="100" w:type="dxa"/>
            </w:tcMar>
          </w:tcPr>
          <w:p w14:paraId="3BCFA9F3">
            <w:pPr>
              <w:spacing w:after="0"/>
              <w:jc w:val="center"/>
            </w:pPr>
            <w:r>
              <w:rPr>
                <w:rFonts w:ascii="Times New Roman" w:hAnsi="Times New Roman" w:eastAsia="Times New Roman" w:cs="Times New Roman"/>
                <w:b w:val="0"/>
                <w:bCs w:val="0"/>
                <w:sz w:val="22"/>
                <w:szCs w:val="22"/>
              </w:rPr>
              <w:t>3.38 (0.74-15.41)</w:t>
            </w:r>
          </w:p>
        </w:tc>
        <w:tc>
          <w:tcPr>
            <w:tcBorders>
              <w:top w:val="single" w:color="BFBFBF" w:sz="6" w:space="0"/>
              <w:left w:val="nil"/>
              <w:bottom w:val="nil"/>
              <w:right w:val="nil"/>
            </w:tcBorders>
            <w:tcMar>
              <w:top w:w="70" w:type="dxa"/>
              <w:left w:w="100" w:type="dxa"/>
              <w:bottom w:w="70" w:type="dxa"/>
              <w:right w:w="100" w:type="dxa"/>
            </w:tcMar>
          </w:tcPr>
          <w:p w14:paraId="4617112B">
            <w:pPr>
              <w:spacing w:after="0"/>
              <w:jc w:val="center"/>
            </w:pPr>
            <w:r>
              <w:rPr>
                <w:rFonts w:ascii="Times New Roman" w:hAnsi="Times New Roman" w:eastAsia="Times New Roman" w:cs="Times New Roman"/>
                <w:b w:val="0"/>
                <w:bCs w:val="0"/>
                <w:sz w:val="22"/>
                <w:szCs w:val="22"/>
              </w:rPr>
              <w:t>0.116</w:t>
            </w:r>
          </w:p>
        </w:tc>
      </w:tr>
      <w:tr w14:paraId="382D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16AA2020">
            <w:pPr>
              <w:spacing w:after="0"/>
              <w:jc w:val="left"/>
            </w:pPr>
            <w:r>
              <w:rPr>
                <w:rFonts w:ascii="Times New Roman" w:hAnsi="Times New Roman" w:eastAsia="Times New Roman" w:cs="Times New Roman"/>
                <w:b/>
                <w:bCs/>
                <w:sz w:val="22"/>
                <w:szCs w:val="22"/>
              </w:rPr>
              <w:t>Recurrent sinopulm. infections</w:t>
            </w:r>
          </w:p>
        </w:tc>
        <w:tc>
          <w:tcPr>
            <w:tcBorders>
              <w:top w:val="single" w:color="BFBFBF" w:sz="6" w:space="0"/>
              <w:left w:val="nil"/>
              <w:bottom w:val="nil"/>
              <w:right w:val="nil"/>
            </w:tcBorders>
            <w:tcMar>
              <w:top w:w="70" w:type="dxa"/>
              <w:left w:w="100" w:type="dxa"/>
              <w:bottom w:w="70" w:type="dxa"/>
              <w:right w:w="100" w:type="dxa"/>
            </w:tcMar>
          </w:tcPr>
          <w:p w14:paraId="33768633">
            <w:pPr>
              <w:spacing w:after="0"/>
              <w:jc w:val="center"/>
            </w:pPr>
            <w:r>
              <w:rPr>
                <w:rFonts w:ascii="Times New Roman" w:hAnsi="Times New Roman" w:eastAsia="Times New Roman" w:cs="Times New Roman"/>
                <w:b w:val="0"/>
                <w:bCs w:val="0"/>
                <w:sz w:val="22"/>
                <w:szCs w:val="22"/>
              </w:rPr>
              <w:t>2.78 (1.01-7.62)</w:t>
            </w:r>
          </w:p>
        </w:tc>
        <w:tc>
          <w:tcPr>
            <w:tcBorders>
              <w:top w:val="single" w:color="BFBFBF" w:sz="6" w:space="0"/>
              <w:left w:val="nil"/>
              <w:bottom w:val="nil"/>
              <w:right w:val="nil"/>
            </w:tcBorders>
            <w:tcMar>
              <w:top w:w="70" w:type="dxa"/>
              <w:left w:w="100" w:type="dxa"/>
              <w:bottom w:w="70" w:type="dxa"/>
              <w:right w:w="100" w:type="dxa"/>
            </w:tcMar>
          </w:tcPr>
          <w:p w14:paraId="60D931FB">
            <w:pPr>
              <w:spacing w:after="0"/>
              <w:jc w:val="center"/>
            </w:pPr>
            <w:r>
              <w:rPr>
                <w:rFonts w:ascii="Times New Roman" w:hAnsi="Times New Roman" w:eastAsia="Times New Roman" w:cs="Times New Roman"/>
                <w:b/>
                <w:bCs/>
                <w:sz w:val="22"/>
                <w:szCs w:val="22"/>
              </w:rPr>
              <w:t>0.047</w:t>
            </w:r>
          </w:p>
        </w:tc>
        <w:tc>
          <w:tcPr>
            <w:tcBorders>
              <w:top w:val="single" w:color="BFBFBF" w:sz="6" w:space="0"/>
              <w:left w:val="nil"/>
              <w:bottom w:val="nil"/>
              <w:right w:val="nil"/>
            </w:tcBorders>
            <w:tcMar>
              <w:top w:w="70" w:type="dxa"/>
              <w:left w:w="100" w:type="dxa"/>
              <w:bottom w:w="70" w:type="dxa"/>
              <w:right w:w="100" w:type="dxa"/>
            </w:tcMar>
          </w:tcPr>
          <w:p w14:paraId="057A75BA">
            <w:pPr>
              <w:spacing w:after="0"/>
              <w:jc w:val="center"/>
            </w:pPr>
            <w:r>
              <w:rPr>
                <w:rFonts w:ascii="Times New Roman" w:hAnsi="Times New Roman" w:eastAsia="Times New Roman" w:cs="Times New Roman"/>
                <w:b w:val="0"/>
                <w:bCs w:val="0"/>
                <w:sz w:val="22"/>
                <w:szCs w:val="22"/>
              </w:rPr>
              <w:t>—</w:t>
            </w:r>
          </w:p>
        </w:tc>
        <w:tc>
          <w:tcPr>
            <w:tcBorders>
              <w:top w:val="single" w:color="BFBFBF" w:sz="6" w:space="0"/>
              <w:left w:val="nil"/>
              <w:bottom w:val="nil"/>
              <w:right w:val="nil"/>
            </w:tcBorders>
            <w:tcMar>
              <w:top w:w="70" w:type="dxa"/>
              <w:left w:w="100" w:type="dxa"/>
              <w:bottom w:w="70" w:type="dxa"/>
              <w:right w:w="100" w:type="dxa"/>
            </w:tcMar>
          </w:tcPr>
          <w:p w14:paraId="11D79990">
            <w:pPr>
              <w:spacing w:after="0"/>
              <w:jc w:val="center"/>
            </w:pPr>
            <w:r>
              <w:rPr>
                <w:rFonts w:ascii="Times New Roman" w:hAnsi="Times New Roman" w:eastAsia="Times New Roman" w:cs="Times New Roman"/>
                <w:b w:val="0"/>
                <w:bCs w:val="0"/>
                <w:sz w:val="22"/>
                <w:szCs w:val="22"/>
              </w:rPr>
              <w:t>—</w:t>
            </w:r>
          </w:p>
        </w:tc>
      </w:tr>
      <w:tr w14:paraId="6467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11944C63">
            <w:pPr>
              <w:spacing w:after="0"/>
              <w:jc w:val="left"/>
            </w:pPr>
            <w:r>
              <w:rPr>
                <w:rFonts w:ascii="Times New Roman" w:hAnsi="Times New Roman" w:eastAsia="Times New Roman" w:cs="Times New Roman"/>
                <w:b/>
                <w:bCs/>
                <w:sz w:val="22"/>
                <w:szCs w:val="22"/>
              </w:rPr>
              <w:t>Oral fungal infection</w:t>
            </w:r>
          </w:p>
        </w:tc>
        <w:tc>
          <w:tcPr>
            <w:tcBorders>
              <w:top w:val="single" w:color="BFBFBF" w:sz="6" w:space="0"/>
              <w:left w:val="nil"/>
              <w:bottom w:val="nil"/>
              <w:right w:val="nil"/>
            </w:tcBorders>
            <w:tcMar>
              <w:top w:w="70" w:type="dxa"/>
              <w:left w:w="100" w:type="dxa"/>
              <w:bottom w:w="70" w:type="dxa"/>
              <w:right w:w="100" w:type="dxa"/>
            </w:tcMar>
          </w:tcPr>
          <w:p w14:paraId="7148EF29">
            <w:pPr>
              <w:spacing w:after="0"/>
              <w:jc w:val="center"/>
            </w:pPr>
            <w:r>
              <w:rPr>
                <w:rFonts w:ascii="Times New Roman" w:hAnsi="Times New Roman" w:eastAsia="Times New Roman" w:cs="Times New Roman"/>
                <w:b w:val="0"/>
                <w:bCs w:val="0"/>
                <w:sz w:val="22"/>
                <w:szCs w:val="22"/>
              </w:rPr>
              <w:t>3.52 (1.27-9.76)</w:t>
            </w:r>
          </w:p>
        </w:tc>
        <w:tc>
          <w:tcPr>
            <w:tcBorders>
              <w:top w:val="single" w:color="BFBFBF" w:sz="6" w:space="0"/>
              <w:left w:val="nil"/>
              <w:bottom w:val="nil"/>
              <w:right w:val="nil"/>
            </w:tcBorders>
            <w:tcMar>
              <w:top w:w="70" w:type="dxa"/>
              <w:left w:w="100" w:type="dxa"/>
              <w:bottom w:w="70" w:type="dxa"/>
              <w:right w:w="100" w:type="dxa"/>
            </w:tcMar>
          </w:tcPr>
          <w:p w14:paraId="73B2E07E">
            <w:pPr>
              <w:spacing w:after="0"/>
              <w:jc w:val="center"/>
            </w:pPr>
            <w:r>
              <w:rPr>
                <w:rFonts w:ascii="Times New Roman" w:hAnsi="Times New Roman" w:eastAsia="Times New Roman" w:cs="Times New Roman"/>
                <w:b/>
                <w:bCs/>
                <w:sz w:val="22"/>
                <w:szCs w:val="22"/>
              </w:rPr>
              <w:t>0.016</w:t>
            </w:r>
          </w:p>
        </w:tc>
        <w:tc>
          <w:tcPr>
            <w:tcBorders>
              <w:top w:val="single" w:color="BFBFBF" w:sz="6" w:space="0"/>
              <w:left w:val="nil"/>
              <w:bottom w:val="nil"/>
              <w:right w:val="nil"/>
            </w:tcBorders>
            <w:tcMar>
              <w:top w:w="70" w:type="dxa"/>
              <w:left w:w="100" w:type="dxa"/>
              <w:bottom w:w="70" w:type="dxa"/>
              <w:right w:w="100" w:type="dxa"/>
            </w:tcMar>
          </w:tcPr>
          <w:p w14:paraId="3137D918">
            <w:pPr>
              <w:spacing w:after="0"/>
              <w:jc w:val="center"/>
            </w:pPr>
            <w:r>
              <w:rPr>
                <w:rFonts w:ascii="Times New Roman" w:hAnsi="Times New Roman" w:eastAsia="Times New Roman" w:cs="Times New Roman"/>
                <w:b w:val="0"/>
                <w:bCs w:val="0"/>
                <w:sz w:val="22"/>
                <w:szCs w:val="22"/>
              </w:rPr>
              <w:t>—</w:t>
            </w:r>
          </w:p>
        </w:tc>
        <w:tc>
          <w:tcPr>
            <w:tcBorders>
              <w:top w:val="single" w:color="BFBFBF" w:sz="6" w:space="0"/>
              <w:left w:val="nil"/>
              <w:bottom w:val="nil"/>
              <w:right w:val="nil"/>
            </w:tcBorders>
            <w:tcMar>
              <w:top w:w="70" w:type="dxa"/>
              <w:left w:w="100" w:type="dxa"/>
              <w:bottom w:w="70" w:type="dxa"/>
              <w:right w:w="100" w:type="dxa"/>
            </w:tcMar>
          </w:tcPr>
          <w:p w14:paraId="32D7C35D">
            <w:pPr>
              <w:spacing w:after="0"/>
              <w:jc w:val="center"/>
            </w:pPr>
            <w:r>
              <w:rPr>
                <w:rFonts w:ascii="Times New Roman" w:hAnsi="Times New Roman" w:eastAsia="Times New Roman" w:cs="Times New Roman"/>
                <w:b w:val="0"/>
                <w:bCs w:val="0"/>
                <w:sz w:val="22"/>
                <w:szCs w:val="22"/>
              </w:rPr>
              <w:t>—</w:t>
            </w:r>
          </w:p>
        </w:tc>
      </w:tr>
      <w:tr w14:paraId="232C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2A5CBA69">
            <w:pPr>
              <w:spacing w:after="0"/>
              <w:jc w:val="left"/>
            </w:pPr>
            <w:r>
              <w:rPr>
                <w:rFonts w:ascii="Times New Roman" w:hAnsi="Times New Roman" w:eastAsia="Times New Roman" w:cs="Times New Roman"/>
                <w:b/>
                <w:bCs/>
                <w:sz w:val="22"/>
                <w:szCs w:val="22"/>
              </w:rPr>
              <w:t>GI symptoms</w:t>
            </w:r>
          </w:p>
        </w:tc>
        <w:tc>
          <w:tcPr>
            <w:tcBorders>
              <w:top w:val="single" w:color="BFBFBF" w:sz="6" w:space="0"/>
              <w:left w:val="nil"/>
              <w:bottom w:val="nil"/>
              <w:right w:val="nil"/>
            </w:tcBorders>
            <w:tcMar>
              <w:top w:w="70" w:type="dxa"/>
              <w:left w:w="100" w:type="dxa"/>
              <w:bottom w:w="70" w:type="dxa"/>
              <w:right w:w="100" w:type="dxa"/>
            </w:tcMar>
          </w:tcPr>
          <w:p w14:paraId="38B48975">
            <w:pPr>
              <w:spacing w:after="0"/>
              <w:jc w:val="center"/>
            </w:pPr>
            <w:r>
              <w:rPr>
                <w:rFonts w:ascii="Times New Roman" w:hAnsi="Times New Roman" w:eastAsia="Times New Roman" w:cs="Times New Roman"/>
                <w:b w:val="0"/>
                <w:bCs w:val="0"/>
                <w:sz w:val="22"/>
                <w:szCs w:val="22"/>
              </w:rPr>
              <w:t>3.66 (1.27-10.56)</w:t>
            </w:r>
          </w:p>
        </w:tc>
        <w:tc>
          <w:tcPr>
            <w:tcBorders>
              <w:top w:val="single" w:color="BFBFBF" w:sz="6" w:space="0"/>
              <w:left w:val="nil"/>
              <w:bottom w:val="nil"/>
              <w:right w:val="nil"/>
            </w:tcBorders>
            <w:tcMar>
              <w:top w:w="70" w:type="dxa"/>
              <w:left w:w="100" w:type="dxa"/>
              <w:bottom w:w="70" w:type="dxa"/>
              <w:right w:w="100" w:type="dxa"/>
            </w:tcMar>
          </w:tcPr>
          <w:p w14:paraId="6F1F7264">
            <w:pPr>
              <w:spacing w:after="0"/>
              <w:jc w:val="center"/>
            </w:pPr>
            <w:r>
              <w:rPr>
                <w:rFonts w:ascii="Times New Roman" w:hAnsi="Times New Roman" w:eastAsia="Times New Roman" w:cs="Times New Roman"/>
                <w:b/>
                <w:bCs/>
                <w:sz w:val="22"/>
                <w:szCs w:val="22"/>
              </w:rPr>
              <w:t>0.017</w:t>
            </w:r>
          </w:p>
        </w:tc>
        <w:tc>
          <w:tcPr>
            <w:tcBorders>
              <w:top w:val="single" w:color="BFBFBF" w:sz="6" w:space="0"/>
              <w:left w:val="nil"/>
              <w:bottom w:val="nil"/>
              <w:right w:val="nil"/>
            </w:tcBorders>
            <w:tcMar>
              <w:top w:w="70" w:type="dxa"/>
              <w:left w:w="100" w:type="dxa"/>
              <w:bottom w:w="70" w:type="dxa"/>
              <w:right w:w="100" w:type="dxa"/>
            </w:tcMar>
          </w:tcPr>
          <w:p w14:paraId="16FB1B39">
            <w:pPr>
              <w:spacing w:after="0"/>
              <w:jc w:val="center"/>
            </w:pPr>
            <w:r>
              <w:rPr>
                <w:rFonts w:ascii="Times New Roman" w:hAnsi="Times New Roman" w:eastAsia="Times New Roman" w:cs="Times New Roman"/>
                <w:b w:val="0"/>
                <w:bCs w:val="0"/>
                <w:sz w:val="22"/>
                <w:szCs w:val="22"/>
              </w:rPr>
              <w:t>—</w:t>
            </w:r>
          </w:p>
        </w:tc>
        <w:tc>
          <w:tcPr>
            <w:tcBorders>
              <w:top w:val="single" w:color="BFBFBF" w:sz="6" w:space="0"/>
              <w:left w:val="nil"/>
              <w:bottom w:val="nil"/>
              <w:right w:val="nil"/>
            </w:tcBorders>
            <w:tcMar>
              <w:top w:w="70" w:type="dxa"/>
              <w:left w:w="100" w:type="dxa"/>
              <w:bottom w:w="70" w:type="dxa"/>
              <w:right w:w="100" w:type="dxa"/>
            </w:tcMar>
          </w:tcPr>
          <w:p w14:paraId="61636256">
            <w:pPr>
              <w:spacing w:after="0"/>
              <w:jc w:val="center"/>
            </w:pPr>
            <w:r>
              <w:rPr>
                <w:rFonts w:ascii="Times New Roman" w:hAnsi="Times New Roman" w:eastAsia="Times New Roman" w:cs="Times New Roman"/>
                <w:b w:val="0"/>
                <w:bCs w:val="0"/>
                <w:sz w:val="22"/>
                <w:szCs w:val="22"/>
              </w:rPr>
              <w:t>—</w:t>
            </w:r>
          </w:p>
        </w:tc>
      </w:tr>
      <w:tr w14:paraId="4245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BFBFBF" w:sz="6" w:space="0"/>
              <w:left w:val="nil"/>
              <w:bottom w:val="nil"/>
              <w:right w:val="nil"/>
            </w:tcBorders>
            <w:tcMar>
              <w:top w:w="70" w:type="dxa"/>
              <w:left w:w="100" w:type="dxa"/>
              <w:bottom w:w="70" w:type="dxa"/>
              <w:right w:w="100" w:type="dxa"/>
            </w:tcMar>
          </w:tcPr>
          <w:p w14:paraId="07AE9B91">
            <w:pPr>
              <w:spacing w:after="0"/>
              <w:jc w:val="left"/>
            </w:pPr>
            <w:r>
              <w:rPr>
                <w:rFonts w:ascii="Times New Roman" w:hAnsi="Times New Roman" w:eastAsia="Times New Roman" w:cs="Times New Roman"/>
                <w:b/>
                <w:bCs/>
                <w:sz w:val="22"/>
                <w:szCs w:val="22"/>
              </w:rPr>
              <w:t>Immunoglobulin replacement</w:t>
            </w:r>
          </w:p>
        </w:tc>
        <w:tc>
          <w:tcPr>
            <w:tcBorders>
              <w:top w:val="single" w:color="BFBFBF" w:sz="6" w:space="0"/>
              <w:left w:val="nil"/>
              <w:bottom w:val="nil"/>
              <w:right w:val="nil"/>
            </w:tcBorders>
            <w:tcMar>
              <w:top w:w="70" w:type="dxa"/>
              <w:left w:w="100" w:type="dxa"/>
              <w:bottom w:w="70" w:type="dxa"/>
              <w:right w:w="100" w:type="dxa"/>
            </w:tcMar>
          </w:tcPr>
          <w:p w14:paraId="10DA99F3">
            <w:pPr>
              <w:spacing w:after="0"/>
              <w:jc w:val="center"/>
            </w:pPr>
            <w:r>
              <w:rPr>
                <w:rFonts w:ascii="Times New Roman" w:hAnsi="Times New Roman" w:eastAsia="Times New Roman" w:cs="Times New Roman"/>
                <w:b w:val="0"/>
                <w:bCs w:val="0"/>
                <w:sz w:val="22"/>
                <w:szCs w:val="22"/>
              </w:rPr>
              <w:t>11.38 (2.47-52.49)</w:t>
            </w:r>
          </w:p>
        </w:tc>
        <w:tc>
          <w:tcPr>
            <w:tcBorders>
              <w:top w:val="single" w:color="BFBFBF" w:sz="6" w:space="0"/>
              <w:left w:val="nil"/>
              <w:bottom w:val="nil"/>
              <w:right w:val="nil"/>
            </w:tcBorders>
            <w:tcMar>
              <w:top w:w="70" w:type="dxa"/>
              <w:left w:w="100" w:type="dxa"/>
              <w:bottom w:w="70" w:type="dxa"/>
              <w:right w:w="100" w:type="dxa"/>
            </w:tcMar>
          </w:tcPr>
          <w:p w14:paraId="0142EDA4">
            <w:pPr>
              <w:spacing w:after="0"/>
              <w:jc w:val="center"/>
            </w:pPr>
            <w:r>
              <w:rPr>
                <w:rFonts w:ascii="Times New Roman" w:hAnsi="Times New Roman" w:eastAsia="Times New Roman" w:cs="Times New Roman"/>
                <w:b/>
                <w:bCs/>
                <w:sz w:val="22"/>
                <w:szCs w:val="22"/>
              </w:rPr>
              <w:t>0.002</w:t>
            </w:r>
          </w:p>
        </w:tc>
        <w:tc>
          <w:tcPr>
            <w:tcBorders>
              <w:top w:val="single" w:color="BFBFBF" w:sz="6" w:space="0"/>
              <w:left w:val="nil"/>
              <w:bottom w:val="nil"/>
              <w:right w:val="nil"/>
            </w:tcBorders>
            <w:tcMar>
              <w:top w:w="70" w:type="dxa"/>
              <w:left w:w="100" w:type="dxa"/>
              <w:bottom w:w="70" w:type="dxa"/>
              <w:right w:w="100" w:type="dxa"/>
            </w:tcMar>
          </w:tcPr>
          <w:p w14:paraId="7C00F4E1">
            <w:pPr>
              <w:spacing w:after="0"/>
              <w:jc w:val="center"/>
            </w:pPr>
            <w:r>
              <w:rPr>
                <w:rFonts w:ascii="Times New Roman" w:hAnsi="Times New Roman" w:eastAsia="Times New Roman" w:cs="Times New Roman"/>
                <w:b w:val="0"/>
                <w:bCs w:val="0"/>
                <w:sz w:val="22"/>
                <w:szCs w:val="22"/>
              </w:rPr>
              <w:t>—</w:t>
            </w:r>
          </w:p>
        </w:tc>
        <w:tc>
          <w:tcPr>
            <w:tcBorders>
              <w:top w:val="single" w:color="BFBFBF" w:sz="6" w:space="0"/>
              <w:left w:val="nil"/>
              <w:bottom w:val="nil"/>
              <w:right w:val="nil"/>
            </w:tcBorders>
            <w:tcMar>
              <w:top w:w="70" w:type="dxa"/>
              <w:left w:w="100" w:type="dxa"/>
              <w:bottom w:w="70" w:type="dxa"/>
              <w:right w:w="100" w:type="dxa"/>
            </w:tcMar>
          </w:tcPr>
          <w:p w14:paraId="41DEC052">
            <w:pPr>
              <w:spacing w:after="0"/>
              <w:jc w:val="center"/>
            </w:pPr>
            <w:r>
              <w:rPr>
                <w:rFonts w:ascii="Times New Roman" w:hAnsi="Times New Roman" w:eastAsia="Times New Roman" w:cs="Times New Roman"/>
                <w:b w:val="0"/>
                <w:bCs w:val="0"/>
                <w:sz w:val="22"/>
                <w:szCs w:val="22"/>
              </w:rPr>
              <w:t>—</w:t>
            </w:r>
          </w:p>
        </w:tc>
      </w:tr>
      <w:tr w14:paraId="5A17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single" w:color="000000" w:sz="12" w:space="0"/>
              <w:right w:val="nil"/>
            </w:tcBorders>
            <w:tcMar>
              <w:top w:w="70" w:type="dxa"/>
              <w:left w:w="100" w:type="dxa"/>
              <w:bottom w:w="70" w:type="dxa"/>
              <w:right w:w="100" w:type="dxa"/>
            </w:tcMar>
          </w:tcPr>
          <w:p w14:paraId="756FB45D">
            <w:pPr>
              <w:spacing w:after="0"/>
              <w:jc w:val="left"/>
            </w:pPr>
            <w:r>
              <w:rPr>
                <w:rFonts w:ascii="Times New Roman" w:hAnsi="Times New Roman" w:eastAsia="Times New Roman" w:cs="Times New Roman"/>
                <w:b w:val="0"/>
                <w:bCs w:val="0"/>
                <w:sz w:val="22"/>
                <w:szCs w:val="22"/>
              </w:rPr>
              <w:t>HSCT performed</w:t>
            </w:r>
          </w:p>
        </w:tc>
        <w:tc>
          <w:tcPr>
            <w:tcBorders>
              <w:top w:val="nil"/>
              <w:left w:val="nil"/>
              <w:bottom w:val="single" w:color="000000" w:sz="12" w:space="0"/>
              <w:right w:val="nil"/>
            </w:tcBorders>
            <w:tcMar>
              <w:top w:w="70" w:type="dxa"/>
              <w:left w:w="100" w:type="dxa"/>
              <w:bottom w:w="70" w:type="dxa"/>
              <w:right w:w="100" w:type="dxa"/>
            </w:tcMar>
          </w:tcPr>
          <w:p w14:paraId="64CC9719">
            <w:pPr>
              <w:spacing w:after="0"/>
              <w:jc w:val="center"/>
            </w:pPr>
            <w:r>
              <w:rPr>
                <w:rFonts w:ascii="Times New Roman" w:hAnsi="Times New Roman" w:eastAsia="Times New Roman" w:cs="Times New Roman"/>
                <w:b w:val="0"/>
                <w:bCs w:val="0"/>
                <w:sz w:val="22"/>
                <w:szCs w:val="22"/>
              </w:rPr>
              <w:t>0.65 (0.21-2.00)</w:t>
            </w:r>
          </w:p>
        </w:tc>
        <w:tc>
          <w:tcPr>
            <w:tcBorders>
              <w:top w:val="nil"/>
              <w:left w:val="nil"/>
              <w:bottom w:val="single" w:color="000000" w:sz="12" w:space="0"/>
              <w:right w:val="nil"/>
            </w:tcBorders>
            <w:tcMar>
              <w:top w:w="70" w:type="dxa"/>
              <w:left w:w="100" w:type="dxa"/>
              <w:bottom w:w="70" w:type="dxa"/>
              <w:right w:w="100" w:type="dxa"/>
            </w:tcMar>
          </w:tcPr>
          <w:p w14:paraId="150480AC">
            <w:pPr>
              <w:spacing w:after="0"/>
              <w:jc w:val="center"/>
            </w:pPr>
            <w:r>
              <w:rPr>
                <w:rFonts w:ascii="Times New Roman" w:hAnsi="Times New Roman" w:eastAsia="Times New Roman" w:cs="Times New Roman"/>
                <w:b w:val="0"/>
                <w:bCs w:val="0"/>
                <w:sz w:val="22"/>
                <w:szCs w:val="22"/>
              </w:rPr>
              <w:t>0.456</w:t>
            </w:r>
          </w:p>
        </w:tc>
        <w:tc>
          <w:tcPr>
            <w:tcBorders>
              <w:top w:val="nil"/>
              <w:left w:val="nil"/>
              <w:bottom w:val="single" w:color="000000" w:sz="12" w:space="0"/>
              <w:right w:val="nil"/>
            </w:tcBorders>
            <w:tcMar>
              <w:top w:w="70" w:type="dxa"/>
              <w:left w:w="100" w:type="dxa"/>
              <w:bottom w:w="70" w:type="dxa"/>
              <w:right w:w="100" w:type="dxa"/>
            </w:tcMar>
          </w:tcPr>
          <w:p w14:paraId="16718B7D">
            <w:pPr>
              <w:spacing w:after="0"/>
              <w:jc w:val="center"/>
            </w:pPr>
            <w:r>
              <w:rPr>
                <w:rFonts w:ascii="Times New Roman" w:hAnsi="Times New Roman" w:eastAsia="Times New Roman" w:cs="Times New Roman"/>
                <w:b w:val="0"/>
                <w:bCs w:val="0"/>
                <w:sz w:val="22"/>
                <w:szCs w:val="22"/>
              </w:rPr>
              <w:t>—</w:t>
            </w:r>
          </w:p>
        </w:tc>
        <w:tc>
          <w:tcPr>
            <w:tcBorders>
              <w:top w:val="nil"/>
              <w:left w:val="nil"/>
              <w:bottom w:val="single" w:color="000000" w:sz="12" w:space="0"/>
              <w:right w:val="nil"/>
            </w:tcBorders>
            <w:tcMar>
              <w:top w:w="70" w:type="dxa"/>
              <w:left w:w="100" w:type="dxa"/>
              <w:bottom w:w="70" w:type="dxa"/>
              <w:right w:w="100" w:type="dxa"/>
            </w:tcMar>
          </w:tcPr>
          <w:p w14:paraId="28996CDC">
            <w:pPr>
              <w:spacing w:after="0"/>
              <w:jc w:val="center"/>
            </w:pPr>
            <w:r>
              <w:rPr>
                <w:rFonts w:ascii="Times New Roman" w:hAnsi="Times New Roman" w:eastAsia="Times New Roman" w:cs="Times New Roman"/>
                <w:b w:val="0"/>
                <w:bCs w:val="0"/>
                <w:sz w:val="22"/>
                <w:szCs w:val="22"/>
              </w:rPr>
              <w:t>—</w:t>
            </w:r>
          </w:p>
        </w:tc>
      </w:tr>
    </w:tbl>
    <w:p w14:paraId="322EB7AC">
      <w:pPr>
        <w:spacing w:before="40" w:after="240"/>
      </w:pPr>
      <w:r>
        <w:rPr>
          <w:rFonts w:ascii="Times New Roman" w:hAnsi="Times New Roman" w:eastAsia="Times New Roman" w:cs="Times New Roman"/>
          <w:color w:val="595959"/>
          <w:sz w:val="20"/>
          <w:szCs w:val="20"/>
        </w:rPr>
        <w:t>The model was fitted to the 97 patients with a documented outcome, with 20 deaths. The multivariable model included age, sex, SCID status, consanguinity, bacteraemia or sepsis, failure to thrive, and CNS infection. Bold rows denote significant univariable predictors. aOR, adjusted odds ratio. CI, confidence interval. OR, odds ratio.</w:t>
      </w:r>
    </w:p>
    <w:p w14:paraId="28A6AB95">
      <w:pPr>
        <w:spacing w:before="40" w:after="240"/>
      </w:pPr>
      <w:bookmarkStart w:id="1" w:name="_GoBack"/>
      <w:bookmarkEnd w:id="1"/>
    </w:p>
    <w:sectPr>
      <w:pgSz w:w="11906" w:h="16838"/>
      <w:pgMar w:top="1080" w:right="1080" w:bottom="1080" w:left="108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0B5D027C"/>
    <w:rsid w:val="525E50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4"/>
      <w:szCs w:val="24"/>
    </w:rPr>
  </w:style>
  <w:style w:type="paragraph" w:styleId="6">
    <w:name w:val="heading 5"/>
    <w:next w:val="1"/>
    <w:qFormat/>
    <w:uiPriority w:val="0"/>
    <w:rPr>
      <w:rFonts w:ascii="Times New Roman" w:hAnsi="Times New Roman" w:eastAsia="Times New Roman" w:cs="Times New Roman"/>
      <w:color w:val="2E74B5"/>
      <w:sz w:val="24"/>
      <w:szCs w:val="24"/>
    </w:rPr>
  </w:style>
  <w:style w:type="paragraph" w:styleId="7">
    <w:name w:val="heading 6"/>
    <w:next w:val="1"/>
    <w:qFormat/>
    <w:uiPriority w:val="0"/>
    <w:rPr>
      <w:rFonts w:ascii="Times New Roman" w:hAnsi="Times New Roman" w:eastAsia="Times New Roman" w:cs="Times New Roman"/>
      <w:color w:val="1F4D78"/>
      <w:sz w:val="24"/>
      <w:szCs w:val="24"/>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Times New Roman" w:hAnsi="Times New Roman" w:eastAsia="Times New Roman" w:cs="Times New Roman"/>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Times New Roman" w:hAnsi="Times New Roman" w:eastAsia="Times New Roman" w:cs="Times New Roman"/>
      <w:sz w:val="20"/>
      <w:szCs w:val="20"/>
    </w:rPr>
  </w:style>
  <w:style w:type="character" w:styleId="14">
    <w:name w:val="Hyperlink"/>
    <w:unhideWhenUsed/>
    <w:qFormat/>
    <w:uiPriority w:val="99"/>
    <w:rPr>
      <w:color w:val="0563C1"/>
      <w:u w:val="single"/>
    </w:rPr>
  </w:style>
  <w:style w:type="paragraph" w:styleId="15">
    <w:name w:val="Title"/>
    <w:qFormat/>
    <w:uiPriority w:val="0"/>
    <w:rPr>
      <w:rFonts w:ascii="Times New Roman" w:hAnsi="Times New Roman" w:eastAsia="Times New Roman" w:cs="Times New Roman"/>
      <w:sz w:val="56"/>
      <w:szCs w:val="56"/>
    </w:rPr>
  </w:style>
  <w:style w:type="paragraph" w:styleId="16">
    <w:name w:val="List Paragraph"/>
    <w:qFormat/>
    <w:uiPriority w:val="0"/>
    <w:rPr>
      <w:rFonts w:ascii="Times New Roman" w:hAnsi="Times New Roman" w:eastAsia="Times New Roman" w:cs="Times New Roman"/>
      <w:sz w:val="24"/>
      <w:szCs w:val="24"/>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820</Words>
  <Characters>4833</Characters>
  <TotalTime>1</TotalTime>
  <ScaleCrop>false</ScaleCrop>
  <LinksUpToDate>false</LinksUpToDate>
  <CharactersWithSpaces>5457</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2026-07-02T12:37:00Z</dcterms:created>
  <dc:creator>Un-named</dc:creator>
  <cp:lastModifiedBy>Md. Anayet</cp:lastModifiedBy>
  <dcterms:modified xsi:type="dcterms:W3CDTF">2026-07-02T13:43:00Z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eyJoZGlkIjoiZjA3YzNkMWMyMGZkY2EwNDg3M2MxYjJhYWM5NjgzOTMiLCJ1c2VySWQiOiI4ODEzNTY0MTg5MjE5In0=</vt:lpwstr>
  </property>
  <property fmtid="{D5CDD505-2E9C-101B-9397-08002B2CF9AE}" pid="3" name="KSOProductBuildVer">
    <vt:lpwstr>1033-12.1.0.26880</vt:lpwstr>
  </property>
  <property fmtid="{D5CDD505-2E9C-101B-9397-08002B2CF9AE}" pid="4" name="ICV">
    <vt:lpwstr>CD7E983BB9E944C09F80E2466DD2A3EE_12</vt:lpwstr>
  </property>
</Properties>
</file>