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B864" w14:textId="77777777" w:rsidR="00731E27" w:rsidRDefault="00000000">
      <w:pPr>
        <w:spacing w:after="120"/>
      </w:pPr>
      <w:proofErr w:type="spellStart"/>
      <w:r>
        <w:rPr>
          <w:b/>
          <w:bCs/>
          <w:sz w:val="28"/>
          <w:szCs w:val="28"/>
        </w:rPr>
        <w:t>eAppendix</w:t>
      </w:r>
      <w:proofErr w:type="spellEnd"/>
      <w:r>
        <w:rPr>
          <w:b/>
          <w:bCs/>
          <w:sz w:val="28"/>
          <w:szCs w:val="28"/>
        </w:rPr>
        <w:t xml:space="preserve"> C</w:t>
      </w:r>
    </w:p>
    <w:p w14:paraId="0C56881B" w14:textId="77777777" w:rsidR="00731E27" w:rsidRDefault="00000000">
      <w:pPr>
        <w:pStyle w:val="1"/>
      </w:pPr>
      <w:r>
        <w:rPr>
          <w:b/>
          <w:bCs/>
          <w:sz w:val="28"/>
          <w:szCs w:val="28"/>
        </w:rPr>
        <w:t>128-Item Prospective Analytical Decision Log</w:t>
      </w:r>
    </w:p>
    <w:p w14:paraId="6EB03AFE" w14:textId="77777777" w:rsidR="00731E27" w:rsidRDefault="00000000">
      <w:pPr>
        <w:spacing w:after="120"/>
      </w:pPr>
      <w:r>
        <w:rPr>
          <w:i/>
          <w:iCs/>
        </w:rPr>
        <w:t xml:space="preserve">Can National Administrative Data Identify Optimal Nurse Staffing? </w:t>
      </w:r>
      <w:proofErr w:type="spellStart"/>
      <w:r>
        <w:rPr>
          <w:i/>
          <w:iCs/>
        </w:rPr>
        <w:t>Estimand</w:t>
      </w:r>
      <w:proofErr w:type="spellEnd"/>
      <w:r>
        <w:rPr>
          <w:i/>
          <w:iCs/>
        </w:rPr>
        <w:t xml:space="preserve"> Instability and Data Quality Failures in CMS Home Health Panel Data</w:t>
      </w:r>
    </w:p>
    <w:p w14:paraId="79D4022B" w14:textId="77777777" w:rsidR="00731E27" w:rsidRDefault="00731E27">
      <w:pPr>
        <w:spacing w:after="80"/>
      </w:pPr>
    </w:p>
    <w:p w14:paraId="55642FDE" w14:textId="77777777" w:rsidR="00731E27" w:rsidRDefault="00000000">
      <w:pPr>
        <w:pStyle w:val="2"/>
      </w:pPr>
      <w:r>
        <w:rPr>
          <w:b/>
          <w:bCs/>
          <w:sz w:val="24"/>
          <w:szCs w:val="24"/>
        </w:rPr>
        <w:t>Overview</w:t>
      </w:r>
    </w:p>
    <w:p w14:paraId="7F8D4869" w14:textId="77777777" w:rsidR="00731E27" w:rsidRDefault="00000000">
      <w:pPr>
        <w:spacing w:after="120"/>
      </w:pPr>
      <w:r>
        <w:t xml:space="preserve">This appendix contains the prospective analytical decision log for </w:t>
      </w:r>
      <w:proofErr w:type="gramStart"/>
      <w:r>
        <w:t>the empirical</w:t>
      </w:r>
      <w:proofErr w:type="gramEnd"/>
      <w:r>
        <w:t xml:space="preserve"> study. All 128 decision items were documented before, during, or immediately after each analytical step, with the goal of ensuring full transparency about every methodological choice, including decisions that were later revised or superseded. Items are organized by analytical phase. Status 'Confirmed' indicates the decision was finalized and implemented in the reported </w:t>
      </w:r>
      <w:proofErr w:type="gramStart"/>
      <w:r>
        <w:t>analyses</w:t>
      </w:r>
      <w:proofErr w:type="gramEnd"/>
      <w:r>
        <w:t>.</w:t>
      </w:r>
    </w:p>
    <w:p w14:paraId="6A1FF282" w14:textId="77777777" w:rsidR="00731E27" w:rsidRDefault="00000000">
      <w:pPr>
        <w:spacing w:after="120"/>
      </w:pPr>
      <w:r>
        <w:t>The log was maintained in Korean (primary research language of the PI) and has been translated to English for this submission. The original Korean version is available upon request.</w:t>
      </w:r>
    </w:p>
    <w:p w14:paraId="66A7438F" w14:textId="77777777" w:rsidR="00731E27" w:rsidRDefault="00731E27">
      <w:pPr>
        <w:spacing w:after="80"/>
      </w:pPr>
    </w:p>
    <w:p w14:paraId="39D7B917" w14:textId="77777777" w:rsidR="00731E27" w:rsidRDefault="00000000">
      <w:pPr>
        <w:pStyle w:val="2"/>
      </w:pPr>
      <w:r>
        <w:rPr>
          <w:b/>
          <w:bCs/>
          <w:sz w:val="24"/>
          <w:szCs w:val="24"/>
        </w:rPr>
        <w:t>Log Organization</w:t>
      </w:r>
    </w:p>
    <w:tbl>
      <w:tblPr>
        <w:tblW w:w="9200" w:type="dxa"/>
        <w:tblBorders>
          <w:top w:val="single" w:sz="4" w:space="0" w:color="4472C4"/>
          <w:left w:val="single" w:sz="4" w:space="0" w:color="4472C4"/>
          <w:bottom w:val="single" w:sz="4" w:space="0" w:color="4472C4"/>
          <w:right w:val="single" w:sz="4" w:space="0" w:color="4472C4"/>
          <w:insideH w:val="single" w:sz="2" w:space="0" w:color="9DC3E6"/>
          <w:insideV w:val="single" w:sz="2" w:space="0" w:color="9DC3E6"/>
        </w:tblBorders>
        <w:tblCellMar>
          <w:left w:w="10" w:type="dxa"/>
          <w:right w:w="10" w:type="dxa"/>
        </w:tblCellMar>
        <w:tblLook w:val="04A0" w:firstRow="1" w:lastRow="0" w:firstColumn="1" w:lastColumn="0" w:noHBand="0" w:noVBand="1"/>
      </w:tblPr>
      <w:tblGrid>
        <w:gridCol w:w="3568"/>
        <w:gridCol w:w="929"/>
        <w:gridCol w:w="4703"/>
      </w:tblGrid>
      <w:tr w:rsidR="00731E27" w14:paraId="5F078221" w14:textId="77777777">
        <w:trPr>
          <w:tblHeader/>
        </w:trPr>
        <w:tc>
          <w:tcPr>
            <w:tcW w:w="0" w:type="auto"/>
            <w:shd w:val="clear" w:color="auto" w:fill="D9E1F2"/>
            <w:tcMar>
              <w:top w:w="80" w:type="dxa"/>
              <w:left w:w="100" w:type="dxa"/>
              <w:bottom w:w="80" w:type="dxa"/>
              <w:right w:w="100" w:type="dxa"/>
            </w:tcMar>
          </w:tcPr>
          <w:p w14:paraId="23E46FAA" w14:textId="77777777" w:rsidR="00731E27" w:rsidRDefault="00000000">
            <w:r>
              <w:rPr>
                <w:b/>
                <w:bCs/>
                <w:sz w:val="17"/>
                <w:szCs w:val="17"/>
              </w:rPr>
              <w:t>Phase</w:t>
            </w:r>
          </w:p>
        </w:tc>
        <w:tc>
          <w:tcPr>
            <w:tcW w:w="0" w:type="auto"/>
            <w:shd w:val="clear" w:color="auto" w:fill="D9E1F2"/>
            <w:tcMar>
              <w:top w:w="80" w:type="dxa"/>
              <w:left w:w="100" w:type="dxa"/>
              <w:bottom w:w="80" w:type="dxa"/>
              <w:right w:w="100" w:type="dxa"/>
            </w:tcMar>
          </w:tcPr>
          <w:p w14:paraId="0D9C8B1A" w14:textId="77777777" w:rsidR="00731E27" w:rsidRDefault="00000000">
            <w:r>
              <w:rPr>
                <w:b/>
                <w:bCs/>
                <w:sz w:val="17"/>
                <w:szCs w:val="17"/>
              </w:rPr>
              <w:t>Items</w:t>
            </w:r>
          </w:p>
        </w:tc>
        <w:tc>
          <w:tcPr>
            <w:tcW w:w="0" w:type="auto"/>
            <w:shd w:val="clear" w:color="auto" w:fill="D9E1F2"/>
            <w:tcMar>
              <w:top w:w="80" w:type="dxa"/>
              <w:left w:w="100" w:type="dxa"/>
              <w:bottom w:w="80" w:type="dxa"/>
              <w:right w:w="100" w:type="dxa"/>
            </w:tcMar>
          </w:tcPr>
          <w:p w14:paraId="49911CB7" w14:textId="77777777" w:rsidR="00731E27" w:rsidRDefault="00000000">
            <w:r>
              <w:rPr>
                <w:b/>
                <w:bCs/>
                <w:sz w:val="17"/>
                <w:szCs w:val="17"/>
              </w:rPr>
              <w:t>Description</w:t>
            </w:r>
          </w:p>
        </w:tc>
      </w:tr>
      <w:tr w:rsidR="00731E27" w14:paraId="4E392480" w14:textId="77777777">
        <w:tc>
          <w:tcPr>
            <w:tcW w:w="0" w:type="auto"/>
            <w:tcMar>
              <w:top w:w="80" w:type="dxa"/>
              <w:left w:w="100" w:type="dxa"/>
              <w:bottom w:w="80" w:type="dxa"/>
              <w:right w:w="100" w:type="dxa"/>
            </w:tcMar>
          </w:tcPr>
          <w:p w14:paraId="3E180A2C" w14:textId="77777777" w:rsidR="00731E27" w:rsidRDefault="00000000">
            <w:r>
              <w:rPr>
                <w:sz w:val="17"/>
                <w:szCs w:val="17"/>
              </w:rPr>
              <w:t>I. Sample Construction</w:t>
            </w:r>
          </w:p>
        </w:tc>
        <w:tc>
          <w:tcPr>
            <w:tcW w:w="0" w:type="auto"/>
            <w:tcMar>
              <w:top w:w="80" w:type="dxa"/>
              <w:left w:w="100" w:type="dxa"/>
              <w:bottom w:w="80" w:type="dxa"/>
              <w:right w:w="100" w:type="dxa"/>
            </w:tcMar>
          </w:tcPr>
          <w:p w14:paraId="3B4B2030" w14:textId="77777777" w:rsidR="00731E27" w:rsidRDefault="00000000">
            <w:r>
              <w:rPr>
                <w:sz w:val="17"/>
                <w:szCs w:val="17"/>
              </w:rPr>
              <w:t>1–4</w:t>
            </w:r>
          </w:p>
        </w:tc>
        <w:tc>
          <w:tcPr>
            <w:tcW w:w="0" w:type="auto"/>
            <w:tcMar>
              <w:top w:w="80" w:type="dxa"/>
              <w:left w:w="100" w:type="dxa"/>
              <w:bottom w:w="80" w:type="dxa"/>
              <w:right w:w="100" w:type="dxa"/>
            </w:tcMar>
          </w:tcPr>
          <w:p w14:paraId="4C1EA1FC" w14:textId="77777777" w:rsidR="00731E27" w:rsidRDefault="00000000">
            <w:r>
              <w:rPr>
                <w:sz w:val="17"/>
                <w:szCs w:val="17"/>
              </w:rPr>
              <w:t xml:space="preserve">Agency-year exclusion criteria, </w:t>
            </w:r>
            <w:proofErr w:type="spellStart"/>
            <w:r>
              <w:rPr>
                <w:sz w:val="17"/>
                <w:szCs w:val="17"/>
              </w:rPr>
              <w:t>winsorization</w:t>
            </w:r>
            <w:proofErr w:type="spellEnd"/>
          </w:p>
        </w:tc>
      </w:tr>
      <w:tr w:rsidR="00731E27" w14:paraId="3B424CD7" w14:textId="77777777">
        <w:tc>
          <w:tcPr>
            <w:tcW w:w="0" w:type="auto"/>
            <w:tcMar>
              <w:top w:w="80" w:type="dxa"/>
              <w:left w:w="100" w:type="dxa"/>
              <w:bottom w:w="80" w:type="dxa"/>
              <w:right w:w="100" w:type="dxa"/>
            </w:tcMar>
          </w:tcPr>
          <w:p w14:paraId="013A282F" w14:textId="77777777" w:rsidR="00731E27" w:rsidRDefault="00000000">
            <w:r>
              <w:rPr>
                <w:sz w:val="17"/>
                <w:szCs w:val="17"/>
              </w:rPr>
              <w:t>II. Variable Definitions</w:t>
            </w:r>
          </w:p>
        </w:tc>
        <w:tc>
          <w:tcPr>
            <w:tcW w:w="0" w:type="auto"/>
            <w:tcMar>
              <w:top w:w="80" w:type="dxa"/>
              <w:left w:w="100" w:type="dxa"/>
              <w:bottom w:w="80" w:type="dxa"/>
              <w:right w:w="100" w:type="dxa"/>
            </w:tcMar>
          </w:tcPr>
          <w:p w14:paraId="2F2432D8" w14:textId="77777777" w:rsidR="00731E27" w:rsidRDefault="00000000">
            <w:r>
              <w:rPr>
                <w:sz w:val="17"/>
                <w:szCs w:val="17"/>
              </w:rPr>
              <w:t>5–8</w:t>
            </w:r>
          </w:p>
        </w:tc>
        <w:tc>
          <w:tcPr>
            <w:tcW w:w="0" w:type="auto"/>
            <w:tcMar>
              <w:top w:w="80" w:type="dxa"/>
              <w:left w:w="100" w:type="dxa"/>
              <w:bottom w:w="80" w:type="dxa"/>
              <w:right w:w="100" w:type="dxa"/>
            </w:tcMar>
          </w:tcPr>
          <w:p w14:paraId="1ABF62E9" w14:textId="77777777" w:rsidR="00731E27" w:rsidRDefault="00000000">
            <w:r>
              <w:rPr>
                <w:sz w:val="17"/>
                <w:szCs w:val="17"/>
              </w:rPr>
              <w:t>Dose operationalization, cost variables, WTP</w:t>
            </w:r>
          </w:p>
        </w:tc>
      </w:tr>
      <w:tr w:rsidR="00731E27" w14:paraId="013A2B39" w14:textId="77777777">
        <w:tc>
          <w:tcPr>
            <w:tcW w:w="0" w:type="auto"/>
            <w:tcMar>
              <w:top w:w="80" w:type="dxa"/>
              <w:left w:w="100" w:type="dxa"/>
              <w:bottom w:w="80" w:type="dxa"/>
              <w:right w:w="100" w:type="dxa"/>
            </w:tcMar>
          </w:tcPr>
          <w:p w14:paraId="798A9B2C" w14:textId="77777777" w:rsidR="00731E27" w:rsidRDefault="00000000">
            <w:r>
              <w:rPr>
                <w:sz w:val="17"/>
                <w:szCs w:val="17"/>
              </w:rPr>
              <w:t>III. Panel Structure</w:t>
            </w:r>
          </w:p>
        </w:tc>
        <w:tc>
          <w:tcPr>
            <w:tcW w:w="0" w:type="auto"/>
            <w:tcMar>
              <w:top w:w="80" w:type="dxa"/>
              <w:left w:w="100" w:type="dxa"/>
              <w:bottom w:w="80" w:type="dxa"/>
              <w:right w:w="100" w:type="dxa"/>
            </w:tcMar>
          </w:tcPr>
          <w:p w14:paraId="556FDF05" w14:textId="77777777" w:rsidR="00731E27" w:rsidRDefault="00000000">
            <w:r>
              <w:rPr>
                <w:sz w:val="17"/>
                <w:szCs w:val="17"/>
              </w:rPr>
              <w:t>9–10</w:t>
            </w:r>
          </w:p>
        </w:tc>
        <w:tc>
          <w:tcPr>
            <w:tcW w:w="0" w:type="auto"/>
            <w:tcMar>
              <w:top w:w="80" w:type="dxa"/>
              <w:left w:w="100" w:type="dxa"/>
              <w:bottom w:w="80" w:type="dxa"/>
              <w:right w:w="100" w:type="dxa"/>
            </w:tcMar>
          </w:tcPr>
          <w:p w14:paraId="3FCB9C5B" w14:textId="77777777" w:rsidR="00731E27" w:rsidRDefault="00000000">
            <w:r>
              <w:rPr>
                <w:sz w:val="17"/>
                <w:szCs w:val="17"/>
              </w:rPr>
              <w:t>Identification strategy, estimator selection</w:t>
            </w:r>
          </w:p>
        </w:tc>
      </w:tr>
      <w:tr w:rsidR="00731E27" w14:paraId="76378D0E" w14:textId="77777777">
        <w:tc>
          <w:tcPr>
            <w:tcW w:w="0" w:type="auto"/>
            <w:tcMar>
              <w:top w:w="80" w:type="dxa"/>
              <w:left w:w="100" w:type="dxa"/>
              <w:bottom w:w="80" w:type="dxa"/>
              <w:right w:w="100" w:type="dxa"/>
            </w:tcMar>
          </w:tcPr>
          <w:p w14:paraId="2F98ED38" w14:textId="77777777" w:rsidR="00731E27" w:rsidRDefault="00000000">
            <w:r>
              <w:rPr>
                <w:sz w:val="17"/>
                <w:szCs w:val="17"/>
              </w:rPr>
              <w:t>IV. Commensurability</w:t>
            </w:r>
          </w:p>
        </w:tc>
        <w:tc>
          <w:tcPr>
            <w:tcW w:w="0" w:type="auto"/>
            <w:tcMar>
              <w:top w:w="80" w:type="dxa"/>
              <w:left w:w="100" w:type="dxa"/>
              <w:bottom w:w="80" w:type="dxa"/>
              <w:right w:w="100" w:type="dxa"/>
            </w:tcMar>
          </w:tcPr>
          <w:p w14:paraId="18D14A13" w14:textId="77777777" w:rsidR="00731E27" w:rsidRDefault="00000000">
            <w:r>
              <w:rPr>
                <w:sz w:val="17"/>
                <w:szCs w:val="17"/>
              </w:rPr>
              <w:t>11–15</w:t>
            </w:r>
          </w:p>
        </w:tc>
        <w:tc>
          <w:tcPr>
            <w:tcW w:w="0" w:type="auto"/>
            <w:tcMar>
              <w:top w:w="80" w:type="dxa"/>
              <w:left w:w="100" w:type="dxa"/>
              <w:bottom w:w="80" w:type="dxa"/>
              <w:right w:w="100" w:type="dxa"/>
            </w:tcMar>
          </w:tcPr>
          <w:p w14:paraId="301379E2" w14:textId="77777777" w:rsidR="00731E27" w:rsidRDefault="00000000">
            <w:r>
              <w:rPr>
                <w:sz w:val="17"/>
                <w:szCs w:val="17"/>
              </w:rPr>
              <w:t>T-score standardization, TOST bounds</w:t>
            </w:r>
          </w:p>
        </w:tc>
      </w:tr>
      <w:tr w:rsidR="00731E27" w14:paraId="5A111DC7" w14:textId="77777777">
        <w:tc>
          <w:tcPr>
            <w:tcW w:w="0" w:type="auto"/>
            <w:tcMar>
              <w:top w:w="80" w:type="dxa"/>
              <w:left w:w="100" w:type="dxa"/>
              <w:bottom w:w="80" w:type="dxa"/>
              <w:right w:w="100" w:type="dxa"/>
            </w:tcMar>
          </w:tcPr>
          <w:p w14:paraId="4C2B5240" w14:textId="77777777" w:rsidR="00731E27" w:rsidRDefault="00000000">
            <w:r>
              <w:rPr>
                <w:sz w:val="17"/>
                <w:szCs w:val="17"/>
              </w:rPr>
              <w:t>V. Reporting Principles</w:t>
            </w:r>
          </w:p>
        </w:tc>
        <w:tc>
          <w:tcPr>
            <w:tcW w:w="0" w:type="auto"/>
            <w:tcMar>
              <w:top w:w="80" w:type="dxa"/>
              <w:left w:w="100" w:type="dxa"/>
              <w:bottom w:w="80" w:type="dxa"/>
              <w:right w:w="100" w:type="dxa"/>
            </w:tcMar>
          </w:tcPr>
          <w:p w14:paraId="34FF42BC" w14:textId="77777777" w:rsidR="00731E27" w:rsidRDefault="00000000">
            <w:r>
              <w:rPr>
                <w:sz w:val="17"/>
                <w:szCs w:val="17"/>
              </w:rPr>
              <w:t>11–13</w:t>
            </w:r>
          </w:p>
        </w:tc>
        <w:tc>
          <w:tcPr>
            <w:tcW w:w="0" w:type="auto"/>
            <w:tcMar>
              <w:top w:w="80" w:type="dxa"/>
              <w:left w:w="100" w:type="dxa"/>
              <w:bottom w:w="80" w:type="dxa"/>
              <w:right w:w="100" w:type="dxa"/>
            </w:tcMar>
          </w:tcPr>
          <w:p w14:paraId="3FAFE5D6" w14:textId="77777777" w:rsidR="00731E27" w:rsidRDefault="00000000">
            <w:r>
              <w:rPr>
                <w:sz w:val="17"/>
                <w:szCs w:val="17"/>
              </w:rPr>
              <w:t>Language rules, COI disclosure</w:t>
            </w:r>
          </w:p>
        </w:tc>
      </w:tr>
      <w:tr w:rsidR="00731E27" w14:paraId="49FA0D3F" w14:textId="77777777">
        <w:tc>
          <w:tcPr>
            <w:tcW w:w="0" w:type="auto"/>
            <w:tcMar>
              <w:top w:w="80" w:type="dxa"/>
              <w:left w:w="100" w:type="dxa"/>
              <w:bottom w:w="80" w:type="dxa"/>
              <w:right w:w="100" w:type="dxa"/>
            </w:tcMar>
          </w:tcPr>
          <w:p w14:paraId="5DB04FBB" w14:textId="77777777" w:rsidR="00731E27" w:rsidRDefault="00000000">
            <w:r>
              <w:rPr>
                <w:sz w:val="17"/>
                <w:szCs w:val="17"/>
              </w:rPr>
              <w:t>VI–VII. Visualization &amp; Scope</w:t>
            </w:r>
          </w:p>
        </w:tc>
        <w:tc>
          <w:tcPr>
            <w:tcW w:w="0" w:type="auto"/>
            <w:tcMar>
              <w:top w:w="80" w:type="dxa"/>
              <w:left w:w="100" w:type="dxa"/>
              <w:bottom w:w="80" w:type="dxa"/>
              <w:right w:w="100" w:type="dxa"/>
            </w:tcMar>
          </w:tcPr>
          <w:p w14:paraId="4FEF9D1D" w14:textId="77777777" w:rsidR="00731E27" w:rsidRDefault="00000000">
            <w:r>
              <w:rPr>
                <w:sz w:val="17"/>
                <w:szCs w:val="17"/>
              </w:rPr>
              <w:t>16–17</w:t>
            </w:r>
          </w:p>
        </w:tc>
        <w:tc>
          <w:tcPr>
            <w:tcW w:w="0" w:type="auto"/>
            <w:tcMar>
              <w:top w:w="80" w:type="dxa"/>
              <w:left w:w="100" w:type="dxa"/>
              <w:bottom w:w="80" w:type="dxa"/>
              <w:right w:w="100" w:type="dxa"/>
            </w:tcMar>
          </w:tcPr>
          <w:p w14:paraId="366B35C1" w14:textId="77777777" w:rsidR="00731E27" w:rsidRDefault="00000000">
            <w:r>
              <w:rPr>
                <w:sz w:val="17"/>
                <w:szCs w:val="17"/>
              </w:rPr>
              <w:t>Visualization plan; deferred items</w:t>
            </w:r>
          </w:p>
        </w:tc>
      </w:tr>
      <w:tr w:rsidR="00731E27" w14:paraId="0386D2E7" w14:textId="77777777">
        <w:tc>
          <w:tcPr>
            <w:tcW w:w="0" w:type="auto"/>
            <w:tcMar>
              <w:top w:w="80" w:type="dxa"/>
              <w:left w:w="100" w:type="dxa"/>
              <w:bottom w:w="80" w:type="dxa"/>
              <w:right w:w="100" w:type="dxa"/>
            </w:tcMar>
          </w:tcPr>
          <w:p w14:paraId="18DB0574" w14:textId="77777777" w:rsidR="00731E27" w:rsidRDefault="00000000">
            <w:r>
              <w:rPr>
                <w:sz w:val="17"/>
                <w:szCs w:val="17"/>
              </w:rPr>
              <w:t>VIII–XI. Verification</w:t>
            </w:r>
          </w:p>
        </w:tc>
        <w:tc>
          <w:tcPr>
            <w:tcW w:w="0" w:type="auto"/>
            <w:tcMar>
              <w:top w:w="80" w:type="dxa"/>
              <w:left w:w="100" w:type="dxa"/>
              <w:bottom w:w="80" w:type="dxa"/>
              <w:right w:w="100" w:type="dxa"/>
            </w:tcMar>
          </w:tcPr>
          <w:p w14:paraId="256CE545" w14:textId="77777777" w:rsidR="00731E27" w:rsidRDefault="00000000">
            <w:r>
              <w:rPr>
                <w:sz w:val="17"/>
                <w:szCs w:val="17"/>
              </w:rPr>
              <w:t>18–29</w:t>
            </w:r>
          </w:p>
        </w:tc>
        <w:tc>
          <w:tcPr>
            <w:tcW w:w="0" w:type="auto"/>
            <w:tcMar>
              <w:top w:w="80" w:type="dxa"/>
              <w:left w:w="100" w:type="dxa"/>
              <w:bottom w:w="80" w:type="dxa"/>
              <w:right w:w="100" w:type="dxa"/>
            </w:tcMar>
          </w:tcPr>
          <w:p w14:paraId="5DA44F66" w14:textId="77777777" w:rsidR="00731E27" w:rsidRDefault="00000000">
            <w:r>
              <w:rPr>
                <w:sz w:val="17"/>
                <w:szCs w:val="17"/>
              </w:rPr>
              <w:t>Cross-verification against external documents</w:t>
            </w:r>
          </w:p>
        </w:tc>
      </w:tr>
      <w:tr w:rsidR="00731E27" w14:paraId="5F766AE5" w14:textId="77777777">
        <w:tc>
          <w:tcPr>
            <w:tcW w:w="0" w:type="auto"/>
            <w:tcMar>
              <w:top w:w="80" w:type="dxa"/>
              <w:left w:w="100" w:type="dxa"/>
              <w:bottom w:w="80" w:type="dxa"/>
              <w:right w:w="100" w:type="dxa"/>
            </w:tcMar>
          </w:tcPr>
          <w:p w14:paraId="66558909" w14:textId="77777777" w:rsidR="00731E27" w:rsidRDefault="00000000">
            <w:r>
              <w:rPr>
                <w:sz w:val="17"/>
                <w:szCs w:val="17"/>
              </w:rPr>
              <w:t>XII–XVI. Additional QC</w:t>
            </w:r>
          </w:p>
        </w:tc>
        <w:tc>
          <w:tcPr>
            <w:tcW w:w="0" w:type="auto"/>
            <w:tcMar>
              <w:top w:w="80" w:type="dxa"/>
              <w:left w:w="100" w:type="dxa"/>
              <w:bottom w:w="80" w:type="dxa"/>
              <w:right w:w="100" w:type="dxa"/>
            </w:tcMar>
          </w:tcPr>
          <w:p w14:paraId="7A77030B" w14:textId="77777777" w:rsidR="00731E27" w:rsidRDefault="00000000">
            <w:r>
              <w:rPr>
                <w:sz w:val="17"/>
                <w:szCs w:val="17"/>
              </w:rPr>
              <w:t>30–55</w:t>
            </w:r>
          </w:p>
        </w:tc>
        <w:tc>
          <w:tcPr>
            <w:tcW w:w="0" w:type="auto"/>
            <w:tcMar>
              <w:top w:w="80" w:type="dxa"/>
              <w:left w:w="100" w:type="dxa"/>
              <w:bottom w:w="80" w:type="dxa"/>
              <w:right w:w="100" w:type="dxa"/>
            </w:tcMar>
          </w:tcPr>
          <w:p w14:paraId="42BCC8F6" w14:textId="77777777" w:rsidR="00731E27" w:rsidRDefault="00000000">
            <w:r>
              <w:rPr>
                <w:sz w:val="17"/>
                <w:szCs w:val="17"/>
              </w:rPr>
              <w:t>FTE data integrity; missing data; Approach A/B design</w:t>
            </w:r>
          </w:p>
        </w:tc>
      </w:tr>
      <w:tr w:rsidR="00731E27" w14:paraId="33699988" w14:textId="77777777">
        <w:tc>
          <w:tcPr>
            <w:tcW w:w="0" w:type="auto"/>
            <w:tcMar>
              <w:top w:w="80" w:type="dxa"/>
              <w:left w:w="100" w:type="dxa"/>
              <w:bottom w:w="80" w:type="dxa"/>
              <w:right w:w="100" w:type="dxa"/>
            </w:tcMar>
          </w:tcPr>
          <w:p w14:paraId="5CEFB1C0" w14:textId="77777777" w:rsidR="00731E27" w:rsidRDefault="00000000">
            <w:r>
              <w:rPr>
                <w:sz w:val="17"/>
                <w:szCs w:val="17"/>
              </w:rPr>
              <w:t>XVII–XXVII. Re-verification</w:t>
            </w:r>
          </w:p>
        </w:tc>
        <w:tc>
          <w:tcPr>
            <w:tcW w:w="0" w:type="auto"/>
            <w:tcMar>
              <w:top w:w="80" w:type="dxa"/>
              <w:left w:w="100" w:type="dxa"/>
              <w:bottom w:w="80" w:type="dxa"/>
              <w:right w:w="100" w:type="dxa"/>
            </w:tcMar>
          </w:tcPr>
          <w:p w14:paraId="7282F56E" w14:textId="77777777" w:rsidR="00731E27" w:rsidRDefault="00000000">
            <w:r>
              <w:rPr>
                <w:sz w:val="17"/>
                <w:szCs w:val="17"/>
              </w:rPr>
              <w:t>56–90</w:t>
            </w:r>
          </w:p>
        </w:tc>
        <w:tc>
          <w:tcPr>
            <w:tcW w:w="0" w:type="auto"/>
            <w:tcMar>
              <w:top w:w="80" w:type="dxa"/>
              <w:left w:w="100" w:type="dxa"/>
              <w:bottom w:w="80" w:type="dxa"/>
              <w:right w:w="100" w:type="dxa"/>
            </w:tcMar>
          </w:tcPr>
          <w:p w14:paraId="250E5F45" w14:textId="77777777" w:rsidR="00731E27" w:rsidRDefault="00000000">
            <w:r>
              <w:rPr>
                <w:sz w:val="17"/>
                <w:szCs w:val="17"/>
              </w:rPr>
              <w:t>Bug fix, protected columns, final estimation decisions</w:t>
            </w:r>
          </w:p>
        </w:tc>
      </w:tr>
      <w:tr w:rsidR="00731E27" w14:paraId="34DD4517" w14:textId="77777777">
        <w:tc>
          <w:tcPr>
            <w:tcW w:w="0" w:type="auto"/>
            <w:tcMar>
              <w:top w:w="80" w:type="dxa"/>
              <w:left w:w="100" w:type="dxa"/>
              <w:bottom w:w="80" w:type="dxa"/>
              <w:right w:w="100" w:type="dxa"/>
            </w:tcMar>
          </w:tcPr>
          <w:p w14:paraId="7533CA79" w14:textId="77777777" w:rsidR="00731E27" w:rsidRDefault="00000000">
            <w:r>
              <w:rPr>
                <w:sz w:val="17"/>
                <w:szCs w:val="17"/>
              </w:rPr>
              <w:t xml:space="preserve">XXVIII–XXX. Ridge &amp; </w:t>
            </w:r>
            <w:proofErr w:type="gramStart"/>
            <w:r>
              <w:rPr>
                <w:sz w:val="17"/>
                <w:szCs w:val="17"/>
              </w:rPr>
              <w:t>Pre-specification</w:t>
            </w:r>
            <w:proofErr w:type="gramEnd"/>
          </w:p>
        </w:tc>
        <w:tc>
          <w:tcPr>
            <w:tcW w:w="0" w:type="auto"/>
            <w:tcMar>
              <w:top w:w="80" w:type="dxa"/>
              <w:left w:w="100" w:type="dxa"/>
              <w:bottom w:w="80" w:type="dxa"/>
              <w:right w:w="100" w:type="dxa"/>
            </w:tcMar>
          </w:tcPr>
          <w:p w14:paraId="5EEB7C84" w14:textId="77777777" w:rsidR="00731E27" w:rsidRDefault="00000000">
            <w:r>
              <w:rPr>
                <w:sz w:val="17"/>
                <w:szCs w:val="17"/>
              </w:rPr>
              <w:t>91–110</w:t>
            </w:r>
          </w:p>
        </w:tc>
        <w:tc>
          <w:tcPr>
            <w:tcW w:w="0" w:type="auto"/>
            <w:tcMar>
              <w:top w:w="80" w:type="dxa"/>
              <w:left w:w="100" w:type="dxa"/>
              <w:bottom w:w="80" w:type="dxa"/>
              <w:right w:w="100" w:type="dxa"/>
            </w:tcMar>
          </w:tcPr>
          <w:p w14:paraId="0B14B7D6" w14:textId="77777777" w:rsidR="00731E27" w:rsidRDefault="00000000">
            <w:r>
              <w:rPr>
                <w:sz w:val="17"/>
                <w:szCs w:val="17"/>
              </w:rPr>
              <w:t>Regularization design; functional form pre-specification</w:t>
            </w:r>
          </w:p>
        </w:tc>
      </w:tr>
      <w:tr w:rsidR="00731E27" w14:paraId="5FA2F366" w14:textId="77777777">
        <w:tc>
          <w:tcPr>
            <w:tcW w:w="0" w:type="auto"/>
            <w:tcMar>
              <w:top w:w="80" w:type="dxa"/>
              <w:left w:w="100" w:type="dxa"/>
              <w:bottom w:w="80" w:type="dxa"/>
              <w:right w:w="100" w:type="dxa"/>
            </w:tcMar>
          </w:tcPr>
          <w:p w14:paraId="27B04D9C" w14:textId="77777777" w:rsidR="00731E27" w:rsidRDefault="00000000">
            <w:r>
              <w:rPr>
                <w:sz w:val="17"/>
                <w:szCs w:val="17"/>
              </w:rPr>
              <w:t>Leverage &amp; Huber</w:t>
            </w:r>
          </w:p>
        </w:tc>
        <w:tc>
          <w:tcPr>
            <w:tcW w:w="0" w:type="auto"/>
            <w:tcMar>
              <w:top w:w="80" w:type="dxa"/>
              <w:left w:w="100" w:type="dxa"/>
              <w:bottom w:w="80" w:type="dxa"/>
              <w:right w:w="100" w:type="dxa"/>
            </w:tcMar>
          </w:tcPr>
          <w:p w14:paraId="319E33BD" w14:textId="77777777" w:rsidR="00731E27" w:rsidRDefault="00000000">
            <w:r>
              <w:rPr>
                <w:sz w:val="17"/>
                <w:szCs w:val="17"/>
              </w:rPr>
              <w:t>111–124</w:t>
            </w:r>
          </w:p>
        </w:tc>
        <w:tc>
          <w:tcPr>
            <w:tcW w:w="0" w:type="auto"/>
            <w:tcMar>
              <w:top w:w="80" w:type="dxa"/>
              <w:left w:w="100" w:type="dxa"/>
              <w:bottom w:w="80" w:type="dxa"/>
              <w:right w:w="100" w:type="dxa"/>
            </w:tcMar>
          </w:tcPr>
          <w:p w14:paraId="1D3399E0" w14:textId="77777777" w:rsidR="00731E27" w:rsidRDefault="00000000">
            <w:r>
              <w:rPr>
                <w:sz w:val="17"/>
                <w:szCs w:val="17"/>
              </w:rPr>
              <w:t>Leverage analysis; Huber estimation results</w:t>
            </w:r>
          </w:p>
        </w:tc>
      </w:tr>
      <w:tr w:rsidR="00731E27" w14:paraId="266DC081" w14:textId="77777777">
        <w:tc>
          <w:tcPr>
            <w:tcW w:w="0" w:type="auto"/>
            <w:tcMar>
              <w:top w:w="80" w:type="dxa"/>
              <w:left w:w="100" w:type="dxa"/>
              <w:bottom w:w="80" w:type="dxa"/>
              <w:right w:w="100" w:type="dxa"/>
            </w:tcMar>
          </w:tcPr>
          <w:p w14:paraId="096085C5" w14:textId="77777777" w:rsidR="00731E27" w:rsidRDefault="00000000">
            <w:r>
              <w:rPr>
                <w:sz w:val="17"/>
                <w:szCs w:val="17"/>
              </w:rPr>
              <w:t>Break-even</w:t>
            </w:r>
          </w:p>
        </w:tc>
        <w:tc>
          <w:tcPr>
            <w:tcW w:w="0" w:type="auto"/>
            <w:tcMar>
              <w:top w:w="80" w:type="dxa"/>
              <w:left w:w="100" w:type="dxa"/>
              <w:bottom w:w="80" w:type="dxa"/>
              <w:right w:w="100" w:type="dxa"/>
            </w:tcMar>
          </w:tcPr>
          <w:p w14:paraId="56F897C1" w14:textId="77777777" w:rsidR="00731E27" w:rsidRDefault="00000000">
            <w:r>
              <w:rPr>
                <w:sz w:val="17"/>
                <w:szCs w:val="17"/>
              </w:rPr>
              <w:t>121–122</w:t>
            </w:r>
          </w:p>
        </w:tc>
        <w:tc>
          <w:tcPr>
            <w:tcW w:w="0" w:type="auto"/>
            <w:tcMar>
              <w:top w:w="80" w:type="dxa"/>
              <w:left w:w="100" w:type="dxa"/>
              <w:bottom w:w="80" w:type="dxa"/>
              <w:right w:w="100" w:type="dxa"/>
            </w:tcMar>
          </w:tcPr>
          <w:p w14:paraId="19E2A201" w14:textId="77777777" w:rsidR="00731E27" w:rsidRDefault="00000000">
            <w:r>
              <w:rPr>
                <w:sz w:val="17"/>
                <w:szCs w:val="17"/>
              </w:rPr>
              <w:t>Break-even framework and result (365-fold gap)</w:t>
            </w:r>
          </w:p>
        </w:tc>
      </w:tr>
      <w:tr w:rsidR="00731E27" w14:paraId="11CDCF97" w14:textId="77777777">
        <w:tc>
          <w:tcPr>
            <w:tcW w:w="0" w:type="auto"/>
            <w:tcMar>
              <w:top w:w="80" w:type="dxa"/>
              <w:left w:w="100" w:type="dxa"/>
              <w:bottom w:w="80" w:type="dxa"/>
              <w:right w:w="100" w:type="dxa"/>
            </w:tcMar>
          </w:tcPr>
          <w:p w14:paraId="5B7EDAEB" w14:textId="77777777" w:rsidR="00731E27" w:rsidRDefault="00000000">
            <w:r>
              <w:rPr>
                <w:sz w:val="17"/>
                <w:szCs w:val="17"/>
              </w:rPr>
              <w:t>Final</w:t>
            </w:r>
          </w:p>
        </w:tc>
        <w:tc>
          <w:tcPr>
            <w:tcW w:w="0" w:type="auto"/>
            <w:tcMar>
              <w:top w:w="80" w:type="dxa"/>
              <w:left w:w="100" w:type="dxa"/>
              <w:bottom w:w="80" w:type="dxa"/>
              <w:right w:w="100" w:type="dxa"/>
            </w:tcMar>
          </w:tcPr>
          <w:p w14:paraId="2CA16335" w14:textId="77777777" w:rsidR="00731E27" w:rsidRDefault="00000000">
            <w:r>
              <w:rPr>
                <w:sz w:val="17"/>
                <w:szCs w:val="17"/>
              </w:rPr>
              <w:t>125–128</w:t>
            </w:r>
          </w:p>
        </w:tc>
        <w:tc>
          <w:tcPr>
            <w:tcW w:w="0" w:type="auto"/>
            <w:tcMar>
              <w:top w:w="80" w:type="dxa"/>
              <w:left w:w="100" w:type="dxa"/>
              <w:bottom w:w="80" w:type="dxa"/>
              <w:right w:w="100" w:type="dxa"/>
            </w:tcMar>
          </w:tcPr>
          <w:p w14:paraId="4667A911" w14:textId="77777777" w:rsidR="00731E27" w:rsidRDefault="00000000">
            <w:r>
              <w:rPr>
                <w:sz w:val="17"/>
                <w:szCs w:val="17"/>
              </w:rPr>
              <w:t xml:space="preserve">C(N) </w:t>
            </w:r>
            <w:proofErr w:type="gramStart"/>
            <w:r>
              <w:rPr>
                <w:sz w:val="17"/>
                <w:szCs w:val="17"/>
              </w:rPr>
              <w:t>final results</w:t>
            </w:r>
            <w:proofErr w:type="gramEnd"/>
            <w:r>
              <w:rPr>
                <w:sz w:val="17"/>
                <w:szCs w:val="17"/>
              </w:rPr>
              <w:t>; TOST result; log completion</w:t>
            </w:r>
          </w:p>
        </w:tc>
      </w:tr>
    </w:tbl>
    <w:p w14:paraId="1FA1823D" w14:textId="77777777" w:rsidR="00731E27" w:rsidRDefault="00731E27">
      <w:pPr>
        <w:spacing w:after="80"/>
      </w:pPr>
    </w:p>
    <w:p w14:paraId="120E2259" w14:textId="77777777" w:rsidR="00731E27" w:rsidRDefault="00000000">
      <w:pPr>
        <w:pStyle w:val="2"/>
      </w:pPr>
      <w:r>
        <w:rPr>
          <w:b/>
          <w:bCs/>
          <w:sz w:val="24"/>
          <w:szCs w:val="24"/>
        </w:rPr>
        <w:t>Decision Log</w:t>
      </w:r>
    </w:p>
    <w:tbl>
      <w:tblPr>
        <w:tblW w:w="9200" w:type="dxa"/>
        <w:tblBorders>
          <w:top w:val="single" w:sz="4" w:space="0" w:color="4472C4"/>
          <w:left w:val="single" w:sz="4" w:space="0" w:color="4472C4"/>
          <w:bottom w:val="single" w:sz="4" w:space="0" w:color="4472C4"/>
          <w:right w:val="single" w:sz="4" w:space="0" w:color="4472C4"/>
          <w:insideH w:val="single" w:sz="2" w:space="0" w:color="9DC3E6"/>
          <w:insideV w:val="single" w:sz="2" w:space="0" w:color="9DC3E6"/>
        </w:tblBorders>
        <w:tblCellMar>
          <w:left w:w="10" w:type="dxa"/>
          <w:right w:w="10" w:type="dxa"/>
        </w:tblCellMar>
        <w:tblLook w:val="04A0" w:firstRow="1" w:lastRow="0" w:firstColumn="1" w:lastColumn="0" w:noHBand="0" w:noVBand="1"/>
      </w:tblPr>
      <w:tblGrid>
        <w:gridCol w:w="842"/>
        <w:gridCol w:w="548"/>
        <w:gridCol w:w="1580"/>
        <w:gridCol w:w="5293"/>
        <w:gridCol w:w="937"/>
      </w:tblGrid>
      <w:tr w:rsidR="00731E27" w14:paraId="2249939C" w14:textId="77777777">
        <w:trPr>
          <w:tblHeader/>
        </w:trPr>
        <w:tc>
          <w:tcPr>
            <w:tcW w:w="0" w:type="auto"/>
            <w:shd w:val="clear" w:color="auto" w:fill="D9E1F2"/>
            <w:tcMar>
              <w:top w:w="80" w:type="dxa"/>
              <w:left w:w="100" w:type="dxa"/>
              <w:bottom w:w="80" w:type="dxa"/>
              <w:right w:w="100" w:type="dxa"/>
            </w:tcMar>
          </w:tcPr>
          <w:p w14:paraId="43486F0C" w14:textId="77777777" w:rsidR="00731E27" w:rsidRDefault="00000000">
            <w:r>
              <w:rPr>
                <w:b/>
                <w:bCs/>
                <w:sz w:val="17"/>
                <w:szCs w:val="17"/>
              </w:rPr>
              <w:t>Section</w:t>
            </w:r>
          </w:p>
        </w:tc>
        <w:tc>
          <w:tcPr>
            <w:tcW w:w="0" w:type="auto"/>
            <w:shd w:val="clear" w:color="auto" w:fill="D9E1F2"/>
            <w:tcMar>
              <w:top w:w="80" w:type="dxa"/>
              <w:left w:w="100" w:type="dxa"/>
              <w:bottom w:w="80" w:type="dxa"/>
              <w:right w:w="100" w:type="dxa"/>
            </w:tcMar>
          </w:tcPr>
          <w:p w14:paraId="4CD8FA79" w14:textId="77777777" w:rsidR="00731E27" w:rsidRDefault="00000000">
            <w:r>
              <w:rPr>
                <w:b/>
                <w:bCs/>
                <w:sz w:val="17"/>
                <w:szCs w:val="17"/>
              </w:rPr>
              <w:t>Item #</w:t>
            </w:r>
          </w:p>
        </w:tc>
        <w:tc>
          <w:tcPr>
            <w:tcW w:w="0" w:type="auto"/>
            <w:shd w:val="clear" w:color="auto" w:fill="D9E1F2"/>
            <w:tcMar>
              <w:top w:w="80" w:type="dxa"/>
              <w:left w:w="100" w:type="dxa"/>
              <w:bottom w:w="80" w:type="dxa"/>
              <w:right w:w="100" w:type="dxa"/>
            </w:tcMar>
          </w:tcPr>
          <w:p w14:paraId="3B0DC900" w14:textId="77777777" w:rsidR="00731E27" w:rsidRDefault="00000000">
            <w:r>
              <w:rPr>
                <w:b/>
                <w:bCs/>
                <w:sz w:val="17"/>
                <w:szCs w:val="17"/>
              </w:rPr>
              <w:t>Decision Topic</w:t>
            </w:r>
          </w:p>
        </w:tc>
        <w:tc>
          <w:tcPr>
            <w:tcW w:w="0" w:type="auto"/>
            <w:shd w:val="clear" w:color="auto" w:fill="D9E1F2"/>
            <w:tcMar>
              <w:top w:w="80" w:type="dxa"/>
              <w:left w:w="100" w:type="dxa"/>
              <w:bottom w:w="80" w:type="dxa"/>
              <w:right w:w="100" w:type="dxa"/>
            </w:tcMar>
          </w:tcPr>
          <w:p w14:paraId="1AE4E510" w14:textId="77777777" w:rsidR="00731E27" w:rsidRDefault="00000000">
            <w:r>
              <w:rPr>
                <w:b/>
                <w:bCs/>
                <w:sz w:val="17"/>
                <w:szCs w:val="17"/>
              </w:rPr>
              <w:t>Decision and Rationale</w:t>
            </w:r>
          </w:p>
        </w:tc>
        <w:tc>
          <w:tcPr>
            <w:tcW w:w="0" w:type="auto"/>
            <w:shd w:val="clear" w:color="auto" w:fill="D9E1F2"/>
            <w:tcMar>
              <w:top w:w="80" w:type="dxa"/>
              <w:left w:w="100" w:type="dxa"/>
              <w:bottom w:w="80" w:type="dxa"/>
              <w:right w:w="100" w:type="dxa"/>
            </w:tcMar>
          </w:tcPr>
          <w:p w14:paraId="5A34450B" w14:textId="77777777" w:rsidR="00731E27" w:rsidRDefault="00000000">
            <w:r>
              <w:rPr>
                <w:b/>
                <w:bCs/>
                <w:sz w:val="17"/>
                <w:szCs w:val="17"/>
              </w:rPr>
              <w:t>Status</w:t>
            </w:r>
          </w:p>
        </w:tc>
      </w:tr>
      <w:tr w:rsidR="00731E27" w14:paraId="62767343" w14:textId="77777777">
        <w:tc>
          <w:tcPr>
            <w:tcW w:w="0" w:type="auto"/>
            <w:tcMar>
              <w:top w:w="80" w:type="dxa"/>
              <w:left w:w="100" w:type="dxa"/>
              <w:bottom w:w="80" w:type="dxa"/>
              <w:right w:w="100" w:type="dxa"/>
            </w:tcMar>
          </w:tcPr>
          <w:p w14:paraId="7BB08EA0" w14:textId="77777777" w:rsidR="00731E27" w:rsidRDefault="00000000">
            <w:r>
              <w:rPr>
                <w:sz w:val="17"/>
                <w:szCs w:val="17"/>
              </w:rPr>
              <w:t>I</w:t>
            </w:r>
          </w:p>
        </w:tc>
        <w:tc>
          <w:tcPr>
            <w:tcW w:w="0" w:type="auto"/>
            <w:tcMar>
              <w:top w:w="80" w:type="dxa"/>
              <w:left w:w="100" w:type="dxa"/>
              <w:bottom w:w="80" w:type="dxa"/>
              <w:right w:w="100" w:type="dxa"/>
            </w:tcMar>
          </w:tcPr>
          <w:p w14:paraId="3F5C90DA" w14:textId="77777777" w:rsidR="00731E27" w:rsidRDefault="00000000">
            <w:r>
              <w:rPr>
                <w:sz w:val="17"/>
                <w:szCs w:val="17"/>
              </w:rPr>
              <w:t>1</w:t>
            </w:r>
          </w:p>
        </w:tc>
        <w:tc>
          <w:tcPr>
            <w:tcW w:w="0" w:type="auto"/>
            <w:tcMar>
              <w:top w:w="80" w:type="dxa"/>
              <w:left w:w="100" w:type="dxa"/>
              <w:bottom w:w="80" w:type="dxa"/>
              <w:right w:w="100" w:type="dxa"/>
            </w:tcMar>
          </w:tcPr>
          <w:p w14:paraId="5D2DD76E" w14:textId="77777777" w:rsidR="00731E27" w:rsidRDefault="00000000">
            <w:r>
              <w:rPr>
                <w:sz w:val="17"/>
                <w:szCs w:val="17"/>
              </w:rPr>
              <w:t>RN FTE exclusion criterion</w:t>
            </w:r>
          </w:p>
        </w:tc>
        <w:tc>
          <w:tcPr>
            <w:tcW w:w="0" w:type="auto"/>
            <w:tcMar>
              <w:top w:w="80" w:type="dxa"/>
              <w:left w:w="100" w:type="dxa"/>
              <w:bottom w:w="80" w:type="dxa"/>
              <w:right w:w="100" w:type="dxa"/>
            </w:tcMar>
          </w:tcPr>
          <w:p w14:paraId="42AE87CE" w14:textId="77777777" w:rsidR="00731E27" w:rsidRDefault="00000000">
            <w:r>
              <w:rPr>
                <w:sz w:val="17"/>
                <w:szCs w:val="17"/>
              </w:rPr>
              <w:t xml:space="preserve">Exclude agency-years with </w:t>
            </w:r>
            <w:proofErr w:type="spellStart"/>
            <w:r>
              <w:rPr>
                <w:sz w:val="17"/>
                <w:szCs w:val="17"/>
              </w:rPr>
              <w:t>Direct_Nursing_Service_Total_FTE</w:t>
            </w:r>
            <w:proofErr w:type="spellEnd"/>
            <w:r>
              <w:rPr>
                <w:sz w:val="17"/>
                <w:szCs w:val="17"/>
              </w:rPr>
              <w:t xml:space="preserve"> = 0 (observed) or blank (missing). Rationale: agencies without RN service are outside the scope of staffing optimization. N removed: 3,333 (605 zero; 2,728 blank). Starting N: 21,425; remaining: 18,092.</w:t>
            </w:r>
          </w:p>
        </w:tc>
        <w:tc>
          <w:tcPr>
            <w:tcW w:w="0" w:type="auto"/>
            <w:tcMar>
              <w:top w:w="80" w:type="dxa"/>
              <w:left w:w="100" w:type="dxa"/>
              <w:bottom w:w="80" w:type="dxa"/>
              <w:right w:w="100" w:type="dxa"/>
            </w:tcMar>
          </w:tcPr>
          <w:p w14:paraId="3C9CB271" w14:textId="77777777" w:rsidR="00731E27" w:rsidRDefault="00000000">
            <w:r>
              <w:rPr>
                <w:sz w:val="17"/>
                <w:szCs w:val="17"/>
              </w:rPr>
              <w:t>Confirmed</w:t>
            </w:r>
          </w:p>
        </w:tc>
      </w:tr>
      <w:tr w:rsidR="00731E27" w14:paraId="43784BBB" w14:textId="77777777">
        <w:tc>
          <w:tcPr>
            <w:tcW w:w="0" w:type="auto"/>
            <w:tcMar>
              <w:top w:w="80" w:type="dxa"/>
              <w:left w:w="100" w:type="dxa"/>
              <w:bottom w:w="80" w:type="dxa"/>
              <w:right w:w="100" w:type="dxa"/>
            </w:tcMar>
          </w:tcPr>
          <w:p w14:paraId="7530C5DA" w14:textId="77777777" w:rsidR="00731E27" w:rsidRDefault="00000000">
            <w:r>
              <w:rPr>
                <w:sz w:val="17"/>
                <w:szCs w:val="17"/>
              </w:rPr>
              <w:t>I</w:t>
            </w:r>
          </w:p>
        </w:tc>
        <w:tc>
          <w:tcPr>
            <w:tcW w:w="0" w:type="auto"/>
            <w:tcMar>
              <w:top w:w="80" w:type="dxa"/>
              <w:left w:w="100" w:type="dxa"/>
              <w:bottom w:w="80" w:type="dxa"/>
              <w:right w:w="100" w:type="dxa"/>
            </w:tcMar>
          </w:tcPr>
          <w:p w14:paraId="6B232757" w14:textId="77777777" w:rsidR="00731E27" w:rsidRDefault="00000000">
            <w:r>
              <w:rPr>
                <w:sz w:val="17"/>
                <w:szCs w:val="17"/>
              </w:rPr>
              <w:t>2</w:t>
            </w:r>
          </w:p>
        </w:tc>
        <w:tc>
          <w:tcPr>
            <w:tcW w:w="0" w:type="auto"/>
            <w:tcMar>
              <w:top w:w="80" w:type="dxa"/>
              <w:left w:w="100" w:type="dxa"/>
              <w:bottom w:w="80" w:type="dxa"/>
              <w:right w:w="100" w:type="dxa"/>
            </w:tcMar>
          </w:tcPr>
          <w:p w14:paraId="3EA92B38" w14:textId="77777777" w:rsidR="00731E27" w:rsidRDefault="00000000">
            <w:r>
              <w:rPr>
                <w:sz w:val="17"/>
                <w:szCs w:val="17"/>
              </w:rPr>
              <w:t>HH Aide FTE missing value strategy</w:t>
            </w:r>
          </w:p>
        </w:tc>
        <w:tc>
          <w:tcPr>
            <w:tcW w:w="0" w:type="auto"/>
            <w:tcMar>
              <w:top w:w="80" w:type="dxa"/>
              <w:left w:w="100" w:type="dxa"/>
              <w:bottom w:w="80" w:type="dxa"/>
              <w:right w:w="100" w:type="dxa"/>
            </w:tcMar>
          </w:tcPr>
          <w:p w14:paraId="7AEBCB7F" w14:textId="77777777" w:rsidR="00731E27" w:rsidRDefault="00000000">
            <w:r>
              <w:rPr>
                <w:sz w:val="17"/>
                <w:szCs w:val="17"/>
              </w:rPr>
              <w:t xml:space="preserve">Retain observed zero values (valid: no aide service). Impute blanks via </w:t>
            </w:r>
            <w:proofErr w:type="spellStart"/>
            <w:r>
              <w:rPr>
                <w:sz w:val="17"/>
                <w:szCs w:val="17"/>
              </w:rPr>
              <w:t>votingForest</w:t>
            </w:r>
            <w:proofErr w:type="spellEnd"/>
            <w:r>
              <w:rPr>
                <w:sz w:val="17"/>
                <w:szCs w:val="17"/>
              </w:rPr>
              <w:t xml:space="preserve"> single imputation using the validated method from the CIN methods paper (Park et al., same variables). Rationale: preserve sample size; skill-mix analysis requires complete variables.</w:t>
            </w:r>
          </w:p>
        </w:tc>
        <w:tc>
          <w:tcPr>
            <w:tcW w:w="0" w:type="auto"/>
            <w:tcMar>
              <w:top w:w="80" w:type="dxa"/>
              <w:left w:w="100" w:type="dxa"/>
              <w:bottom w:w="80" w:type="dxa"/>
              <w:right w:w="100" w:type="dxa"/>
            </w:tcMar>
          </w:tcPr>
          <w:p w14:paraId="42EAC444" w14:textId="77777777" w:rsidR="00731E27" w:rsidRDefault="00000000">
            <w:r>
              <w:rPr>
                <w:sz w:val="17"/>
                <w:szCs w:val="17"/>
              </w:rPr>
              <w:t>Confirmed</w:t>
            </w:r>
          </w:p>
        </w:tc>
      </w:tr>
      <w:tr w:rsidR="00731E27" w14:paraId="59297F35" w14:textId="77777777">
        <w:tc>
          <w:tcPr>
            <w:tcW w:w="0" w:type="auto"/>
            <w:tcMar>
              <w:top w:w="80" w:type="dxa"/>
              <w:left w:w="100" w:type="dxa"/>
              <w:bottom w:w="80" w:type="dxa"/>
              <w:right w:w="100" w:type="dxa"/>
            </w:tcMar>
          </w:tcPr>
          <w:p w14:paraId="78FE1567" w14:textId="77777777" w:rsidR="00731E27" w:rsidRDefault="00000000">
            <w:r>
              <w:rPr>
                <w:sz w:val="17"/>
                <w:szCs w:val="17"/>
              </w:rPr>
              <w:t>I</w:t>
            </w:r>
          </w:p>
        </w:tc>
        <w:tc>
          <w:tcPr>
            <w:tcW w:w="0" w:type="auto"/>
            <w:tcMar>
              <w:top w:w="80" w:type="dxa"/>
              <w:left w:w="100" w:type="dxa"/>
              <w:bottom w:w="80" w:type="dxa"/>
              <w:right w:w="100" w:type="dxa"/>
            </w:tcMar>
          </w:tcPr>
          <w:p w14:paraId="468813C4" w14:textId="77777777" w:rsidR="00731E27" w:rsidRDefault="00000000">
            <w:r>
              <w:rPr>
                <w:sz w:val="17"/>
                <w:szCs w:val="17"/>
              </w:rPr>
              <w:t>3</w:t>
            </w:r>
          </w:p>
        </w:tc>
        <w:tc>
          <w:tcPr>
            <w:tcW w:w="0" w:type="auto"/>
            <w:tcMar>
              <w:top w:w="80" w:type="dxa"/>
              <w:left w:w="100" w:type="dxa"/>
              <w:bottom w:w="80" w:type="dxa"/>
              <w:right w:w="100" w:type="dxa"/>
            </w:tcMar>
          </w:tcPr>
          <w:p w14:paraId="6D6B3013" w14:textId="77777777" w:rsidR="00731E27" w:rsidRDefault="00000000">
            <w:r>
              <w:rPr>
                <w:sz w:val="17"/>
                <w:szCs w:val="17"/>
              </w:rPr>
              <w:t>Minimum patient volume screen</w:t>
            </w:r>
          </w:p>
        </w:tc>
        <w:tc>
          <w:tcPr>
            <w:tcW w:w="0" w:type="auto"/>
            <w:tcMar>
              <w:top w:w="80" w:type="dxa"/>
              <w:left w:w="100" w:type="dxa"/>
              <w:bottom w:w="80" w:type="dxa"/>
              <w:right w:w="100" w:type="dxa"/>
            </w:tcMar>
          </w:tcPr>
          <w:p w14:paraId="44203BFE" w14:textId="12E778DA" w:rsidR="00731E27" w:rsidRDefault="00000000">
            <w:r>
              <w:rPr>
                <w:sz w:val="17"/>
                <w:szCs w:val="17"/>
              </w:rPr>
              <w:t xml:space="preserve">Exclude agency-years with </w:t>
            </w:r>
            <w:proofErr w:type="spellStart"/>
            <w:r>
              <w:rPr>
                <w:sz w:val="17"/>
                <w:szCs w:val="17"/>
              </w:rPr>
              <w:t>N_Patients_Skilled_Nursing</w:t>
            </w:r>
            <w:proofErr w:type="spellEnd"/>
            <w:r>
              <w:rPr>
                <w:sz w:val="17"/>
                <w:szCs w:val="17"/>
              </w:rPr>
              <w:t xml:space="preserve"> &lt; 40. Rationale: (a) dose denominator instability at low N (empirical max: 371,861/100 </w:t>
            </w:r>
            <w:r>
              <w:rPr>
                <w:sz w:val="17"/>
                <w:szCs w:val="17"/>
              </w:rPr>
              <w:lastRenderedPageBreak/>
              <w:t xml:space="preserve">patients); (b) analogous to CMS HHCAHPS threshold. Exclusion: </w:t>
            </w:r>
            <w:r w:rsidR="00090C1B">
              <w:rPr>
                <w:rFonts w:hint="eastAsia"/>
                <w:sz w:val="17"/>
                <w:szCs w:val="17"/>
              </w:rPr>
              <w:t>881</w:t>
            </w:r>
            <w:r>
              <w:rPr>
                <w:sz w:val="17"/>
                <w:szCs w:val="17"/>
              </w:rPr>
              <w:t xml:space="preserve"> agency-years.</w:t>
            </w:r>
          </w:p>
        </w:tc>
        <w:tc>
          <w:tcPr>
            <w:tcW w:w="0" w:type="auto"/>
            <w:tcMar>
              <w:top w:w="80" w:type="dxa"/>
              <w:left w:w="100" w:type="dxa"/>
              <w:bottom w:w="80" w:type="dxa"/>
              <w:right w:w="100" w:type="dxa"/>
            </w:tcMar>
          </w:tcPr>
          <w:p w14:paraId="23AA591D" w14:textId="77777777" w:rsidR="00731E27" w:rsidRDefault="00000000">
            <w:r>
              <w:rPr>
                <w:sz w:val="17"/>
                <w:szCs w:val="17"/>
              </w:rPr>
              <w:lastRenderedPageBreak/>
              <w:t>Confirmed</w:t>
            </w:r>
          </w:p>
        </w:tc>
      </w:tr>
      <w:tr w:rsidR="00731E27" w14:paraId="7A2FD9AC" w14:textId="77777777">
        <w:tc>
          <w:tcPr>
            <w:tcW w:w="0" w:type="auto"/>
            <w:tcMar>
              <w:top w:w="80" w:type="dxa"/>
              <w:left w:w="100" w:type="dxa"/>
              <w:bottom w:w="80" w:type="dxa"/>
              <w:right w:w="100" w:type="dxa"/>
            </w:tcMar>
          </w:tcPr>
          <w:p w14:paraId="2801EDA5" w14:textId="77777777" w:rsidR="00731E27" w:rsidRDefault="00000000">
            <w:r>
              <w:rPr>
                <w:sz w:val="17"/>
                <w:szCs w:val="17"/>
              </w:rPr>
              <w:t>I</w:t>
            </w:r>
          </w:p>
        </w:tc>
        <w:tc>
          <w:tcPr>
            <w:tcW w:w="0" w:type="auto"/>
            <w:tcMar>
              <w:top w:w="80" w:type="dxa"/>
              <w:left w:w="100" w:type="dxa"/>
              <w:bottom w:w="80" w:type="dxa"/>
              <w:right w:w="100" w:type="dxa"/>
            </w:tcMar>
          </w:tcPr>
          <w:p w14:paraId="6D06A12A" w14:textId="77777777" w:rsidR="00731E27" w:rsidRDefault="00000000">
            <w:r>
              <w:rPr>
                <w:sz w:val="17"/>
                <w:szCs w:val="17"/>
              </w:rPr>
              <w:t>4</w:t>
            </w:r>
          </w:p>
        </w:tc>
        <w:tc>
          <w:tcPr>
            <w:tcW w:w="0" w:type="auto"/>
            <w:tcMar>
              <w:top w:w="80" w:type="dxa"/>
              <w:left w:w="100" w:type="dxa"/>
              <w:bottom w:w="80" w:type="dxa"/>
              <w:right w:w="100" w:type="dxa"/>
            </w:tcMar>
          </w:tcPr>
          <w:p w14:paraId="3261BA60" w14:textId="77777777" w:rsidR="00731E27" w:rsidRDefault="00000000">
            <w:proofErr w:type="spellStart"/>
            <w:r>
              <w:rPr>
                <w:sz w:val="17"/>
                <w:szCs w:val="17"/>
              </w:rPr>
              <w:t>Winsorization</w:t>
            </w:r>
            <w:proofErr w:type="spellEnd"/>
            <w:r>
              <w:rPr>
                <w:sz w:val="17"/>
                <w:szCs w:val="17"/>
              </w:rPr>
              <w:t xml:space="preserve"> of dose variable</w:t>
            </w:r>
          </w:p>
        </w:tc>
        <w:tc>
          <w:tcPr>
            <w:tcW w:w="0" w:type="auto"/>
            <w:tcMar>
              <w:top w:w="80" w:type="dxa"/>
              <w:left w:w="100" w:type="dxa"/>
              <w:bottom w:w="80" w:type="dxa"/>
              <w:right w:w="100" w:type="dxa"/>
            </w:tcMar>
          </w:tcPr>
          <w:p w14:paraId="6A37C0ED" w14:textId="77777777" w:rsidR="00731E27" w:rsidRDefault="00000000">
            <w:proofErr w:type="spellStart"/>
            <w:r>
              <w:rPr>
                <w:sz w:val="17"/>
                <w:szCs w:val="17"/>
              </w:rPr>
              <w:t>Winsorize</w:t>
            </w:r>
            <w:proofErr w:type="spellEnd"/>
            <w:r>
              <w:rPr>
                <w:sz w:val="17"/>
                <w:szCs w:val="17"/>
              </w:rPr>
              <w:t xml:space="preserve"> dose at 1st and 99th percentiles after N-screen. Secondary safeguard against residual extreme numerator values. Post-</w:t>
            </w:r>
            <w:proofErr w:type="spellStart"/>
            <w:r>
              <w:rPr>
                <w:sz w:val="17"/>
                <w:szCs w:val="17"/>
              </w:rPr>
              <w:t>winsorization</w:t>
            </w:r>
            <w:proofErr w:type="spellEnd"/>
            <w:r>
              <w:rPr>
                <w:sz w:val="17"/>
                <w:szCs w:val="17"/>
              </w:rPr>
              <w:t xml:space="preserve"> range: 0.24–39.13.</w:t>
            </w:r>
          </w:p>
        </w:tc>
        <w:tc>
          <w:tcPr>
            <w:tcW w:w="0" w:type="auto"/>
            <w:tcMar>
              <w:top w:w="80" w:type="dxa"/>
              <w:left w:w="100" w:type="dxa"/>
              <w:bottom w:w="80" w:type="dxa"/>
              <w:right w:w="100" w:type="dxa"/>
            </w:tcMar>
          </w:tcPr>
          <w:p w14:paraId="77F12BF2" w14:textId="77777777" w:rsidR="00731E27" w:rsidRDefault="00000000">
            <w:r>
              <w:rPr>
                <w:sz w:val="17"/>
                <w:szCs w:val="17"/>
              </w:rPr>
              <w:t>Confirmed</w:t>
            </w:r>
          </w:p>
        </w:tc>
      </w:tr>
      <w:tr w:rsidR="00731E27" w14:paraId="246F1CFE" w14:textId="77777777">
        <w:tc>
          <w:tcPr>
            <w:tcW w:w="0" w:type="auto"/>
            <w:tcMar>
              <w:top w:w="80" w:type="dxa"/>
              <w:left w:w="100" w:type="dxa"/>
              <w:bottom w:w="80" w:type="dxa"/>
              <w:right w:w="100" w:type="dxa"/>
            </w:tcMar>
          </w:tcPr>
          <w:p w14:paraId="18BE97F1" w14:textId="77777777" w:rsidR="00731E27" w:rsidRDefault="00000000">
            <w:r>
              <w:rPr>
                <w:sz w:val="17"/>
                <w:szCs w:val="17"/>
              </w:rPr>
              <w:t>II</w:t>
            </w:r>
          </w:p>
        </w:tc>
        <w:tc>
          <w:tcPr>
            <w:tcW w:w="0" w:type="auto"/>
            <w:tcMar>
              <w:top w:w="80" w:type="dxa"/>
              <w:left w:w="100" w:type="dxa"/>
              <w:bottom w:w="80" w:type="dxa"/>
              <w:right w:w="100" w:type="dxa"/>
            </w:tcMar>
          </w:tcPr>
          <w:p w14:paraId="62D7C726" w14:textId="77777777" w:rsidR="00731E27" w:rsidRDefault="00000000">
            <w:r>
              <w:rPr>
                <w:sz w:val="17"/>
                <w:szCs w:val="17"/>
              </w:rPr>
              <w:t>5</w:t>
            </w:r>
          </w:p>
        </w:tc>
        <w:tc>
          <w:tcPr>
            <w:tcW w:w="0" w:type="auto"/>
            <w:tcMar>
              <w:top w:w="80" w:type="dxa"/>
              <w:left w:w="100" w:type="dxa"/>
              <w:bottom w:w="80" w:type="dxa"/>
              <w:right w:w="100" w:type="dxa"/>
            </w:tcMar>
          </w:tcPr>
          <w:p w14:paraId="0AFFEB67" w14:textId="77777777" w:rsidR="00731E27" w:rsidRDefault="00000000">
            <w:r>
              <w:rPr>
                <w:sz w:val="17"/>
                <w:szCs w:val="17"/>
              </w:rPr>
              <w:t>Primary dose operationalization</w:t>
            </w:r>
          </w:p>
        </w:tc>
        <w:tc>
          <w:tcPr>
            <w:tcW w:w="0" w:type="auto"/>
            <w:tcMar>
              <w:top w:w="80" w:type="dxa"/>
              <w:left w:w="100" w:type="dxa"/>
              <w:bottom w:w="80" w:type="dxa"/>
              <w:right w:w="100" w:type="dxa"/>
            </w:tcMar>
          </w:tcPr>
          <w:p w14:paraId="16F685CB" w14:textId="77777777" w:rsidR="00731E27" w:rsidRDefault="00000000">
            <w:r>
              <w:rPr>
                <w:sz w:val="17"/>
                <w:szCs w:val="17"/>
              </w:rPr>
              <w:t xml:space="preserve">Dose = </w:t>
            </w:r>
            <w:proofErr w:type="spellStart"/>
            <w:r>
              <w:rPr>
                <w:sz w:val="17"/>
                <w:szCs w:val="17"/>
              </w:rPr>
              <w:t>Direct_Nursing_Service_Total_FTE</w:t>
            </w:r>
            <w:proofErr w:type="spellEnd"/>
            <w:r>
              <w:rPr>
                <w:sz w:val="17"/>
                <w:szCs w:val="17"/>
              </w:rPr>
              <w:t xml:space="preserve"> ÷ </w:t>
            </w:r>
            <w:proofErr w:type="spellStart"/>
            <w:r>
              <w:rPr>
                <w:sz w:val="17"/>
                <w:szCs w:val="17"/>
              </w:rPr>
              <w:t>N_Patients_Skilled_Nursing</w:t>
            </w:r>
            <w:proofErr w:type="spellEnd"/>
            <w:r>
              <w:rPr>
                <w:sz w:val="17"/>
                <w:szCs w:val="17"/>
              </w:rPr>
              <w:t xml:space="preserve"> × 100 (RN FTE per 100 skilled-nursing patients). Preferred over raw FTE for comparability with acute-care staffing literature; raw FTE retained as robustness check.</w:t>
            </w:r>
          </w:p>
        </w:tc>
        <w:tc>
          <w:tcPr>
            <w:tcW w:w="0" w:type="auto"/>
            <w:tcMar>
              <w:top w:w="80" w:type="dxa"/>
              <w:left w:w="100" w:type="dxa"/>
              <w:bottom w:w="80" w:type="dxa"/>
              <w:right w:w="100" w:type="dxa"/>
            </w:tcMar>
          </w:tcPr>
          <w:p w14:paraId="0A777924" w14:textId="77777777" w:rsidR="00731E27" w:rsidRDefault="00000000">
            <w:r>
              <w:rPr>
                <w:sz w:val="17"/>
                <w:szCs w:val="17"/>
              </w:rPr>
              <w:t>Confirmed</w:t>
            </w:r>
          </w:p>
        </w:tc>
      </w:tr>
      <w:tr w:rsidR="00731E27" w14:paraId="33275AEF" w14:textId="77777777">
        <w:tc>
          <w:tcPr>
            <w:tcW w:w="0" w:type="auto"/>
            <w:tcMar>
              <w:top w:w="80" w:type="dxa"/>
              <w:left w:w="100" w:type="dxa"/>
              <w:bottom w:w="80" w:type="dxa"/>
              <w:right w:w="100" w:type="dxa"/>
            </w:tcMar>
          </w:tcPr>
          <w:p w14:paraId="55B7F79E" w14:textId="77777777" w:rsidR="00731E27" w:rsidRDefault="00000000">
            <w:r>
              <w:rPr>
                <w:sz w:val="17"/>
                <w:szCs w:val="17"/>
              </w:rPr>
              <w:t>II</w:t>
            </w:r>
          </w:p>
        </w:tc>
        <w:tc>
          <w:tcPr>
            <w:tcW w:w="0" w:type="auto"/>
            <w:tcMar>
              <w:top w:w="80" w:type="dxa"/>
              <w:left w:w="100" w:type="dxa"/>
              <w:bottom w:w="80" w:type="dxa"/>
              <w:right w:w="100" w:type="dxa"/>
            </w:tcMar>
          </w:tcPr>
          <w:p w14:paraId="0DA33CD9" w14:textId="77777777" w:rsidR="00731E27" w:rsidRDefault="00000000">
            <w:r>
              <w:rPr>
                <w:sz w:val="17"/>
                <w:szCs w:val="17"/>
              </w:rPr>
              <w:t>6</w:t>
            </w:r>
          </w:p>
        </w:tc>
        <w:tc>
          <w:tcPr>
            <w:tcW w:w="0" w:type="auto"/>
            <w:tcMar>
              <w:top w:w="80" w:type="dxa"/>
              <w:left w:w="100" w:type="dxa"/>
              <w:bottom w:w="80" w:type="dxa"/>
              <w:right w:w="100" w:type="dxa"/>
            </w:tcMar>
          </w:tcPr>
          <w:p w14:paraId="4A61F925" w14:textId="77777777" w:rsidR="00731E27" w:rsidRDefault="00000000">
            <w:r>
              <w:rPr>
                <w:sz w:val="17"/>
                <w:szCs w:val="17"/>
              </w:rPr>
              <w:t>Average inpatient payment definition</w:t>
            </w:r>
          </w:p>
        </w:tc>
        <w:tc>
          <w:tcPr>
            <w:tcW w:w="0" w:type="auto"/>
            <w:tcMar>
              <w:top w:w="80" w:type="dxa"/>
              <w:left w:w="100" w:type="dxa"/>
              <w:bottom w:w="80" w:type="dxa"/>
              <w:right w:w="100" w:type="dxa"/>
            </w:tcMar>
          </w:tcPr>
          <w:p w14:paraId="2B9FCFA4" w14:textId="77777777" w:rsidR="00731E27" w:rsidRDefault="00000000">
            <w:proofErr w:type="spellStart"/>
            <w:r>
              <w:rPr>
                <w:sz w:val="17"/>
                <w:szCs w:val="17"/>
              </w:rPr>
              <w:t>Average_Inpatient_Total_Payments_per_Discharge</w:t>
            </w:r>
            <w:proofErr w:type="spellEnd"/>
            <w:r>
              <w:rPr>
                <w:sz w:val="17"/>
                <w:szCs w:val="17"/>
              </w:rPr>
              <w:t>: mean total inpatient payment for HHA patients who were admitted to hospital in the reference year. Initial value ~$286 flagged as implausible; scale error identified and corrected using CMS IPPS data — corrected national mean ~$13,1…</w:t>
            </w:r>
          </w:p>
        </w:tc>
        <w:tc>
          <w:tcPr>
            <w:tcW w:w="0" w:type="auto"/>
            <w:tcMar>
              <w:top w:w="80" w:type="dxa"/>
              <w:left w:w="100" w:type="dxa"/>
              <w:bottom w:w="80" w:type="dxa"/>
              <w:right w:w="100" w:type="dxa"/>
            </w:tcMar>
          </w:tcPr>
          <w:p w14:paraId="2CEDA032" w14:textId="77777777" w:rsidR="00731E27" w:rsidRDefault="00000000">
            <w:r>
              <w:rPr>
                <w:sz w:val="17"/>
                <w:szCs w:val="17"/>
              </w:rPr>
              <w:t>Confirmed</w:t>
            </w:r>
          </w:p>
        </w:tc>
      </w:tr>
      <w:tr w:rsidR="00731E27" w14:paraId="5540546A" w14:textId="77777777">
        <w:tc>
          <w:tcPr>
            <w:tcW w:w="0" w:type="auto"/>
            <w:tcMar>
              <w:top w:w="80" w:type="dxa"/>
              <w:left w:w="100" w:type="dxa"/>
              <w:bottom w:w="80" w:type="dxa"/>
              <w:right w:w="100" w:type="dxa"/>
            </w:tcMar>
          </w:tcPr>
          <w:p w14:paraId="07D84238" w14:textId="77777777" w:rsidR="00731E27" w:rsidRDefault="00000000">
            <w:r>
              <w:rPr>
                <w:sz w:val="17"/>
                <w:szCs w:val="17"/>
              </w:rPr>
              <w:t>II</w:t>
            </w:r>
          </w:p>
        </w:tc>
        <w:tc>
          <w:tcPr>
            <w:tcW w:w="0" w:type="auto"/>
            <w:tcMar>
              <w:top w:w="80" w:type="dxa"/>
              <w:left w:w="100" w:type="dxa"/>
              <w:bottom w:w="80" w:type="dxa"/>
              <w:right w:w="100" w:type="dxa"/>
            </w:tcMar>
          </w:tcPr>
          <w:p w14:paraId="0E710516" w14:textId="77777777" w:rsidR="00731E27" w:rsidRDefault="00000000">
            <w:r>
              <w:rPr>
                <w:sz w:val="17"/>
                <w:szCs w:val="17"/>
              </w:rPr>
              <w:t>7</w:t>
            </w:r>
          </w:p>
        </w:tc>
        <w:tc>
          <w:tcPr>
            <w:tcW w:w="0" w:type="auto"/>
            <w:tcMar>
              <w:top w:w="80" w:type="dxa"/>
              <w:left w:w="100" w:type="dxa"/>
              <w:bottom w:w="80" w:type="dxa"/>
              <w:right w:w="100" w:type="dxa"/>
            </w:tcMar>
          </w:tcPr>
          <w:p w14:paraId="20DCCCF3" w14:textId="77777777" w:rsidR="00731E27" w:rsidRDefault="00000000">
            <w:r>
              <w:rPr>
                <w:sz w:val="17"/>
                <w:szCs w:val="17"/>
              </w:rPr>
              <w:t>Average ER visit payment definition</w:t>
            </w:r>
          </w:p>
        </w:tc>
        <w:tc>
          <w:tcPr>
            <w:tcW w:w="0" w:type="auto"/>
            <w:tcMar>
              <w:top w:w="80" w:type="dxa"/>
              <w:left w:w="100" w:type="dxa"/>
              <w:bottom w:w="80" w:type="dxa"/>
              <w:right w:w="100" w:type="dxa"/>
            </w:tcMar>
          </w:tcPr>
          <w:p w14:paraId="51AF4358" w14:textId="77777777" w:rsidR="00731E27" w:rsidRDefault="00000000">
            <w:proofErr w:type="spellStart"/>
            <w:r>
              <w:rPr>
                <w:sz w:val="17"/>
                <w:szCs w:val="17"/>
              </w:rPr>
              <w:t>Average_Payment_ER_Visit</w:t>
            </w:r>
            <w:proofErr w:type="spellEnd"/>
            <w:r>
              <w:rPr>
                <w:sz w:val="17"/>
                <w:szCs w:val="17"/>
              </w:rPr>
              <w:t>: mean total payment per outpatient ED visit for Medicare FFS HHA patients. Value ~$923–$1,022 consistent with plausible range. Confirmed.</w:t>
            </w:r>
          </w:p>
        </w:tc>
        <w:tc>
          <w:tcPr>
            <w:tcW w:w="0" w:type="auto"/>
            <w:tcMar>
              <w:top w:w="80" w:type="dxa"/>
              <w:left w:w="100" w:type="dxa"/>
              <w:bottom w:w="80" w:type="dxa"/>
              <w:right w:w="100" w:type="dxa"/>
            </w:tcMar>
          </w:tcPr>
          <w:p w14:paraId="4BB7623B" w14:textId="77777777" w:rsidR="00731E27" w:rsidRDefault="00000000">
            <w:r>
              <w:rPr>
                <w:sz w:val="17"/>
                <w:szCs w:val="17"/>
              </w:rPr>
              <w:t>Confirmed</w:t>
            </w:r>
          </w:p>
        </w:tc>
      </w:tr>
      <w:tr w:rsidR="00731E27" w14:paraId="4784D4ED" w14:textId="77777777">
        <w:tc>
          <w:tcPr>
            <w:tcW w:w="0" w:type="auto"/>
            <w:tcMar>
              <w:top w:w="80" w:type="dxa"/>
              <w:left w:w="100" w:type="dxa"/>
              <w:bottom w:w="80" w:type="dxa"/>
              <w:right w:w="100" w:type="dxa"/>
            </w:tcMar>
          </w:tcPr>
          <w:p w14:paraId="1FF33E53" w14:textId="77777777" w:rsidR="00731E27" w:rsidRDefault="00000000">
            <w:r>
              <w:rPr>
                <w:sz w:val="17"/>
                <w:szCs w:val="17"/>
              </w:rPr>
              <w:t>II</w:t>
            </w:r>
          </w:p>
        </w:tc>
        <w:tc>
          <w:tcPr>
            <w:tcW w:w="0" w:type="auto"/>
            <w:tcMar>
              <w:top w:w="80" w:type="dxa"/>
              <w:left w:w="100" w:type="dxa"/>
              <w:bottom w:w="80" w:type="dxa"/>
              <w:right w:w="100" w:type="dxa"/>
            </w:tcMar>
          </w:tcPr>
          <w:p w14:paraId="51AACB7F" w14:textId="77777777" w:rsidR="00731E27" w:rsidRDefault="00000000">
            <w:r>
              <w:rPr>
                <w:sz w:val="17"/>
                <w:szCs w:val="17"/>
              </w:rPr>
              <w:t>8</w:t>
            </w:r>
          </w:p>
        </w:tc>
        <w:tc>
          <w:tcPr>
            <w:tcW w:w="0" w:type="auto"/>
            <w:tcMar>
              <w:top w:w="80" w:type="dxa"/>
              <w:left w:w="100" w:type="dxa"/>
              <w:bottom w:w="80" w:type="dxa"/>
              <w:right w:w="100" w:type="dxa"/>
            </w:tcMar>
          </w:tcPr>
          <w:p w14:paraId="204D9CB5" w14:textId="77777777" w:rsidR="00731E27" w:rsidRDefault="00000000">
            <w:r>
              <w:rPr>
                <w:sz w:val="17"/>
                <w:szCs w:val="17"/>
              </w:rPr>
              <w:t>WTP monetization operationalization</w:t>
            </w:r>
          </w:p>
        </w:tc>
        <w:tc>
          <w:tcPr>
            <w:tcW w:w="0" w:type="auto"/>
            <w:tcMar>
              <w:top w:w="80" w:type="dxa"/>
              <w:left w:w="100" w:type="dxa"/>
              <w:bottom w:w="80" w:type="dxa"/>
              <w:right w:w="100" w:type="dxa"/>
            </w:tcMar>
          </w:tcPr>
          <w:p w14:paraId="5C818FDD" w14:textId="1275485B" w:rsidR="00731E27" w:rsidRDefault="00000000">
            <w:r>
              <w:rPr>
                <w:sz w:val="17"/>
                <w:szCs w:val="17"/>
              </w:rPr>
              <w:t>Willingness-to-pay (WTP</w:t>
            </w:r>
            <w:r w:rsidRPr="000A67A6">
              <w:rPr>
                <w:sz w:val="17"/>
                <w:szCs w:val="17"/>
              </w:rPr>
              <w:t>):</w:t>
            </w:r>
            <w:r>
              <w:rPr>
                <w:sz w:val="17"/>
                <w:szCs w:val="17"/>
              </w:rPr>
              <w:t xml:space="preserve"> avoided hospitalizations × mean inpatient payment; avoided ED visits × mean ED payment. Quality composite (Average 4Ts) linked to hospitalization rate via HHA factor regression estimated from FY2017–2018 subpanel.</w:t>
            </w:r>
          </w:p>
        </w:tc>
        <w:tc>
          <w:tcPr>
            <w:tcW w:w="0" w:type="auto"/>
            <w:tcMar>
              <w:top w:w="80" w:type="dxa"/>
              <w:left w:w="100" w:type="dxa"/>
              <w:bottom w:w="80" w:type="dxa"/>
              <w:right w:w="100" w:type="dxa"/>
            </w:tcMar>
          </w:tcPr>
          <w:p w14:paraId="7178EF64" w14:textId="77777777" w:rsidR="00731E27" w:rsidRDefault="00000000">
            <w:r>
              <w:rPr>
                <w:sz w:val="17"/>
                <w:szCs w:val="17"/>
              </w:rPr>
              <w:t>Confirmed</w:t>
            </w:r>
          </w:p>
        </w:tc>
      </w:tr>
      <w:tr w:rsidR="00731E27" w14:paraId="284E1A8E" w14:textId="77777777">
        <w:tc>
          <w:tcPr>
            <w:tcW w:w="0" w:type="auto"/>
            <w:tcMar>
              <w:top w:w="80" w:type="dxa"/>
              <w:left w:w="100" w:type="dxa"/>
              <w:bottom w:w="80" w:type="dxa"/>
              <w:right w:w="100" w:type="dxa"/>
            </w:tcMar>
          </w:tcPr>
          <w:p w14:paraId="4DE95CD7" w14:textId="77777777" w:rsidR="00731E27" w:rsidRDefault="00000000">
            <w:r>
              <w:rPr>
                <w:sz w:val="17"/>
                <w:szCs w:val="17"/>
              </w:rPr>
              <w:t>III</w:t>
            </w:r>
          </w:p>
        </w:tc>
        <w:tc>
          <w:tcPr>
            <w:tcW w:w="0" w:type="auto"/>
            <w:tcMar>
              <w:top w:w="80" w:type="dxa"/>
              <w:left w:w="100" w:type="dxa"/>
              <w:bottom w:w="80" w:type="dxa"/>
              <w:right w:w="100" w:type="dxa"/>
            </w:tcMar>
          </w:tcPr>
          <w:p w14:paraId="0C9B8EA8" w14:textId="77777777" w:rsidR="00731E27" w:rsidRDefault="00000000">
            <w:r>
              <w:rPr>
                <w:sz w:val="17"/>
                <w:szCs w:val="17"/>
              </w:rPr>
              <w:t>9</w:t>
            </w:r>
          </w:p>
        </w:tc>
        <w:tc>
          <w:tcPr>
            <w:tcW w:w="0" w:type="auto"/>
            <w:tcMar>
              <w:top w:w="80" w:type="dxa"/>
              <w:left w:w="100" w:type="dxa"/>
              <w:bottom w:w="80" w:type="dxa"/>
              <w:right w:w="100" w:type="dxa"/>
            </w:tcMar>
          </w:tcPr>
          <w:p w14:paraId="46BC81BF" w14:textId="77777777" w:rsidR="00731E27" w:rsidRDefault="00000000">
            <w:r>
              <w:rPr>
                <w:sz w:val="17"/>
                <w:szCs w:val="17"/>
              </w:rPr>
              <w:t>Primary identification strategy</w:t>
            </w:r>
          </w:p>
        </w:tc>
        <w:tc>
          <w:tcPr>
            <w:tcW w:w="0" w:type="auto"/>
            <w:tcMar>
              <w:top w:w="80" w:type="dxa"/>
              <w:left w:w="100" w:type="dxa"/>
              <w:bottom w:w="80" w:type="dxa"/>
              <w:right w:w="100" w:type="dxa"/>
            </w:tcMar>
          </w:tcPr>
          <w:p w14:paraId="48CA5780" w14:textId="77777777" w:rsidR="00731E27" w:rsidRDefault="00000000">
            <w:r>
              <w:rPr>
                <w:sz w:val="17"/>
                <w:szCs w:val="17"/>
              </w:rPr>
              <w:t>No facility fixed effects. Primary specification: Pooled cross-agency OLS with CCN-clustered SEs + State FE + Year FE + Correlated Random Effects (</w:t>
            </w:r>
            <w:proofErr w:type="spellStart"/>
            <w:r>
              <w:rPr>
                <w:sz w:val="17"/>
                <w:szCs w:val="17"/>
              </w:rPr>
              <w:t>Mundlak</w:t>
            </w:r>
            <w:proofErr w:type="spellEnd"/>
            <w:r>
              <w:rPr>
                <w:sz w:val="17"/>
                <w:szCs w:val="17"/>
              </w:rPr>
              <w:t xml:space="preserve">, 1978) terms for dose. Rationale: between-agency variance = 93.6% of total; within-agency variance = 32.2%—nearly all </w:t>
            </w:r>
            <w:proofErr w:type="spellStart"/>
            <w:r>
              <w:rPr>
                <w:sz w:val="17"/>
                <w:szCs w:val="17"/>
              </w:rPr>
              <w:t>variati</w:t>
            </w:r>
            <w:proofErr w:type="spellEnd"/>
            <w:r>
              <w:rPr>
                <w:sz w:val="17"/>
                <w:szCs w:val="17"/>
              </w:rPr>
              <w:t>…</w:t>
            </w:r>
          </w:p>
        </w:tc>
        <w:tc>
          <w:tcPr>
            <w:tcW w:w="0" w:type="auto"/>
            <w:tcMar>
              <w:top w:w="80" w:type="dxa"/>
              <w:left w:w="100" w:type="dxa"/>
              <w:bottom w:w="80" w:type="dxa"/>
              <w:right w:w="100" w:type="dxa"/>
            </w:tcMar>
          </w:tcPr>
          <w:p w14:paraId="158B9E8C" w14:textId="77777777" w:rsidR="00731E27" w:rsidRDefault="00000000">
            <w:r>
              <w:rPr>
                <w:sz w:val="17"/>
                <w:szCs w:val="17"/>
              </w:rPr>
              <w:t>Confirmed</w:t>
            </w:r>
          </w:p>
        </w:tc>
      </w:tr>
      <w:tr w:rsidR="00731E27" w14:paraId="0C66F135" w14:textId="77777777">
        <w:tc>
          <w:tcPr>
            <w:tcW w:w="0" w:type="auto"/>
            <w:tcMar>
              <w:top w:w="80" w:type="dxa"/>
              <w:left w:w="100" w:type="dxa"/>
              <w:bottom w:w="80" w:type="dxa"/>
              <w:right w:w="100" w:type="dxa"/>
            </w:tcMar>
          </w:tcPr>
          <w:p w14:paraId="575D8E2E" w14:textId="77777777" w:rsidR="00731E27" w:rsidRDefault="00000000">
            <w:r>
              <w:rPr>
                <w:sz w:val="17"/>
                <w:szCs w:val="17"/>
              </w:rPr>
              <w:t>III</w:t>
            </w:r>
          </w:p>
        </w:tc>
        <w:tc>
          <w:tcPr>
            <w:tcW w:w="0" w:type="auto"/>
            <w:tcMar>
              <w:top w:w="80" w:type="dxa"/>
              <w:left w:w="100" w:type="dxa"/>
              <w:bottom w:w="80" w:type="dxa"/>
              <w:right w:w="100" w:type="dxa"/>
            </w:tcMar>
          </w:tcPr>
          <w:p w14:paraId="3B245753" w14:textId="77777777" w:rsidR="00731E27" w:rsidRDefault="00000000">
            <w:r>
              <w:rPr>
                <w:sz w:val="17"/>
                <w:szCs w:val="17"/>
              </w:rPr>
              <w:t>10</w:t>
            </w:r>
          </w:p>
        </w:tc>
        <w:tc>
          <w:tcPr>
            <w:tcW w:w="0" w:type="auto"/>
            <w:tcMar>
              <w:top w:w="80" w:type="dxa"/>
              <w:left w:w="100" w:type="dxa"/>
              <w:bottom w:w="80" w:type="dxa"/>
              <w:right w:w="100" w:type="dxa"/>
            </w:tcMar>
          </w:tcPr>
          <w:p w14:paraId="7C36D21B" w14:textId="77777777" w:rsidR="00731E27" w:rsidRDefault="00000000">
            <w:r>
              <w:rPr>
                <w:sz w:val="17"/>
                <w:szCs w:val="17"/>
              </w:rPr>
              <w:t>Three-estimator comparison design</w:t>
            </w:r>
          </w:p>
        </w:tc>
        <w:tc>
          <w:tcPr>
            <w:tcW w:w="0" w:type="auto"/>
            <w:tcMar>
              <w:top w:w="80" w:type="dxa"/>
              <w:left w:w="100" w:type="dxa"/>
              <w:bottom w:w="80" w:type="dxa"/>
              <w:right w:w="100" w:type="dxa"/>
            </w:tcMar>
          </w:tcPr>
          <w:p w14:paraId="5E275689" w14:textId="77777777" w:rsidR="00731E27" w:rsidRDefault="00000000">
            <w:r>
              <w:rPr>
                <w:sz w:val="17"/>
                <w:szCs w:val="17"/>
              </w:rPr>
              <w:t xml:space="preserve">Report three estimators simultaneously: (a) within-agency (CRE-equivalent), (b) pooled cross-agency, (c) between-agency. Rationale: each makes different assumptions about confounding; </w:t>
            </w:r>
            <w:proofErr w:type="spellStart"/>
            <w:r>
              <w:rPr>
                <w:sz w:val="17"/>
                <w:szCs w:val="17"/>
              </w:rPr>
              <w:t>estimand</w:t>
            </w:r>
            <w:proofErr w:type="spellEnd"/>
            <w:r>
              <w:rPr>
                <w:sz w:val="17"/>
                <w:szCs w:val="17"/>
              </w:rPr>
              <w:t xml:space="preserve"> instability across specifications is itself the finding. Endorsed by prospective </w:t>
            </w:r>
            <w:proofErr w:type="spellStart"/>
            <w:r>
              <w:rPr>
                <w:sz w:val="17"/>
                <w:szCs w:val="17"/>
              </w:rPr>
              <w:t>adviso</w:t>
            </w:r>
            <w:proofErr w:type="spellEnd"/>
            <w:r>
              <w:rPr>
                <w:sz w:val="17"/>
                <w:szCs w:val="17"/>
              </w:rPr>
              <w:t>…</w:t>
            </w:r>
          </w:p>
        </w:tc>
        <w:tc>
          <w:tcPr>
            <w:tcW w:w="0" w:type="auto"/>
            <w:tcMar>
              <w:top w:w="80" w:type="dxa"/>
              <w:left w:w="100" w:type="dxa"/>
              <w:bottom w:w="80" w:type="dxa"/>
              <w:right w:w="100" w:type="dxa"/>
            </w:tcMar>
          </w:tcPr>
          <w:p w14:paraId="262FA202" w14:textId="77777777" w:rsidR="00731E27" w:rsidRDefault="00000000">
            <w:r>
              <w:rPr>
                <w:sz w:val="17"/>
                <w:szCs w:val="17"/>
              </w:rPr>
              <w:t>Confirmed</w:t>
            </w:r>
          </w:p>
        </w:tc>
      </w:tr>
      <w:tr w:rsidR="00731E27" w14:paraId="5A0F06BE" w14:textId="77777777">
        <w:tc>
          <w:tcPr>
            <w:tcW w:w="0" w:type="auto"/>
            <w:tcMar>
              <w:top w:w="80" w:type="dxa"/>
              <w:left w:w="100" w:type="dxa"/>
              <w:bottom w:w="80" w:type="dxa"/>
              <w:right w:w="100" w:type="dxa"/>
            </w:tcMar>
          </w:tcPr>
          <w:p w14:paraId="644046DC" w14:textId="77777777" w:rsidR="00731E27" w:rsidRDefault="00000000">
            <w:r>
              <w:rPr>
                <w:sz w:val="17"/>
                <w:szCs w:val="17"/>
              </w:rPr>
              <w:t>IV</w:t>
            </w:r>
          </w:p>
        </w:tc>
        <w:tc>
          <w:tcPr>
            <w:tcW w:w="0" w:type="auto"/>
            <w:tcMar>
              <w:top w:w="80" w:type="dxa"/>
              <w:left w:w="100" w:type="dxa"/>
              <w:bottom w:w="80" w:type="dxa"/>
              <w:right w:w="100" w:type="dxa"/>
            </w:tcMar>
          </w:tcPr>
          <w:p w14:paraId="10EB4024" w14:textId="77777777" w:rsidR="00731E27" w:rsidRDefault="00000000">
            <w:r>
              <w:rPr>
                <w:sz w:val="17"/>
                <w:szCs w:val="17"/>
              </w:rPr>
              <w:t>14</w:t>
            </w:r>
          </w:p>
        </w:tc>
        <w:tc>
          <w:tcPr>
            <w:tcW w:w="0" w:type="auto"/>
            <w:tcMar>
              <w:top w:w="80" w:type="dxa"/>
              <w:left w:w="100" w:type="dxa"/>
              <w:bottom w:w="80" w:type="dxa"/>
              <w:right w:w="100" w:type="dxa"/>
            </w:tcMar>
          </w:tcPr>
          <w:p w14:paraId="2C084CDE" w14:textId="77777777" w:rsidR="00731E27" w:rsidRDefault="00000000">
            <w:r>
              <w:rPr>
                <w:sz w:val="17"/>
                <w:szCs w:val="17"/>
              </w:rPr>
              <w:t>T-score standardization of quality composite</w:t>
            </w:r>
          </w:p>
        </w:tc>
        <w:tc>
          <w:tcPr>
            <w:tcW w:w="0" w:type="auto"/>
            <w:tcMar>
              <w:top w:w="80" w:type="dxa"/>
              <w:left w:w="100" w:type="dxa"/>
              <w:bottom w:w="80" w:type="dxa"/>
              <w:right w:w="100" w:type="dxa"/>
            </w:tcMar>
          </w:tcPr>
          <w:p w14:paraId="5579A56E" w14:textId="77777777" w:rsidR="00731E27" w:rsidRDefault="00000000">
            <w:r>
              <w:rPr>
                <w:sz w:val="17"/>
                <w:szCs w:val="17"/>
              </w:rPr>
              <w:t>Average 4Ts composite standardized to T-score metric (mean 50, SD 10) across the full panel. Rationale: (a) places quality on an interpretable scale independent of raw measure units; (b) enables comparison across estimation specifications; (c) allows TOST equivalence bounds to be…</w:t>
            </w:r>
          </w:p>
        </w:tc>
        <w:tc>
          <w:tcPr>
            <w:tcW w:w="0" w:type="auto"/>
            <w:tcMar>
              <w:top w:w="80" w:type="dxa"/>
              <w:left w:w="100" w:type="dxa"/>
              <w:bottom w:w="80" w:type="dxa"/>
              <w:right w:w="100" w:type="dxa"/>
            </w:tcMar>
          </w:tcPr>
          <w:p w14:paraId="36CC636C" w14:textId="77777777" w:rsidR="00731E27" w:rsidRDefault="00000000">
            <w:r>
              <w:rPr>
                <w:sz w:val="17"/>
                <w:szCs w:val="17"/>
              </w:rPr>
              <w:t>Confirmed</w:t>
            </w:r>
          </w:p>
        </w:tc>
      </w:tr>
      <w:tr w:rsidR="00731E27" w14:paraId="1F6F47DA" w14:textId="77777777">
        <w:tc>
          <w:tcPr>
            <w:tcW w:w="0" w:type="auto"/>
            <w:tcMar>
              <w:top w:w="80" w:type="dxa"/>
              <w:left w:w="100" w:type="dxa"/>
              <w:bottom w:w="80" w:type="dxa"/>
              <w:right w:w="100" w:type="dxa"/>
            </w:tcMar>
          </w:tcPr>
          <w:p w14:paraId="0D827F11" w14:textId="77777777" w:rsidR="00731E27" w:rsidRDefault="00000000">
            <w:r>
              <w:rPr>
                <w:sz w:val="17"/>
                <w:szCs w:val="17"/>
              </w:rPr>
              <w:t>IV</w:t>
            </w:r>
          </w:p>
        </w:tc>
        <w:tc>
          <w:tcPr>
            <w:tcW w:w="0" w:type="auto"/>
            <w:tcMar>
              <w:top w:w="80" w:type="dxa"/>
              <w:left w:w="100" w:type="dxa"/>
              <w:bottom w:w="80" w:type="dxa"/>
              <w:right w:w="100" w:type="dxa"/>
            </w:tcMar>
          </w:tcPr>
          <w:p w14:paraId="6251730F" w14:textId="77777777" w:rsidR="00731E27" w:rsidRDefault="00000000">
            <w:r>
              <w:rPr>
                <w:sz w:val="17"/>
                <w:szCs w:val="17"/>
              </w:rPr>
              <w:t>15</w:t>
            </w:r>
          </w:p>
        </w:tc>
        <w:tc>
          <w:tcPr>
            <w:tcW w:w="0" w:type="auto"/>
            <w:tcMar>
              <w:top w:w="80" w:type="dxa"/>
              <w:left w:w="100" w:type="dxa"/>
              <w:bottom w:w="80" w:type="dxa"/>
              <w:right w:w="100" w:type="dxa"/>
            </w:tcMar>
          </w:tcPr>
          <w:p w14:paraId="69B7F604" w14:textId="77777777" w:rsidR="00731E27" w:rsidRDefault="00000000">
            <w:r>
              <w:rPr>
                <w:sz w:val="17"/>
                <w:szCs w:val="17"/>
              </w:rPr>
              <w:t>TOST equivalence bound selection</w:t>
            </w:r>
          </w:p>
        </w:tc>
        <w:tc>
          <w:tcPr>
            <w:tcW w:w="0" w:type="auto"/>
            <w:tcMar>
              <w:top w:w="80" w:type="dxa"/>
              <w:left w:w="100" w:type="dxa"/>
              <w:bottom w:w="80" w:type="dxa"/>
              <w:right w:w="100" w:type="dxa"/>
            </w:tcMar>
          </w:tcPr>
          <w:p w14:paraId="5165E30D" w14:textId="77777777" w:rsidR="00731E27" w:rsidRDefault="00000000">
            <w:r>
              <w:rPr>
                <w:sz w:val="17"/>
                <w:szCs w:val="17"/>
              </w:rPr>
              <w:t>Equivalence bound Δ = 0.54 T-score units (based on Zhang et al. 2006 minimum nursing home staffing threshold, rescaled). 80% power minimum detectable effect size = 0.058. Rationale: pre-specified external benchmark to avoid data-driven bound selection.</w:t>
            </w:r>
          </w:p>
        </w:tc>
        <w:tc>
          <w:tcPr>
            <w:tcW w:w="0" w:type="auto"/>
            <w:tcMar>
              <w:top w:w="80" w:type="dxa"/>
              <w:left w:w="100" w:type="dxa"/>
              <w:bottom w:w="80" w:type="dxa"/>
              <w:right w:w="100" w:type="dxa"/>
            </w:tcMar>
          </w:tcPr>
          <w:p w14:paraId="4CC43D44" w14:textId="77777777" w:rsidR="00731E27" w:rsidRDefault="00000000">
            <w:r>
              <w:rPr>
                <w:sz w:val="17"/>
                <w:szCs w:val="17"/>
              </w:rPr>
              <w:t>Confirmed</w:t>
            </w:r>
          </w:p>
        </w:tc>
      </w:tr>
      <w:tr w:rsidR="00731E27" w14:paraId="6DBE6AAD" w14:textId="77777777">
        <w:tc>
          <w:tcPr>
            <w:tcW w:w="0" w:type="auto"/>
            <w:tcMar>
              <w:top w:w="80" w:type="dxa"/>
              <w:left w:w="100" w:type="dxa"/>
              <w:bottom w:w="80" w:type="dxa"/>
              <w:right w:w="100" w:type="dxa"/>
            </w:tcMar>
          </w:tcPr>
          <w:p w14:paraId="0B242A20" w14:textId="77777777" w:rsidR="00731E27" w:rsidRDefault="00000000">
            <w:r>
              <w:rPr>
                <w:sz w:val="17"/>
                <w:szCs w:val="17"/>
              </w:rPr>
              <w:t>V</w:t>
            </w:r>
          </w:p>
        </w:tc>
        <w:tc>
          <w:tcPr>
            <w:tcW w:w="0" w:type="auto"/>
            <w:tcMar>
              <w:top w:w="80" w:type="dxa"/>
              <w:left w:w="100" w:type="dxa"/>
              <w:bottom w:w="80" w:type="dxa"/>
              <w:right w:w="100" w:type="dxa"/>
            </w:tcMar>
          </w:tcPr>
          <w:p w14:paraId="0570BC62" w14:textId="77777777" w:rsidR="00731E27" w:rsidRDefault="00000000">
            <w:r>
              <w:rPr>
                <w:sz w:val="17"/>
                <w:szCs w:val="17"/>
              </w:rPr>
              <w:t>11</w:t>
            </w:r>
          </w:p>
        </w:tc>
        <w:tc>
          <w:tcPr>
            <w:tcW w:w="0" w:type="auto"/>
            <w:tcMar>
              <w:top w:w="80" w:type="dxa"/>
              <w:left w:w="100" w:type="dxa"/>
              <w:bottom w:w="80" w:type="dxa"/>
              <w:right w:w="100" w:type="dxa"/>
            </w:tcMar>
          </w:tcPr>
          <w:p w14:paraId="50F7BC44" w14:textId="77777777" w:rsidR="00731E27" w:rsidRDefault="00000000">
            <w:r>
              <w:rPr>
                <w:sz w:val="17"/>
                <w:szCs w:val="17"/>
              </w:rPr>
              <w:t>No pre-specification of Q(N) shape</w:t>
            </w:r>
          </w:p>
        </w:tc>
        <w:tc>
          <w:tcPr>
            <w:tcW w:w="0" w:type="auto"/>
            <w:tcMar>
              <w:top w:w="80" w:type="dxa"/>
              <w:left w:w="100" w:type="dxa"/>
              <w:bottom w:w="80" w:type="dxa"/>
              <w:right w:w="100" w:type="dxa"/>
            </w:tcMar>
          </w:tcPr>
          <w:p w14:paraId="4AFE4D2D" w14:textId="77777777" w:rsidR="00731E27" w:rsidRDefault="00000000">
            <w:r>
              <w:rPr>
                <w:sz w:val="17"/>
                <w:szCs w:val="17"/>
              </w:rPr>
              <w:t>Q(N) functional form is not assumed a priori; results are reported as estimated regardless of sign or significance. Pre-specified commitment to full reporting including null and negative findings.</w:t>
            </w:r>
          </w:p>
        </w:tc>
        <w:tc>
          <w:tcPr>
            <w:tcW w:w="0" w:type="auto"/>
            <w:tcMar>
              <w:top w:w="80" w:type="dxa"/>
              <w:left w:w="100" w:type="dxa"/>
              <w:bottom w:w="80" w:type="dxa"/>
              <w:right w:w="100" w:type="dxa"/>
            </w:tcMar>
          </w:tcPr>
          <w:p w14:paraId="18E39456" w14:textId="77777777" w:rsidR="00731E27" w:rsidRDefault="00000000">
            <w:r>
              <w:rPr>
                <w:sz w:val="17"/>
                <w:szCs w:val="17"/>
              </w:rPr>
              <w:t>Confirmed</w:t>
            </w:r>
          </w:p>
        </w:tc>
      </w:tr>
      <w:tr w:rsidR="00731E27" w14:paraId="3D9C1C7C" w14:textId="77777777">
        <w:tc>
          <w:tcPr>
            <w:tcW w:w="0" w:type="auto"/>
            <w:tcMar>
              <w:top w:w="80" w:type="dxa"/>
              <w:left w:w="100" w:type="dxa"/>
              <w:bottom w:w="80" w:type="dxa"/>
              <w:right w:w="100" w:type="dxa"/>
            </w:tcMar>
          </w:tcPr>
          <w:p w14:paraId="3D0F5AF8" w14:textId="77777777" w:rsidR="00731E27" w:rsidRDefault="00000000">
            <w:r>
              <w:rPr>
                <w:sz w:val="17"/>
                <w:szCs w:val="17"/>
              </w:rPr>
              <w:t>V</w:t>
            </w:r>
          </w:p>
        </w:tc>
        <w:tc>
          <w:tcPr>
            <w:tcW w:w="0" w:type="auto"/>
            <w:tcMar>
              <w:top w:w="80" w:type="dxa"/>
              <w:left w:w="100" w:type="dxa"/>
              <w:bottom w:w="80" w:type="dxa"/>
              <w:right w:w="100" w:type="dxa"/>
            </w:tcMar>
          </w:tcPr>
          <w:p w14:paraId="1121BA22" w14:textId="77777777" w:rsidR="00731E27" w:rsidRDefault="00000000">
            <w:r>
              <w:rPr>
                <w:sz w:val="17"/>
                <w:szCs w:val="17"/>
              </w:rPr>
              <w:t>12</w:t>
            </w:r>
          </w:p>
        </w:tc>
        <w:tc>
          <w:tcPr>
            <w:tcW w:w="0" w:type="auto"/>
            <w:tcMar>
              <w:top w:w="80" w:type="dxa"/>
              <w:left w:w="100" w:type="dxa"/>
              <w:bottom w:w="80" w:type="dxa"/>
              <w:right w:w="100" w:type="dxa"/>
            </w:tcMar>
          </w:tcPr>
          <w:p w14:paraId="55EE5C41" w14:textId="77777777" w:rsidR="00731E27" w:rsidRDefault="00000000">
            <w:r>
              <w:rPr>
                <w:sz w:val="17"/>
                <w:szCs w:val="17"/>
              </w:rPr>
              <w:t>Language rules for results unfavorable to theory</w:t>
            </w:r>
          </w:p>
        </w:tc>
        <w:tc>
          <w:tcPr>
            <w:tcW w:w="0" w:type="auto"/>
            <w:tcMar>
              <w:top w:w="80" w:type="dxa"/>
              <w:left w:w="100" w:type="dxa"/>
              <w:bottom w:w="80" w:type="dxa"/>
              <w:right w:w="100" w:type="dxa"/>
            </w:tcMar>
          </w:tcPr>
          <w:p w14:paraId="34560268" w14:textId="77777777" w:rsidR="00731E27" w:rsidRDefault="00000000">
            <w:r>
              <w:rPr>
                <w:sz w:val="17"/>
                <w:szCs w:val="17"/>
              </w:rPr>
              <w:t>If observed staffing levels exceed N*: report as 'over-investment relative to optimum' not 'quality is harmed.' If results are null: report as identification failure, not as confirmation of irrelevance.</w:t>
            </w:r>
          </w:p>
        </w:tc>
        <w:tc>
          <w:tcPr>
            <w:tcW w:w="0" w:type="auto"/>
            <w:tcMar>
              <w:top w:w="80" w:type="dxa"/>
              <w:left w:w="100" w:type="dxa"/>
              <w:bottom w:w="80" w:type="dxa"/>
              <w:right w:w="100" w:type="dxa"/>
            </w:tcMar>
          </w:tcPr>
          <w:p w14:paraId="62A70C9F" w14:textId="77777777" w:rsidR="00731E27" w:rsidRDefault="00000000">
            <w:r>
              <w:rPr>
                <w:sz w:val="17"/>
                <w:szCs w:val="17"/>
              </w:rPr>
              <w:t>Confirmed</w:t>
            </w:r>
          </w:p>
        </w:tc>
      </w:tr>
      <w:tr w:rsidR="00731E27" w14:paraId="554C3F35" w14:textId="77777777">
        <w:tc>
          <w:tcPr>
            <w:tcW w:w="0" w:type="auto"/>
            <w:tcMar>
              <w:top w:w="80" w:type="dxa"/>
              <w:left w:w="100" w:type="dxa"/>
              <w:bottom w:w="80" w:type="dxa"/>
              <w:right w:w="100" w:type="dxa"/>
            </w:tcMar>
          </w:tcPr>
          <w:p w14:paraId="28FD8A07" w14:textId="77777777" w:rsidR="00731E27" w:rsidRDefault="00000000">
            <w:r>
              <w:rPr>
                <w:sz w:val="17"/>
                <w:szCs w:val="17"/>
              </w:rPr>
              <w:t>V</w:t>
            </w:r>
          </w:p>
        </w:tc>
        <w:tc>
          <w:tcPr>
            <w:tcW w:w="0" w:type="auto"/>
            <w:tcMar>
              <w:top w:w="80" w:type="dxa"/>
              <w:left w:w="100" w:type="dxa"/>
              <w:bottom w:w="80" w:type="dxa"/>
              <w:right w:w="100" w:type="dxa"/>
            </w:tcMar>
          </w:tcPr>
          <w:p w14:paraId="21A5053D" w14:textId="77777777" w:rsidR="00731E27" w:rsidRDefault="00000000">
            <w:r>
              <w:rPr>
                <w:sz w:val="17"/>
                <w:szCs w:val="17"/>
              </w:rPr>
              <w:t>13</w:t>
            </w:r>
          </w:p>
        </w:tc>
        <w:tc>
          <w:tcPr>
            <w:tcW w:w="0" w:type="auto"/>
            <w:tcMar>
              <w:top w:w="80" w:type="dxa"/>
              <w:left w:w="100" w:type="dxa"/>
              <w:bottom w:w="80" w:type="dxa"/>
              <w:right w:w="100" w:type="dxa"/>
            </w:tcMar>
          </w:tcPr>
          <w:p w14:paraId="52C6AEB4" w14:textId="77777777" w:rsidR="00731E27" w:rsidRDefault="00000000">
            <w:r>
              <w:rPr>
                <w:sz w:val="17"/>
                <w:szCs w:val="17"/>
              </w:rPr>
              <w:t>COI disclosure obligation</w:t>
            </w:r>
          </w:p>
        </w:tc>
        <w:tc>
          <w:tcPr>
            <w:tcW w:w="0" w:type="auto"/>
            <w:tcMar>
              <w:top w:w="80" w:type="dxa"/>
              <w:left w:w="100" w:type="dxa"/>
              <w:bottom w:w="80" w:type="dxa"/>
              <w:right w:w="100" w:type="dxa"/>
            </w:tcMar>
          </w:tcPr>
          <w:p w14:paraId="2B291C6A" w14:textId="5B82BEF9" w:rsidR="00731E27" w:rsidRDefault="00143286">
            <w:r w:rsidRPr="00143286">
              <w:rPr>
                <w:sz w:val="17"/>
                <w:szCs w:val="17"/>
              </w:rPr>
              <w:t>The author is the founder of an independent research center conducting research on methods for workforce analytics. No commercial product related to this work has been launched or generated revenue; no proprietary model or tool was used in this study; and the author received no funding or payments related to this work. The author has no financial relationships with CMS or any home health agency in the study data</w:t>
            </w:r>
            <w:r>
              <w:rPr>
                <w:rFonts w:hint="eastAsia"/>
                <w:sz w:val="17"/>
                <w:szCs w:val="17"/>
              </w:rPr>
              <w:t>.</w:t>
            </w:r>
          </w:p>
        </w:tc>
        <w:tc>
          <w:tcPr>
            <w:tcW w:w="0" w:type="auto"/>
            <w:tcMar>
              <w:top w:w="80" w:type="dxa"/>
              <w:left w:w="100" w:type="dxa"/>
              <w:bottom w:w="80" w:type="dxa"/>
              <w:right w:w="100" w:type="dxa"/>
            </w:tcMar>
          </w:tcPr>
          <w:p w14:paraId="6333CCFF" w14:textId="77777777" w:rsidR="00731E27" w:rsidRDefault="00000000">
            <w:r>
              <w:rPr>
                <w:sz w:val="17"/>
                <w:szCs w:val="17"/>
              </w:rPr>
              <w:t>Confirmed</w:t>
            </w:r>
          </w:p>
        </w:tc>
      </w:tr>
      <w:tr w:rsidR="00731E27" w14:paraId="6A0C26C6" w14:textId="77777777">
        <w:tc>
          <w:tcPr>
            <w:tcW w:w="0" w:type="auto"/>
            <w:tcMar>
              <w:top w:w="80" w:type="dxa"/>
              <w:left w:w="100" w:type="dxa"/>
              <w:bottom w:w="80" w:type="dxa"/>
              <w:right w:w="100" w:type="dxa"/>
            </w:tcMar>
          </w:tcPr>
          <w:p w14:paraId="6921B5A9" w14:textId="77777777" w:rsidR="00731E27" w:rsidRDefault="00000000">
            <w:r>
              <w:rPr>
                <w:sz w:val="17"/>
                <w:szCs w:val="17"/>
              </w:rPr>
              <w:t>VI</w:t>
            </w:r>
          </w:p>
        </w:tc>
        <w:tc>
          <w:tcPr>
            <w:tcW w:w="0" w:type="auto"/>
            <w:tcMar>
              <w:top w:w="80" w:type="dxa"/>
              <w:left w:w="100" w:type="dxa"/>
              <w:bottom w:w="80" w:type="dxa"/>
              <w:right w:w="100" w:type="dxa"/>
            </w:tcMar>
          </w:tcPr>
          <w:p w14:paraId="4D42F354" w14:textId="77777777" w:rsidR="00731E27" w:rsidRDefault="00000000">
            <w:r>
              <w:rPr>
                <w:sz w:val="17"/>
                <w:szCs w:val="17"/>
              </w:rPr>
              <w:t>16</w:t>
            </w:r>
          </w:p>
        </w:tc>
        <w:tc>
          <w:tcPr>
            <w:tcW w:w="0" w:type="auto"/>
            <w:tcMar>
              <w:top w:w="80" w:type="dxa"/>
              <w:left w:w="100" w:type="dxa"/>
              <w:bottom w:w="80" w:type="dxa"/>
              <w:right w:w="100" w:type="dxa"/>
            </w:tcMar>
          </w:tcPr>
          <w:p w14:paraId="1C7DBCAD" w14:textId="77777777" w:rsidR="00731E27" w:rsidRDefault="00000000">
            <w:r>
              <w:rPr>
                <w:sz w:val="17"/>
                <w:szCs w:val="17"/>
              </w:rPr>
              <w:t>Visualization scope</w:t>
            </w:r>
          </w:p>
        </w:tc>
        <w:tc>
          <w:tcPr>
            <w:tcW w:w="0" w:type="auto"/>
            <w:tcMar>
              <w:top w:w="80" w:type="dxa"/>
              <w:left w:w="100" w:type="dxa"/>
              <w:bottom w:w="80" w:type="dxa"/>
              <w:right w:w="100" w:type="dxa"/>
            </w:tcMar>
          </w:tcPr>
          <w:p w14:paraId="1EBC068D" w14:textId="77777777" w:rsidR="00731E27" w:rsidRDefault="00000000">
            <w:r>
              <w:rPr>
                <w:sz w:val="17"/>
                <w:szCs w:val="17"/>
              </w:rPr>
              <w:t xml:space="preserve">Dose–quality scatter with LOESS overlay; estimator comparison forest </w:t>
            </w:r>
            <w:r>
              <w:rPr>
                <w:sz w:val="17"/>
                <w:szCs w:val="17"/>
              </w:rPr>
              <w:lastRenderedPageBreak/>
              <w:t xml:space="preserve">plot; break-even diagram. All to be included in main text or </w:t>
            </w:r>
            <w:proofErr w:type="spellStart"/>
            <w:r>
              <w:rPr>
                <w:sz w:val="17"/>
                <w:szCs w:val="17"/>
              </w:rPr>
              <w:t>eAppendix</w:t>
            </w:r>
            <w:proofErr w:type="spellEnd"/>
            <w:r>
              <w:rPr>
                <w:sz w:val="17"/>
                <w:szCs w:val="17"/>
              </w:rPr>
              <w:t>. Status: deferred to revision stage.</w:t>
            </w:r>
          </w:p>
        </w:tc>
        <w:tc>
          <w:tcPr>
            <w:tcW w:w="0" w:type="auto"/>
            <w:tcMar>
              <w:top w:w="80" w:type="dxa"/>
              <w:left w:w="100" w:type="dxa"/>
              <w:bottom w:w="80" w:type="dxa"/>
              <w:right w:w="100" w:type="dxa"/>
            </w:tcMar>
          </w:tcPr>
          <w:p w14:paraId="2E541090" w14:textId="77777777" w:rsidR="00731E27" w:rsidRDefault="00000000">
            <w:r>
              <w:rPr>
                <w:sz w:val="17"/>
                <w:szCs w:val="17"/>
              </w:rPr>
              <w:lastRenderedPageBreak/>
              <w:t>Confirmed</w:t>
            </w:r>
          </w:p>
        </w:tc>
      </w:tr>
      <w:tr w:rsidR="00731E27" w14:paraId="59CA0111" w14:textId="77777777">
        <w:tc>
          <w:tcPr>
            <w:tcW w:w="0" w:type="auto"/>
            <w:tcMar>
              <w:top w:w="80" w:type="dxa"/>
              <w:left w:w="100" w:type="dxa"/>
              <w:bottom w:w="80" w:type="dxa"/>
              <w:right w:w="100" w:type="dxa"/>
            </w:tcMar>
          </w:tcPr>
          <w:p w14:paraId="6F385830" w14:textId="77777777" w:rsidR="00731E27" w:rsidRDefault="00000000">
            <w:r>
              <w:rPr>
                <w:sz w:val="17"/>
                <w:szCs w:val="17"/>
              </w:rPr>
              <w:t>VII</w:t>
            </w:r>
          </w:p>
        </w:tc>
        <w:tc>
          <w:tcPr>
            <w:tcW w:w="0" w:type="auto"/>
            <w:tcMar>
              <w:top w:w="80" w:type="dxa"/>
              <w:left w:w="100" w:type="dxa"/>
              <w:bottom w:w="80" w:type="dxa"/>
              <w:right w:w="100" w:type="dxa"/>
            </w:tcMar>
          </w:tcPr>
          <w:p w14:paraId="5F9C169B" w14:textId="77777777" w:rsidR="00731E27" w:rsidRDefault="00000000">
            <w:r>
              <w:rPr>
                <w:sz w:val="17"/>
                <w:szCs w:val="17"/>
              </w:rPr>
              <w:t>17</w:t>
            </w:r>
          </w:p>
        </w:tc>
        <w:tc>
          <w:tcPr>
            <w:tcW w:w="0" w:type="auto"/>
            <w:tcMar>
              <w:top w:w="80" w:type="dxa"/>
              <w:left w:w="100" w:type="dxa"/>
              <w:bottom w:w="80" w:type="dxa"/>
              <w:right w:w="100" w:type="dxa"/>
            </w:tcMar>
          </w:tcPr>
          <w:p w14:paraId="021C2B2E" w14:textId="77777777" w:rsidR="00731E27" w:rsidRDefault="00000000">
            <w:r>
              <w:rPr>
                <w:sz w:val="17"/>
                <w:szCs w:val="17"/>
              </w:rPr>
              <w:t>Scope exclusion: GRIP imputation methods</w:t>
            </w:r>
          </w:p>
        </w:tc>
        <w:tc>
          <w:tcPr>
            <w:tcW w:w="0" w:type="auto"/>
            <w:tcMar>
              <w:top w:w="80" w:type="dxa"/>
              <w:left w:w="100" w:type="dxa"/>
              <w:bottom w:w="80" w:type="dxa"/>
              <w:right w:w="100" w:type="dxa"/>
            </w:tcMar>
          </w:tcPr>
          <w:p w14:paraId="0DB12249" w14:textId="77777777" w:rsidR="00731E27" w:rsidRDefault="00000000">
            <w:r>
              <w:rPr>
                <w:sz w:val="17"/>
                <w:szCs w:val="17"/>
              </w:rPr>
              <w:t>GRIP imputation model comparison deferred to separate CIN methods paper (in preparation). Not part of this HSR manuscript.</w:t>
            </w:r>
          </w:p>
        </w:tc>
        <w:tc>
          <w:tcPr>
            <w:tcW w:w="0" w:type="auto"/>
            <w:tcMar>
              <w:top w:w="80" w:type="dxa"/>
              <w:left w:w="100" w:type="dxa"/>
              <w:bottom w:w="80" w:type="dxa"/>
              <w:right w:w="100" w:type="dxa"/>
            </w:tcMar>
          </w:tcPr>
          <w:p w14:paraId="5F7D0231" w14:textId="77777777" w:rsidR="00731E27" w:rsidRDefault="00000000">
            <w:r>
              <w:rPr>
                <w:sz w:val="17"/>
                <w:szCs w:val="17"/>
              </w:rPr>
              <w:t>Confirmed</w:t>
            </w:r>
          </w:p>
        </w:tc>
      </w:tr>
      <w:tr w:rsidR="00731E27" w14:paraId="1D65D74F" w14:textId="77777777">
        <w:tc>
          <w:tcPr>
            <w:tcW w:w="0" w:type="auto"/>
            <w:tcMar>
              <w:top w:w="80" w:type="dxa"/>
              <w:left w:w="100" w:type="dxa"/>
              <w:bottom w:w="80" w:type="dxa"/>
              <w:right w:w="100" w:type="dxa"/>
            </w:tcMar>
          </w:tcPr>
          <w:p w14:paraId="3597DF44" w14:textId="77777777" w:rsidR="00731E27" w:rsidRDefault="00000000">
            <w:r>
              <w:rPr>
                <w:sz w:val="17"/>
                <w:szCs w:val="17"/>
              </w:rPr>
              <w:t>VIII</w:t>
            </w:r>
          </w:p>
        </w:tc>
        <w:tc>
          <w:tcPr>
            <w:tcW w:w="0" w:type="auto"/>
            <w:tcMar>
              <w:top w:w="80" w:type="dxa"/>
              <w:left w:w="100" w:type="dxa"/>
              <w:bottom w:w="80" w:type="dxa"/>
              <w:right w:w="100" w:type="dxa"/>
            </w:tcMar>
          </w:tcPr>
          <w:p w14:paraId="1E5CF15F" w14:textId="77777777" w:rsidR="00731E27" w:rsidRDefault="00000000">
            <w:r>
              <w:rPr>
                <w:sz w:val="17"/>
                <w:szCs w:val="17"/>
              </w:rPr>
              <w:t>18</w:t>
            </w:r>
          </w:p>
        </w:tc>
        <w:tc>
          <w:tcPr>
            <w:tcW w:w="0" w:type="auto"/>
            <w:tcMar>
              <w:top w:w="80" w:type="dxa"/>
              <w:left w:w="100" w:type="dxa"/>
              <w:bottom w:w="80" w:type="dxa"/>
              <w:right w:w="100" w:type="dxa"/>
            </w:tcMar>
          </w:tcPr>
          <w:p w14:paraId="6EA48FCB" w14:textId="77777777" w:rsidR="00731E27" w:rsidRDefault="00000000">
            <w:r>
              <w:rPr>
                <w:sz w:val="17"/>
                <w:szCs w:val="17"/>
              </w:rPr>
              <w:t>PI cost document cross-verification</w:t>
            </w:r>
          </w:p>
        </w:tc>
        <w:tc>
          <w:tcPr>
            <w:tcW w:w="0" w:type="auto"/>
            <w:tcMar>
              <w:top w:w="80" w:type="dxa"/>
              <w:left w:w="100" w:type="dxa"/>
              <w:bottom w:w="80" w:type="dxa"/>
              <w:right w:w="100" w:type="dxa"/>
            </w:tcMar>
          </w:tcPr>
          <w:p w14:paraId="3A2D471F" w14:textId="77777777" w:rsidR="00731E27" w:rsidRDefault="00000000">
            <w:r>
              <w:rPr>
                <w:sz w:val="17"/>
                <w:szCs w:val="17"/>
              </w:rPr>
              <w:t>All WTP-relevant cost variables cross-verified against Author-provided calculation documents. Unit errors in three variables identified and corrected. All final values consistent with CMS public data.</w:t>
            </w:r>
          </w:p>
        </w:tc>
        <w:tc>
          <w:tcPr>
            <w:tcW w:w="0" w:type="auto"/>
            <w:tcMar>
              <w:top w:w="80" w:type="dxa"/>
              <w:left w:w="100" w:type="dxa"/>
              <w:bottom w:w="80" w:type="dxa"/>
              <w:right w:w="100" w:type="dxa"/>
            </w:tcMar>
          </w:tcPr>
          <w:p w14:paraId="760E4B26" w14:textId="77777777" w:rsidR="00731E27" w:rsidRDefault="00000000">
            <w:r>
              <w:rPr>
                <w:sz w:val="17"/>
                <w:szCs w:val="17"/>
              </w:rPr>
              <w:t>Confirmed</w:t>
            </w:r>
          </w:p>
        </w:tc>
      </w:tr>
      <w:tr w:rsidR="00731E27" w14:paraId="43D5BC76" w14:textId="77777777">
        <w:tc>
          <w:tcPr>
            <w:tcW w:w="0" w:type="auto"/>
            <w:tcMar>
              <w:top w:w="80" w:type="dxa"/>
              <w:left w:w="100" w:type="dxa"/>
              <w:bottom w:w="80" w:type="dxa"/>
              <w:right w:w="100" w:type="dxa"/>
            </w:tcMar>
          </w:tcPr>
          <w:p w14:paraId="6701B7C1" w14:textId="77777777" w:rsidR="00731E27" w:rsidRDefault="00000000">
            <w:r>
              <w:rPr>
                <w:sz w:val="17"/>
                <w:szCs w:val="17"/>
              </w:rPr>
              <w:t>IX</w:t>
            </w:r>
          </w:p>
        </w:tc>
        <w:tc>
          <w:tcPr>
            <w:tcW w:w="0" w:type="auto"/>
            <w:tcMar>
              <w:top w:w="80" w:type="dxa"/>
              <w:left w:w="100" w:type="dxa"/>
              <w:bottom w:w="80" w:type="dxa"/>
              <w:right w:w="100" w:type="dxa"/>
            </w:tcMar>
          </w:tcPr>
          <w:p w14:paraId="47F360F2" w14:textId="77777777" w:rsidR="00731E27" w:rsidRDefault="00000000">
            <w:r>
              <w:rPr>
                <w:sz w:val="17"/>
                <w:szCs w:val="17"/>
              </w:rPr>
              <w:t>23</w:t>
            </w:r>
          </w:p>
        </w:tc>
        <w:tc>
          <w:tcPr>
            <w:tcW w:w="0" w:type="auto"/>
            <w:tcMar>
              <w:top w:w="80" w:type="dxa"/>
              <w:left w:w="100" w:type="dxa"/>
              <w:bottom w:w="80" w:type="dxa"/>
              <w:right w:w="100" w:type="dxa"/>
            </w:tcMar>
          </w:tcPr>
          <w:p w14:paraId="5EDB0B17" w14:textId="77777777" w:rsidR="00731E27" w:rsidRDefault="00000000">
            <w:r>
              <w:rPr>
                <w:sz w:val="17"/>
                <w:szCs w:val="17"/>
              </w:rPr>
              <w:t>Research Progress file cross-verification</w:t>
            </w:r>
          </w:p>
        </w:tc>
        <w:tc>
          <w:tcPr>
            <w:tcW w:w="0" w:type="auto"/>
            <w:tcMar>
              <w:top w:w="80" w:type="dxa"/>
              <w:left w:w="100" w:type="dxa"/>
              <w:bottom w:w="80" w:type="dxa"/>
              <w:right w:w="100" w:type="dxa"/>
            </w:tcMar>
          </w:tcPr>
          <w:p w14:paraId="14454FC5" w14:textId="77777777" w:rsidR="00731E27" w:rsidRDefault="00000000">
            <w:r>
              <w:rPr>
                <w:sz w:val="17"/>
                <w:szCs w:val="17"/>
              </w:rPr>
              <w:t xml:space="preserve">HHA factor coefficients in log (B=−0.177 hospital; B=−0.0415 ER, 2017 single year) verified against </w:t>
            </w:r>
            <w:proofErr w:type="spellStart"/>
            <w:r>
              <w:rPr>
                <w:sz w:val="17"/>
                <w:szCs w:val="17"/>
              </w:rPr>
              <w:t>Research_Progress</w:t>
            </w:r>
            <w:proofErr w:type="spellEnd"/>
            <w:r>
              <w:rPr>
                <w:sz w:val="17"/>
                <w:szCs w:val="17"/>
              </w:rPr>
              <w:t xml:space="preserve"> xlsx file. Decision: re-estimate HHA factor from 3-year pooled panel for consistency with study period.</w:t>
            </w:r>
          </w:p>
        </w:tc>
        <w:tc>
          <w:tcPr>
            <w:tcW w:w="0" w:type="auto"/>
            <w:tcMar>
              <w:top w:w="80" w:type="dxa"/>
              <w:left w:w="100" w:type="dxa"/>
              <w:bottom w:w="80" w:type="dxa"/>
              <w:right w:w="100" w:type="dxa"/>
            </w:tcMar>
          </w:tcPr>
          <w:p w14:paraId="4211E6F2" w14:textId="77777777" w:rsidR="00731E27" w:rsidRDefault="00000000">
            <w:r>
              <w:rPr>
                <w:sz w:val="17"/>
                <w:szCs w:val="17"/>
              </w:rPr>
              <w:t>Confirmed</w:t>
            </w:r>
          </w:p>
        </w:tc>
      </w:tr>
      <w:tr w:rsidR="00731E27" w14:paraId="2596008A" w14:textId="77777777">
        <w:tc>
          <w:tcPr>
            <w:tcW w:w="0" w:type="auto"/>
            <w:tcMar>
              <w:top w:w="80" w:type="dxa"/>
              <w:left w:w="100" w:type="dxa"/>
              <w:bottom w:w="80" w:type="dxa"/>
              <w:right w:w="100" w:type="dxa"/>
            </w:tcMar>
          </w:tcPr>
          <w:p w14:paraId="79ABDFF1" w14:textId="77777777" w:rsidR="00731E27" w:rsidRDefault="00000000">
            <w:r>
              <w:rPr>
                <w:sz w:val="17"/>
                <w:szCs w:val="17"/>
              </w:rPr>
              <w:t>X</w:t>
            </w:r>
          </w:p>
        </w:tc>
        <w:tc>
          <w:tcPr>
            <w:tcW w:w="0" w:type="auto"/>
            <w:tcMar>
              <w:top w:w="80" w:type="dxa"/>
              <w:left w:w="100" w:type="dxa"/>
              <w:bottom w:w="80" w:type="dxa"/>
              <w:right w:w="100" w:type="dxa"/>
            </w:tcMar>
          </w:tcPr>
          <w:p w14:paraId="51BB2207" w14:textId="77777777" w:rsidR="00731E27" w:rsidRDefault="00000000">
            <w:r>
              <w:rPr>
                <w:sz w:val="17"/>
                <w:szCs w:val="17"/>
              </w:rPr>
              <w:t>25</w:t>
            </w:r>
          </w:p>
        </w:tc>
        <w:tc>
          <w:tcPr>
            <w:tcW w:w="0" w:type="auto"/>
            <w:tcMar>
              <w:top w:w="80" w:type="dxa"/>
              <w:left w:w="100" w:type="dxa"/>
              <w:bottom w:w="80" w:type="dxa"/>
              <w:right w:w="100" w:type="dxa"/>
            </w:tcMar>
          </w:tcPr>
          <w:p w14:paraId="13153B97" w14:textId="77777777" w:rsidR="00731E27" w:rsidRDefault="00000000">
            <w:r>
              <w:rPr>
                <w:sz w:val="17"/>
                <w:szCs w:val="17"/>
              </w:rPr>
              <w:t>WTP formula verification</w:t>
            </w:r>
          </w:p>
        </w:tc>
        <w:tc>
          <w:tcPr>
            <w:tcW w:w="0" w:type="auto"/>
            <w:tcMar>
              <w:top w:w="80" w:type="dxa"/>
              <w:left w:w="100" w:type="dxa"/>
              <w:bottom w:w="80" w:type="dxa"/>
              <w:right w:w="100" w:type="dxa"/>
            </w:tcMar>
          </w:tcPr>
          <w:p w14:paraId="309BC98D" w14:textId="77777777" w:rsidR="00731E27" w:rsidRDefault="00000000">
            <w:r>
              <w:rPr>
                <w:sz w:val="17"/>
                <w:szCs w:val="17"/>
              </w:rPr>
              <w:t xml:space="preserve">WTP = (β_Admitted × </w:t>
            </w:r>
            <w:proofErr w:type="spellStart"/>
            <w:r>
              <w:rPr>
                <w:sz w:val="17"/>
                <w:szCs w:val="17"/>
              </w:rPr>
              <w:t>mean_inpatient_payment</w:t>
            </w:r>
            <w:proofErr w:type="spellEnd"/>
            <w:r>
              <w:rPr>
                <w:sz w:val="17"/>
                <w:szCs w:val="17"/>
              </w:rPr>
              <w:t xml:space="preserve">) + (β_ER × </w:t>
            </w:r>
            <w:proofErr w:type="spellStart"/>
            <w:r>
              <w:rPr>
                <w:sz w:val="17"/>
                <w:szCs w:val="17"/>
              </w:rPr>
              <w:t>mean_ER_payment</w:t>
            </w:r>
            <w:proofErr w:type="spellEnd"/>
            <w:r>
              <w:rPr>
                <w:sz w:val="17"/>
                <w:szCs w:val="17"/>
              </w:rPr>
              <w:t>), applied to Average 4Ts composite. Formula verified against PI-provided image documentation. Coding confirmed.</w:t>
            </w:r>
          </w:p>
        </w:tc>
        <w:tc>
          <w:tcPr>
            <w:tcW w:w="0" w:type="auto"/>
            <w:tcMar>
              <w:top w:w="80" w:type="dxa"/>
              <w:left w:w="100" w:type="dxa"/>
              <w:bottom w:w="80" w:type="dxa"/>
              <w:right w:w="100" w:type="dxa"/>
            </w:tcMar>
          </w:tcPr>
          <w:p w14:paraId="638FFAD1" w14:textId="77777777" w:rsidR="00731E27" w:rsidRDefault="00000000">
            <w:r>
              <w:rPr>
                <w:sz w:val="17"/>
                <w:szCs w:val="17"/>
              </w:rPr>
              <w:t>Confirmed</w:t>
            </w:r>
          </w:p>
        </w:tc>
      </w:tr>
      <w:tr w:rsidR="00731E27" w14:paraId="067BD61B" w14:textId="77777777">
        <w:tc>
          <w:tcPr>
            <w:tcW w:w="0" w:type="auto"/>
            <w:tcMar>
              <w:top w:w="80" w:type="dxa"/>
              <w:left w:w="100" w:type="dxa"/>
              <w:bottom w:w="80" w:type="dxa"/>
              <w:right w:w="100" w:type="dxa"/>
            </w:tcMar>
          </w:tcPr>
          <w:p w14:paraId="069F7518" w14:textId="77777777" w:rsidR="00731E27" w:rsidRDefault="00000000">
            <w:r>
              <w:rPr>
                <w:sz w:val="17"/>
                <w:szCs w:val="17"/>
              </w:rPr>
              <w:t>XI</w:t>
            </w:r>
          </w:p>
        </w:tc>
        <w:tc>
          <w:tcPr>
            <w:tcW w:w="0" w:type="auto"/>
            <w:tcMar>
              <w:top w:w="80" w:type="dxa"/>
              <w:left w:w="100" w:type="dxa"/>
              <w:bottom w:w="80" w:type="dxa"/>
              <w:right w:w="100" w:type="dxa"/>
            </w:tcMar>
          </w:tcPr>
          <w:p w14:paraId="2E5BCDB8" w14:textId="77777777" w:rsidR="00731E27" w:rsidRDefault="00000000">
            <w:r>
              <w:rPr>
                <w:sz w:val="17"/>
                <w:szCs w:val="17"/>
              </w:rPr>
              <w:t>26</w:t>
            </w:r>
          </w:p>
        </w:tc>
        <w:tc>
          <w:tcPr>
            <w:tcW w:w="0" w:type="auto"/>
            <w:tcMar>
              <w:top w:w="80" w:type="dxa"/>
              <w:left w:w="100" w:type="dxa"/>
              <w:bottom w:w="80" w:type="dxa"/>
              <w:right w:w="100" w:type="dxa"/>
            </w:tcMar>
          </w:tcPr>
          <w:p w14:paraId="12EFE7EF" w14:textId="77777777" w:rsidR="00731E27" w:rsidRDefault="00000000">
            <w:r>
              <w:rPr>
                <w:sz w:val="17"/>
                <w:szCs w:val="17"/>
              </w:rPr>
              <w:t>HHA factor re-estimation: FY2017–2018 pooled</w:t>
            </w:r>
          </w:p>
        </w:tc>
        <w:tc>
          <w:tcPr>
            <w:tcW w:w="0" w:type="auto"/>
            <w:tcMar>
              <w:top w:w="80" w:type="dxa"/>
              <w:left w:w="100" w:type="dxa"/>
              <w:bottom w:w="80" w:type="dxa"/>
              <w:right w:w="100" w:type="dxa"/>
            </w:tcMar>
          </w:tcPr>
          <w:p w14:paraId="18A1785E" w14:textId="77777777" w:rsidR="00731E27" w:rsidRDefault="00000000">
            <w:r>
              <w:rPr>
                <w:sz w:val="17"/>
                <w:szCs w:val="17"/>
              </w:rPr>
              <w:t>HHA factor re-estimated from FY2017–2018 pooled panel with CCN-clustered SEs, State FE, Year FE, CRE. Final estimates: β_Admitted = −0.156 (hospital admissions per T-score; p&lt;0.001); β_ER not separately monetized in break-even. Replaces 2017 single-year estimates.</w:t>
            </w:r>
          </w:p>
        </w:tc>
        <w:tc>
          <w:tcPr>
            <w:tcW w:w="0" w:type="auto"/>
            <w:tcMar>
              <w:top w:w="80" w:type="dxa"/>
              <w:left w:w="100" w:type="dxa"/>
              <w:bottom w:w="80" w:type="dxa"/>
              <w:right w:w="100" w:type="dxa"/>
            </w:tcMar>
          </w:tcPr>
          <w:p w14:paraId="05937F00" w14:textId="77777777" w:rsidR="00731E27" w:rsidRDefault="00000000">
            <w:r>
              <w:rPr>
                <w:sz w:val="17"/>
                <w:szCs w:val="17"/>
              </w:rPr>
              <w:t>Confirmed</w:t>
            </w:r>
          </w:p>
        </w:tc>
      </w:tr>
      <w:tr w:rsidR="00731E27" w14:paraId="2A285964" w14:textId="77777777">
        <w:tc>
          <w:tcPr>
            <w:tcW w:w="0" w:type="auto"/>
            <w:tcMar>
              <w:top w:w="80" w:type="dxa"/>
              <w:left w:w="100" w:type="dxa"/>
              <w:bottom w:w="80" w:type="dxa"/>
              <w:right w:w="100" w:type="dxa"/>
            </w:tcMar>
          </w:tcPr>
          <w:p w14:paraId="57D178A3" w14:textId="77777777" w:rsidR="00731E27" w:rsidRDefault="00000000">
            <w:r>
              <w:rPr>
                <w:sz w:val="17"/>
                <w:szCs w:val="17"/>
              </w:rPr>
              <w:t>XII</w:t>
            </w:r>
          </w:p>
        </w:tc>
        <w:tc>
          <w:tcPr>
            <w:tcW w:w="0" w:type="auto"/>
            <w:tcMar>
              <w:top w:w="80" w:type="dxa"/>
              <w:left w:w="100" w:type="dxa"/>
              <w:bottom w:w="80" w:type="dxa"/>
              <w:right w:w="100" w:type="dxa"/>
            </w:tcMar>
          </w:tcPr>
          <w:p w14:paraId="1A0DF336" w14:textId="77777777" w:rsidR="00731E27" w:rsidRDefault="00000000">
            <w:r>
              <w:rPr>
                <w:sz w:val="17"/>
                <w:szCs w:val="17"/>
              </w:rPr>
              <w:t>30</w:t>
            </w:r>
          </w:p>
        </w:tc>
        <w:tc>
          <w:tcPr>
            <w:tcW w:w="0" w:type="auto"/>
            <w:tcMar>
              <w:top w:w="80" w:type="dxa"/>
              <w:left w:w="100" w:type="dxa"/>
              <w:bottom w:w="80" w:type="dxa"/>
              <w:right w:w="100" w:type="dxa"/>
            </w:tcMar>
          </w:tcPr>
          <w:p w14:paraId="24382AF9" w14:textId="77777777" w:rsidR="00731E27" w:rsidRDefault="00000000">
            <w:r>
              <w:rPr>
                <w:sz w:val="17"/>
                <w:szCs w:val="17"/>
              </w:rPr>
              <w:t>Additional FTE data integrity exclusions</w:t>
            </w:r>
          </w:p>
        </w:tc>
        <w:tc>
          <w:tcPr>
            <w:tcW w:w="0" w:type="auto"/>
            <w:tcMar>
              <w:top w:w="80" w:type="dxa"/>
              <w:left w:w="100" w:type="dxa"/>
              <w:bottom w:w="80" w:type="dxa"/>
              <w:right w:w="100" w:type="dxa"/>
            </w:tcMar>
          </w:tcPr>
          <w:p w14:paraId="19D54975" w14:textId="77777777" w:rsidR="00731E27" w:rsidRDefault="00000000">
            <w:r>
              <w:rPr>
                <w:sz w:val="17"/>
                <w:szCs w:val="17"/>
              </w:rPr>
              <w:t>Agencies with documented RN/HH Aide FTE recording errors (e.g., single-year FTE = agency-year aggregate misallocated) identified via per-FTE cost scan. 23 agency-years flagged and excluded. Final N: ~16,828.</w:t>
            </w:r>
          </w:p>
        </w:tc>
        <w:tc>
          <w:tcPr>
            <w:tcW w:w="0" w:type="auto"/>
            <w:tcMar>
              <w:top w:w="80" w:type="dxa"/>
              <w:left w:w="100" w:type="dxa"/>
              <w:bottom w:w="80" w:type="dxa"/>
              <w:right w:w="100" w:type="dxa"/>
            </w:tcMar>
          </w:tcPr>
          <w:p w14:paraId="266FCD6B" w14:textId="77777777" w:rsidR="00731E27" w:rsidRDefault="00000000">
            <w:r>
              <w:rPr>
                <w:sz w:val="17"/>
                <w:szCs w:val="17"/>
              </w:rPr>
              <w:t>Confirmed</w:t>
            </w:r>
          </w:p>
        </w:tc>
      </w:tr>
      <w:tr w:rsidR="00731E27" w14:paraId="5A52983B" w14:textId="77777777">
        <w:tc>
          <w:tcPr>
            <w:tcW w:w="0" w:type="auto"/>
            <w:tcMar>
              <w:top w:w="80" w:type="dxa"/>
              <w:left w:w="100" w:type="dxa"/>
              <w:bottom w:w="80" w:type="dxa"/>
              <w:right w:w="100" w:type="dxa"/>
            </w:tcMar>
          </w:tcPr>
          <w:p w14:paraId="68FA0ACC" w14:textId="77777777" w:rsidR="00731E27" w:rsidRDefault="00000000">
            <w:r>
              <w:rPr>
                <w:sz w:val="17"/>
                <w:szCs w:val="17"/>
              </w:rPr>
              <w:t>XIII</w:t>
            </w:r>
          </w:p>
        </w:tc>
        <w:tc>
          <w:tcPr>
            <w:tcW w:w="0" w:type="auto"/>
            <w:tcMar>
              <w:top w:w="80" w:type="dxa"/>
              <w:left w:w="100" w:type="dxa"/>
              <w:bottom w:w="80" w:type="dxa"/>
              <w:right w:w="100" w:type="dxa"/>
            </w:tcMar>
          </w:tcPr>
          <w:p w14:paraId="5B7D1A29" w14:textId="77777777" w:rsidR="00731E27" w:rsidRDefault="00000000">
            <w:r>
              <w:rPr>
                <w:sz w:val="17"/>
                <w:szCs w:val="17"/>
              </w:rPr>
              <w:t>35</w:t>
            </w:r>
          </w:p>
        </w:tc>
        <w:tc>
          <w:tcPr>
            <w:tcW w:w="0" w:type="auto"/>
            <w:tcMar>
              <w:top w:w="80" w:type="dxa"/>
              <w:left w:w="100" w:type="dxa"/>
              <w:bottom w:w="80" w:type="dxa"/>
              <w:right w:w="100" w:type="dxa"/>
            </w:tcMar>
          </w:tcPr>
          <w:p w14:paraId="69617FDE" w14:textId="77777777" w:rsidR="00731E27" w:rsidRDefault="00000000">
            <w:r>
              <w:rPr>
                <w:sz w:val="17"/>
                <w:szCs w:val="17"/>
              </w:rPr>
              <w:t>Missing data mechanism diagnosis</w:t>
            </w:r>
          </w:p>
        </w:tc>
        <w:tc>
          <w:tcPr>
            <w:tcW w:w="0" w:type="auto"/>
            <w:tcMar>
              <w:top w:w="80" w:type="dxa"/>
              <w:left w:w="100" w:type="dxa"/>
              <w:bottom w:w="80" w:type="dxa"/>
              <w:right w:w="100" w:type="dxa"/>
            </w:tcMar>
          </w:tcPr>
          <w:p w14:paraId="5C7353D8" w14:textId="77777777" w:rsidR="00731E27" w:rsidRDefault="00000000">
            <w:r>
              <w:rPr>
                <w:sz w:val="17"/>
                <w:szCs w:val="17"/>
              </w:rPr>
              <w:t>Formal Little's MCAR test applied. Quality composite variables: MCAR not rejected (p &gt; 0.05). Cost variables: MAR pattern consistent with agency size and year. Imputation strategy confirmed as appropriate.</w:t>
            </w:r>
          </w:p>
        </w:tc>
        <w:tc>
          <w:tcPr>
            <w:tcW w:w="0" w:type="auto"/>
            <w:tcMar>
              <w:top w:w="80" w:type="dxa"/>
              <w:left w:w="100" w:type="dxa"/>
              <w:bottom w:w="80" w:type="dxa"/>
              <w:right w:w="100" w:type="dxa"/>
            </w:tcMar>
          </w:tcPr>
          <w:p w14:paraId="4F646A66" w14:textId="77777777" w:rsidR="00731E27" w:rsidRDefault="00000000">
            <w:r>
              <w:rPr>
                <w:sz w:val="17"/>
                <w:szCs w:val="17"/>
              </w:rPr>
              <w:t>Confirmed</w:t>
            </w:r>
          </w:p>
        </w:tc>
      </w:tr>
      <w:tr w:rsidR="00731E27" w14:paraId="786BC265" w14:textId="77777777">
        <w:tc>
          <w:tcPr>
            <w:tcW w:w="0" w:type="auto"/>
            <w:tcMar>
              <w:top w:w="80" w:type="dxa"/>
              <w:left w:w="100" w:type="dxa"/>
              <w:bottom w:w="80" w:type="dxa"/>
              <w:right w:w="100" w:type="dxa"/>
            </w:tcMar>
          </w:tcPr>
          <w:p w14:paraId="2DA6ECB9" w14:textId="77777777" w:rsidR="00731E27" w:rsidRDefault="00000000">
            <w:r>
              <w:rPr>
                <w:sz w:val="17"/>
                <w:szCs w:val="17"/>
              </w:rPr>
              <w:t>XIV</w:t>
            </w:r>
          </w:p>
        </w:tc>
        <w:tc>
          <w:tcPr>
            <w:tcW w:w="0" w:type="auto"/>
            <w:tcMar>
              <w:top w:w="80" w:type="dxa"/>
              <w:left w:w="100" w:type="dxa"/>
              <w:bottom w:w="80" w:type="dxa"/>
              <w:right w:w="100" w:type="dxa"/>
            </w:tcMar>
          </w:tcPr>
          <w:p w14:paraId="77D42E26" w14:textId="77777777" w:rsidR="00731E27" w:rsidRDefault="00000000">
            <w:r>
              <w:rPr>
                <w:sz w:val="17"/>
                <w:szCs w:val="17"/>
              </w:rPr>
              <w:t>40</w:t>
            </w:r>
          </w:p>
        </w:tc>
        <w:tc>
          <w:tcPr>
            <w:tcW w:w="0" w:type="auto"/>
            <w:tcMar>
              <w:top w:w="80" w:type="dxa"/>
              <w:left w:w="100" w:type="dxa"/>
              <w:bottom w:w="80" w:type="dxa"/>
              <w:right w:w="100" w:type="dxa"/>
            </w:tcMar>
          </w:tcPr>
          <w:p w14:paraId="21FB69CF" w14:textId="77777777" w:rsidR="00731E27" w:rsidRDefault="00000000">
            <w:r>
              <w:rPr>
                <w:sz w:val="17"/>
                <w:szCs w:val="17"/>
              </w:rPr>
              <w:t>Imputation principle: no circular imputation</w:t>
            </w:r>
          </w:p>
        </w:tc>
        <w:tc>
          <w:tcPr>
            <w:tcW w:w="0" w:type="auto"/>
            <w:tcMar>
              <w:top w:w="80" w:type="dxa"/>
              <w:left w:w="100" w:type="dxa"/>
              <w:bottom w:w="80" w:type="dxa"/>
              <w:right w:w="100" w:type="dxa"/>
            </w:tcMar>
          </w:tcPr>
          <w:p w14:paraId="4516E35F" w14:textId="77777777" w:rsidR="00731E27" w:rsidRDefault="00000000">
            <w:r>
              <w:rPr>
                <w:sz w:val="17"/>
                <w:szCs w:val="17"/>
              </w:rPr>
              <w:t xml:space="preserve">Variables used as imputation targets may not be used as imputation predictors in the same model. Enforced throughout </w:t>
            </w:r>
            <w:proofErr w:type="spellStart"/>
            <w:r>
              <w:rPr>
                <w:sz w:val="17"/>
                <w:szCs w:val="17"/>
              </w:rPr>
              <w:t>votingForest</w:t>
            </w:r>
            <w:proofErr w:type="spellEnd"/>
            <w:r>
              <w:rPr>
                <w:sz w:val="17"/>
                <w:szCs w:val="17"/>
              </w:rPr>
              <w:t xml:space="preserve"> specification. Coding verified.</w:t>
            </w:r>
          </w:p>
        </w:tc>
        <w:tc>
          <w:tcPr>
            <w:tcW w:w="0" w:type="auto"/>
            <w:tcMar>
              <w:top w:w="80" w:type="dxa"/>
              <w:left w:w="100" w:type="dxa"/>
              <w:bottom w:w="80" w:type="dxa"/>
              <w:right w:w="100" w:type="dxa"/>
            </w:tcMar>
          </w:tcPr>
          <w:p w14:paraId="1A1D7DB2" w14:textId="77777777" w:rsidR="00731E27" w:rsidRDefault="00000000">
            <w:r>
              <w:rPr>
                <w:sz w:val="17"/>
                <w:szCs w:val="17"/>
              </w:rPr>
              <w:t>Confirmed</w:t>
            </w:r>
          </w:p>
        </w:tc>
      </w:tr>
      <w:tr w:rsidR="00731E27" w14:paraId="48BC32A4" w14:textId="77777777">
        <w:tc>
          <w:tcPr>
            <w:tcW w:w="0" w:type="auto"/>
            <w:tcMar>
              <w:top w:w="80" w:type="dxa"/>
              <w:left w:w="100" w:type="dxa"/>
              <w:bottom w:w="80" w:type="dxa"/>
              <w:right w:w="100" w:type="dxa"/>
            </w:tcMar>
          </w:tcPr>
          <w:p w14:paraId="590D8763" w14:textId="77777777" w:rsidR="00731E27" w:rsidRDefault="00000000">
            <w:r>
              <w:rPr>
                <w:sz w:val="17"/>
                <w:szCs w:val="17"/>
              </w:rPr>
              <w:t>XV</w:t>
            </w:r>
          </w:p>
        </w:tc>
        <w:tc>
          <w:tcPr>
            <w:tcW w:w="0" w:type="auto"/>
            <w:tcMar>
              <w:top w:w="80" w:type="dxa"/>
              <w:left w:w="100" w:type="dxa"/>
              <w:bottom w:w="80" w:type="dxa"/>
              <w:right w:w="100" w:type="dxa"/>
            </w:tcMar>
          </w:tcPr>
          <w:p w14:paraId="770FD3FA" w14:textId="77777777" w:rsidR="00731E27" w:rsidRDefault="00000000">
            <w:r>
              <w:rPr>
                <w:sz w:val="17"/>
                <w:szCs w:val="17"/>
              </w:rPr>
              <w:t>45</w:t>
            </w:r>
          </w:p>
        </w:tc>
        <w:tc>
          <w:tcPr>
            <w:tcW w:w="0" w:type="auto"/>
            <w:tcMar>
              <w:top w:w="80" w:type="dxa"/>
              <w:left w:w="100" w:type="dxa"/>
              <w:bottom w:w="80" w:type="dxa"/>
              <w:right w:w="100" w:type="dxa"/>
            </w:tcMar>
          </w:tcPr>
          <w:p w14:paraId="3544170E" w14:textId="77777777" w:rsidR="00731E27" w:rsidRDefault="00000000">
            <w:r>
              <w:rPr>
                <w:sz w:val="17"/>
                <w:szCs w:val="17"/>
              </w:rPr>
              <w:t>Approach A / Approach B epistemological distinction</w:t>
            </w:r>
          </w:p>
        </w:tc>
        <w:tc>
          <w:tcPr>
            <w:tcW w:w="0" w:type="auto"/>
            <w:tcMar>
              <w:top w:w="80" w:type="dxa"/>
              <w:left w:w="100" w:type="dxa"/>
              <w:bottom w:w="80" w:type="dxa"/>
              <w:right w:w="100" w:type="dxa"/>
            </w:tcMar>
          </w:tcPr>
          <w:p w14:paraId="10354A08" w14:textId="77777777" w:rsidR="00731E27" w:rsidRDefault="00000000">
            <w:r>
              <w:rPr>
                <w:sz w:val="17"/>
                <w:szCs w:val="17"/>
              </w:rPr>
              <w:t xml:space="preserve">Approach A (Ridge regression, </w:t>
            </w:r>
            <w:proofErr w:type="spellStart"/>
            <w:r>
              <w:rPr>
                <w:sz w:val="17"/>
                <w:szCs w:val="17"/>
              </w:rPr>
              <w:t>Mundlak</w:t>
            </w:r>
            <w:proofErr w:type="spellEnd"/>
            <w:r>
              <w:rPr>
                <w:sz w:val="17"/>
                <w:szCs w:val="17"/>
              </w:rPr>
              <w:t>): primary estimator for frequentist inference and TOST. Approach B (BNN): nonparametric sensitivity check, point estimates only. No formal inference from Approach B. Pre-specified before estimation.</w:t>
            </w:r>
          </w:p>
        </w:tc>
        <w:tc>
          <w:tcPr>
            <w:tcW w:w="0" w:type="auto"/>
            <w:tcMar>
              <w:top w:w="80" w:type="dxa"/>
              <w:left w:w="100" w:type="dxa"/>
              <w:bottom w:w="80" w:type="dxa"/>
              <w:right w:w="100" w:type="dxa"/>
            </w:tcMar>
          </w:tcPr>
          <w:p w14:paraId="6765D57E" w14:textId="77777777" w:rsidR="00731E27" w:rsidRDefault="00000000">
            <w:r>
              <w:rPr>
                <w:sz w:val="17"/>
                <w:szCs w:val="17"/>
              </w:rPr>
              <w:t>Confirmed</w:t>
            </w:r>
          </w:p>
        </w:tc>
      </w:tr>
      <w:tr w:rsidR="00731E27" w14:paraId="742920EE" w14:textId="77777777">
        <w:tc>
          <w:tcPr>
            <w:tcW w:w="0" w:type="auto"/>
            <w:tcMar>
              <w:top w:w="80" w:type="dxa"/>
              <w:left w:w="100" w:type="dxa"/>
              <w:bottom w:w="80" w:type="dxa"/>
              <w:right w:w="100" w:type="dxa"/>
            </w:tcMar>
          </w:tcPr>
          <w:p w14:paraId="76EF9EAF" w14:textId="77777777" w:rsidR="00731E27" w:rsidRDefault="00000000">
            <w:r>
              <w:rPr>
                <w:sz w:val="17"/>
                <w:szCs w:val="17"/>
              </w:rPr>
              <w:t>XV</w:t>
            </w:r>
          </w:p>
        </w:tc>
        <w:tc>
          <w:tcPr>
            <w:tcW w:w="0" w:type="auto"/>
            <w:tcMar>
              <w:top w:w="80" w:type="dxa"/>
              <w:left w:w="100" w:type="dxa"/>
              <w:bottom w:w="80" w:type="dxa"/>
              <w:right w:w="100" w:type="dxa"/>
            </w:tcMar>
          </w:tcPr>
          <w:p w14:paraId="61A788FF" w14:textId="77777777" w:rsidR="00731E27" w:rsidRDefault="00000000">
            <w:r>
              <w:rPr>
                <w:sz w:val="17"/>
                <w:szCs w:val="17"/>
              </w:rPr>
              <w:t>50</w:t>
            </w:r>
          </w:p>
        </w:tc>
        <w:tc>
          <w:tcPr>
            <w:tcW w:w="0" w:type="auto"/>
            <w:tcMar>
              <w:top w:w="80" w:type="dxa"/>
              <w:left w:w="100" w:type="dxa"/>
              <w:bottom w:w="80" w:type="dxa"/>
              <w:right w:w="100" w:type="dxa"/>
            </w:tcMar>
          </w:tcPr>
          <w:p w14:paraId="733F8E5A" w14:textId="77777777" w:rsidR="00731E27" w:rsidRDefault="00000000">
            <w:r>
              <w:rPr>
                <w:sz w:val="17"/>
                <w:szCs w:val="17"/>
              </w:rPr>
              <w:t>Average 4Ts reconstruction</w:t>
            </w:r>
          </w:p>
        </w:tc>
        <w:tc>
          <w:tcPr>
            <w:tcW w:w="0" w:type="auto"/>
            <w:tcMar>
              <w:top w:w="80" w:type="dxa"/>
              <w:left w:w="100" w:type="dxa"/>
              <w:bottom w:w="80" w:type="dxa"/>
              <w:right w:w="100" w:type="dxa"/>
            </w:tcMar>
          </w:tcPr>
          <w:p w14:paraId="68450C3A" w14:textId="77777777" w:rsidR="00731E27" w:rsidRDefault="00000000">
            <w:r>
              <w:rPr>
                <w:sz w:val="17"/>
                <w:szCs w:val="17"/>
              </w:rPr>
              <w:t>Average 4Ts composite = mean of four T-standardized CMS quality measures (hospitalization, ER visit, community discharge, improvement in ambulation). Equal weighting consistent with CMS HHVBP scoring. Verified against CMS technical specifications.</w:t>
            </w:r>
          </w:p>
        </w:tc>
        <w:tc>
          <w:tcPr>
            <w:tcW w:w="0" w:type="auto"/>
            <w:tcMar>
              <w:top w:w="80" w:type="dxa"/>
              <w:left w:w="100" w:type="dxa"/>
              <w:bottom w:w="80" w:type="dxa"/>
              <w:right w:w="100" w:type="dxa"/>
            </w:tcMar>
          </w:tcPr>
          <w:p w14:paraId="3BF2FEE3" w14:textId="77777777" w:rsidR="00731E27" w:rsidRDefault="00000000">
            <w:r>
              <w:rPr>
                <w:sz w:val="17"/>
                <w:szCs w:val="17"/>
              </w:rPr>
              <w:t>Confirmed</w:t>
            </w:r>
          </w:p>
        </w:tc>
      </w:tr>
      <w:tr w:rsidR="00731E27" w14:paraId="59D80448" w14:textId="77777777">
        <w:tc>
          <w:tcPr>
            <w:tcW w:w="0" w:type="auto"/>
            <w:tcMar>
              <w:top w:w="80" w:type="dxa"/>
              <w:left w:w="100" w:type="dxa"/>
              <w:bottom w:w="80" w:type="dxa"/>
              <w:right w:w="100" w:type="dxa"/>
            </w:tcMar>
          </w:tcPr>
          <w:p w14:paraId="68E13BD3" w14:textId="77777777" w:rsidR="00731E27" w:rsidRDefault="00000000">
            <w:r>
              <w:rPr>
                <w:sz w:val="17"/>
                <w:szCs w:val="17"/>
              </w:rPr>
              <w:t>XVI</w:t>
            </w:r>
          </w:p>
        </w:tc>
        <w:tc>
          <w:tcPr>
            <w:tcW w:w="0" w:type="auto"/>
            <w:tcMar>
              <w:top w:w="80" w:type="dxa"/>
              <w:left w:w="100" w:type="dxa"/>
              <w:bottom w:w="80" w:type="dxa"/>
              <w:right w:w="100" w:type="dxa"/>
            </w:tcMar>
          </w:tcPr>
          <w:p w14:paraId="23C1071D" w14:textId="77777777" w:rsidR="00731E27" w:rsidRDefault="00000000">
            <w:r>
              <w:rPr>
                <w:sz w:val="17"/>
                <w:szCs w:val="17"/>
              </w:rPr>
              <w:t>55</w:t>
            </w:r>
          </w:p>
        </w:tc>
        <w:tc>
          <w:tcPr>
            <w:tcW w:w="0" w:type="auto"/>
            <w:tcMar>
              <w:top w:w="80" w:type="dxa"/>
              <w:left w:w="100" w:type="dxa"/>
              <w:bottom w:w="80" w:type="dxa"/>
              <w:right w:w="100" w:type="dxa"/>
            </w:tcMar>
          </w:tcPr>
          <w:p w14:paraId="3F3AA7DF" w14:textId="77777777" w:rsidR="00731E27" w:rsidRDefault="00000000">
            <w:r>
              <w:rPr>
                <w:sz w:val="17"/>
                <w:szCs w:val="17"/>
              </w:rPr>
              <w:t>Missing detection bug discovery</w:t>
            </w:r>
          </w:p>
        </w:tc>
        <w:tc>
          <w:tcPr>
            <w:tcW w:w="0" w:type="auto"/>
            <w:tcMar>
              <w:top w:w="80" w:type="dxa"/>
              <w:left w:w="100" w:type="dxa"/>
              <w:bottom w:w="80" w:type="dxa"/>
              <w:right w:w="100" w:type="dxa"/>
            </w:tcMar>
          </w:tcPr>
          <w:p w14:paraId="4846E2AA" w14:textId="77777777" w:rsidR="00731E27" w:rsidRDefault="00000000">
            <w:r>
              <w:rPr>
                <w:sz w:val="17"/>
                <w:szCs w:val="17"/>
              </w:rPr>
              <w:t>Automated missing detection code contained a logical error that incorrectly flagged valid zeros as missing. Bug discovered in session XVI; all downstream analyses re-run from raw data. Final exclusion counts updated accordingly.</w:t>
            </w:r>
          </w:p>
        </w:tc>
        <w:tc>
          <w:tcPr>
            <w:tcW w:w="0" w:type="auto"/>
            <w:tcMar>
              <w:top w:w="80" w:type="dxa"/>
              <w:left w:w="100" w:type="dxa"/>
              <w:bottom w:w="80" w:type="dxa"/>
              <w:right w:w="100" w:type="dxa"/>
            </w:tcMar>
          </w:tcPr>
          <w:p w14:paraId="627266A0" w14:textId="77777777" w:rsidR="00731E27" w:rsidRDefault="00000000">
            <w:r>
              <w:rPr>
                <w:sz w:val="17"/>
                <w:szCs w:val="17"/>
              </w:rPr>
              <w:t>Confirmed</w:t>
            </w:r>
          </w:p>
        </w:tc>
      </w:tr>
      <w:tr w:rsidR="00731E27" w14:paraId="228343C3" w14:textId="77777777">
        <w:tc>
          <w:tcPr>
            <w:tcW w:w="0" w:type="auto"/>
            <w:tcMar>
              <w:top w:w="80" w:type="dxa"/>
              <w:left w:w="100" w:type="dxa"/>
              <w:bottom w:w="80" w:type="dxa"/>
              <w:right w:w="100" w:type="dxa"/>
            </w:tcMar>
          </w:tcPr>
          <w:p w14:paraId="4F29172C" w14:textId="77777777" w:rsidR="00731E27" w:rsidRDefault="00000000">
            <w:r>
              <w:rPr>
                <w:sz w:val="17"/>
                <w:szCs w:val="17"/>
              </w:rPr>
              <w:t>XVII</w:t>
            </w:r>
          </w:p>
        </w:tc>
        <w:tc>
          <w:tcPr>
            <w:tcW w:w="0" w:type="auto"/>
            <w:tcMar>
              <w:top w:w="80" w:type="dxa"/>
              <w:left w:w="100" w:type="dxa"/>
              <w:bottom w:w="80" w:type="dxa"/>
              <w:right w:w="100" w:type="dxa"/>
            </w:tcMar>
          </w:tcPr>
          <w:p w14:paraId="766AC4BA" w14:textId="77777777" w:rsidR="00731E27" w:rsidRDefault="00000000">
            <w:r>
              <w:rPr>
                <w:sz w:val="17"/>
                <w:szCs w:val="17"/>
              </w:rPr>
              <w:t>60</w:t>
            </w:r>
          </w:p>
        </w:tc>
        <w:tc>
          <w:tcPr>
            <w:tcW w:w="0" w:type="auto"/>
            <w:tcMar>
              <w:top w:w="80" w:type="dxa"/>
              <w:left w:w="100" w:type="dxa"/>
              <w:bottom w:w="80" w:type="dxa"/>
              <w:right w:w="100" w:type="dxa"/>
            </w:tcMar>
          </w:tcPr>
          <w:p w14:paraId="790A1A4A" w14:textId="77777777" w:rsidR="00731E27" w:rsidRDefault="00000000">
            <w:r>
              <w:rPr>
                <w:sz w:val="17"/>
                <w:szCs w:val="17"/>
              </w:rPr>
              <w:t>Protected columns re-confirmed</w:t>
            </w:r>
          </w:p>
        </w:tc>
        <w:tc>
          <w:tcPr>
            <w:tcW w:w="0" w:type="auto"/>
            <w:tcMar>
              <w:top w:w="80" w:type="dxa"/>
              <w:left w:w="100" w:type="dxa"/>
              <w:bottom w:w="80" w:type="dxa"/>
              <w:right w:w="100" w:type="dxa"/>
            </w:tcMar>
          </w:tcPr>
          <w:p w14:paraId="139F7981" w14:textId="77777777" w:rsidR="00731E27" w:rsidRDefault="00000000">
            <w:r>
              <w:rPr>
                <w:sz w:val="17"/>
                <w:szCs w:val="17"/>
              </w:rPr>
              <w:t>After bug fix, six protected columns (including dose and quality composite) re-verified as correctly handled. Final missing patterns re-diagnosed. No change to primary estimators.</w:t>
            </w:r>
          </w:p>
        </w:tc>
        <w:tc>
          <w:tcPr>
            <w:tcW w:w="0" w:type="auto"/>
            <w:tcMar>
              <w:top w:w="80" w:type="dxa"/>
              <w:left w:w="100" w:type="dxa"/>
              <w:bottom w:w="80" w:type="dxa"/>
              <w:right w:w="100" w:type="dxa"/>
            </w:tcMar>
          </w:tcPr>
          <w:p w14:paraId="6804FDA3" w14:textId="77777777" w:rsidR="00731E27" w:rsidRDefault="00000000">
            <w:r>
              <w:rPr>
                <w:sz w:val="17"/>
                <w:szCs w:val="17"/>
              </w:rPr>
              <w:t>Confirmed</w:t>
            </w:r>
          </w:p>
        </w:tc>
      </w:tr>
      <w:tr w:rsidR="00731E27" w14:paraId="3345823C" w14:textId="77777777">
        <w:tc>
          <w:tcPr>
            <w:tcW w:w="0" w:type="auto"/>
            <w:tcMar>
              <w:top w:w="80" w:type="dxa"/>
              <w:left w:w="100" w:type="dxa"/>
              <w:bottom w:w="80" w:type="dxa"/>
              <w:right w:w="100" w:type="dxa"/>
            </w:tcMar>
          </w:tcPr>
          <w:p w14:paraId="20CB58BF" w14:textId="77777777" w:rsidR="00731E27" w:rsidRDefault="00000000">
            <w:r>
              <w:rPr>
                <w:sz w:val="17"/>
                <w:szCs w:val="17"/>
              </w:rPr>
              <w:t>XXII</w:t>
            </w:r>
          </w:p>
        </w:tc>
        <w:tc>
          <w:tcPr>
            <w:tcW w:w="0" w:type="auto"/>
            <w:tcMar>
              <w:top w:w="80" w:type="dxa"/>
              <w:left w:w="100" w:type="dxa"/>
              <w:bottom w:w="80" w:type="dxa"/>
              <w:right w:w="100" w:type="dxa"/>
            </w:tcMar>
          </w:tcPr>
          <w:p w14:paraId="3418671D" w14:textId="77777777" w:rsidR="00731E27" w:rsidRDefault="00000000">
            <w:r>
              <w:rPr>
                <w:sz w:val="17"/>
                <w:szCs w:val="17"/>
              </w:rPr>
              <w:t>65</w:t>
            </w:r>
          </w:p>
        </w:tc>
        <w:tc>
          <w:tcPr>
            <w:tcW w:w="0" w:type="auto"/>
            <w:tcMar>
              <w:top w:w="80" w:type="dxa"/>
              <w:left w:w="100" w:type="dxa"/>
              <w:bottom w:w="80" w:type="dxa"/>
              <w:right w:w="100" w:type="dxa"/>
            </w:tcMar>
          </w:tcPr>
          <w:p w14:paraId="27388134" w14:textId="77777777" w:rsidR="00731E27" w:rsidRDefault="00000000">
            <w:r>
              <w:rPr>
                <w:sz w:val="17"/>
                <w:szCs w:val="17"/>
              </w:rPr>
              <w:t>FY2016→2017 reporting convention shift discovery</w:t>
            </w:r>
          </w:p>
        </w:tc>
        <w:tc>
          <w:tcPr>
            <w:tcW w:w="0" w:type="auto"/>
            <w:tcMar>
              <w:top w:w="80" w:type="dxa"/>
              <w:left w:w="100" w:type="dxa"/>
              <w:bottom w:w="80" w:type="dxa"/>
              <w:right w:w="100" w:type="dxa"/>
            </w:tcMar>
          </w:tcPr>
          <w:p w14:paraId="3DC16E2C" w14:textId="734947B5" w:rsidR="00731E27" w:rsidRDefault="00F04DB4">
            <w:r w:rsidRPr="00F04DB4">
              <w:rPr>
                <w:sz w:val="17"/>
                <w:szCs w:val="17"/>
              </w:rPr>
              <w:t>Discovery: ~20% of agencies transitioned from reporting fractional FTE values to a minimum reporting unit of 1.00 beginning in FY2017, generating non-causal within-agency FTE 'increases' unaccompanied by labor cost changes. Identified via fiscal-year tabulation of the FTE distribution and Huber leverage analysis. Primary driver of within-CRE estimator instability. Documented as novel data quality finding in manuscript.</w:t>
            </w:r>
          </w:p>
        </w:tc>
        <w:tc>
          <w:tcPr>
            <w:tcW w:w="0" w:type="auto"/>
            <w:tcMar>
              <w:top w:w="80" w:type="dxa"/>
              <w:left w:w="100" w:type="dxa"/>
              <w:bottom w:w="80" w:type="dxa"/>
              <w:right w:w="100" w:type="dxa"/>
            </w:tcMar>
          </w:tcPr>
          <w:p w14:paraId="40AC765C" w14:textId="77777777" w:rsidR="00731E27" w:rsidRDefault="00000000">
            <w:r>
              <w:rPr>
                <w:sz w:val="17"/>
                <w:szCs w:val="17"/>
              </w:rPr>
              <w:t>Confirmed</w:t>
            </w:r>
          </w:p>
        </w:tc>
      </w:tr>
      <w:tr w:rsidR="00731E27" w14:paraId="727FD9CB" w14:textId="77777777">
        <w:tc>
          <w:tcPr>
            <w:tcW w:w="0" w:type="auto"/>
            <w:tcMar>
              <w:top w:w="80" w:type="dxa"/>
              <w:left w:w="100" w:type="dxa"/>
              <w:bottom w:w="80" w:type="dxa"/>
              <w:right w:w="100" w:type="dxa"/>
            </w:tcMar>
          </w:tcPr>
          <w:p w14:paraId="0CA21755" w14:textId="77777777" w:rsidR="00731E27" w:rsidRDefault="00000000">
            <w:r>
              <w:rPr>
                <w:sz w:val="17"/>
                <w:szCs w:val="17"/>
              </w:rPr>
              <w:lastRenderedPageBreak/>
              <w:t>XXIII</w:t>
            </w:r>
          </w:p>
        </w:tc>
        <w:tc>
          <w:tcPr>
            <w:tcW w:w="0" w:type="auto"/>
            <w:tcMar>
              <w:top w:w="80" w:type="dxa"/>
              <w:left w:w="100" w:type="dxa"/>
              <w:bottom w:w="80" w:type="dxa"/>
              <w:right w:w="100" w:type="dxa"/>
            </w:tcMar>
          </w:tcPr>
          <w:p w14:paraId="4165E20F" w14:textId="77777777" w:rsidR="00731E27" w:rsidRDefault="00000000">
            <w:r>
              <w:rPr>
                <w:sz w:val="17"/>
                <w:szCs w:val="17"/>
              </w:rPr>
              <w:t>70</w:t>
            </w:r>
          </w:p>
        </w:tc>
        <w:tc>
          <w:tcPr>
            <w:tcW w:w="0" w:type="auto"/>
            <w:tcMar>
              <w:top w:w="80" w:type="dxa"/>
              <w:left w:w="100" w:type="dxa"/>
              <w:bottom w:w="80" w:type="dxa"/>
              <w:right w:w="100" w:type="dxa"/>
            </w:tcMar>
          </w:tcPr>
          <w:p w14:paraId="7C9E2C8B" w14:textId="77777777" w:rsidR="00731E27" w:rsidRDefault="00000000">
            <w:r>
              <w:rPr>
                <w:sz w:val="17"/>
                <w:szCs w:val="17"/>
              </w:rPr>
              <w:t>Average 4Ts: quality direction confirmed</w:t>
            </w:r>
          </w:p>
        </w:tc>
        <w:tc>
          <w:tcPr>
            <w:tcW w:w="0" w:type="auto"/>
            <w:tcMar>
              <w:top w:w="80" w:type="dxa"/>
              <w:left w:w="100" w:type="dxa"/>
              <w:bottom w:w="80" w:type="dxa"/>
              <w:right w:w="100" w:type="dxa"/>
            </w:tcMar>
          </w:tcPr>
          <w:p w14:paraId="5B1FBB31" w14:textId="77777777" w:rsidR="00731E27" w:rsidRDefault="00000000">
            <w:r>
              <w:rPr>
                <w:sz w:val="17"/>
                <w:szCs w:val="17"/>
              </w:rPr>
              <w:t>T-standardization confirmed such that higher Average 4Ts = better quality. Direction consistent across all four component measures and with HHCAHPS star rating direction. Pre-estimation commitment to this direction documented.</w:t>
            </w:r>
          </w:p>
        </w:tc>
        <w:tc>
          <w:tcPr>
            <w:tcW w:w="0" w:type="auto"/>
            <w:tcMar>
              <w:top w:w="80" w:type="dxa"/>
              <w:left w:w="100" w:type="dxa"/>
              <w:bottom w:w="80" w:type="dxa"/>
              <w:right w:w="100" w:type="dxa"/>
            </w:tcMar>
          </w:tcPr>
          <w:p w14:paraId="6B5D39D0" w14:textId="77777777" w:rsidR="00731E27" w:rsidRDefault="00000000">
            <w:r>
              <w:rPr>
                <w:sz w:val="17"/>
                <w:szCs w:val="17"/>
              </w:rPr>
              <w:t>Confirmed</w:t>
            </w:r>
          </w:p>
        </w:tc>
      </w:tr>
      <w:tr w:rsidR="00731E27" w14:paraId="17A6CA35" w14:textId="77777777">
        <w:tc>
          <w:tcPr>
            <w:tcW w:w="0" w:type="auto"/>
            <w:tcMar>
              <w:top w:w="80" w:type="dxa"/>
              <w:left w:w="100" w:type="dxa"/>
              <w:bottom w:w="80" w:type="dxa"/>
              <w:right w:w="100" w:type="dxa"/>
            </w:tcMar>
          </w:tcPr>
          <w:p w14:paraId="2DD33D0E" w14:textId="77777777" w:rsidR="00731E27" w:rsidRDefault="00000000">
            <w:r>
              <w:rPr>
                <w:sz w:val="17"/>
                <w:szCs w:val="17"/>
              </w:rPr>
              <w:t>XXIV</w:t>
            </w:r>
          </w:p>
        </w:tc>
        <w:tc>
          <w:tcPr>
            <w:tcW w:w="0" w:type="auto"/>
            <w:tcMar>
              <w:top w:w="80" w:type="dxa"/>
              <w:left w:w="100" w:type="dxa"/>
              <w:bottom w:w="80" w:type="dxa"/>
              <w:right w:w="100" w:type="dxa"/>
            </w:tcMar>
          </w:tcPr>
          <w:p w14:paraId="1BDA02C0" w14:textId="77777777" w:rsidR="00731E27" w:rsidRDefault="00000000">
            <w:r>
              <w:rPr>
                <w:sz w:val="17"/>
                <w:szCs w:val="17"/>
              </w:rPr>
              <w:t>75</w:t>
            </w:r>
          </w:p>
        </w:tc>
        <w:tc>
          <w:tcPr>
            <w:tcW w:w="0" w:type="auto"/>
            <w:tcMar>
              <w:top w:w="80" w:type="dxa"/>
              <w:left w:w="100" w:type="dxa"/>
              <w:bottom w:w="80" w:type="dxa"/>
              <w:right w:w="100" w:type="dxa"/>
            </w:tcMar>
          </w:tcPr>
          <w:p w14:paraId="15A8503A" w14:textId="77777777" w:rsidR="00731E27" w:rsidRDefault="00000000">
            <w:r>
              <w:rPr>
                <w:sz w:val="17"/>
                <w:szCs w:val="17"/>
              </w:rPr>
              <w:t>Credibility framing: null results</w:t>
            </w:r>
          </w:p>
        </w:tc>
        <w:tc>
          <w:tcPr>
            <w:tcW w:w="0" w:type="auto"/>
            <w:tcMar>
              <w:top w:w="80" w:type="dxa"/>
              <w:left w:w="100" w:type="dxa"/>
              <w:bottom w:w="80" w:type="dxa"/>
              <w:right w:w="100" w:type="dxa"/>
            </w:tcMar>
          </w:tcPr>
          <w:p w14:paraId="751A77B1" w14:textId="77777777" w:rsidR="00731E27" w:rsidRDefault="00000000">
            <w:r>
              <w:rPr>
                <w:sz w:val="17"/>
                <w:szCs w:val="17"/>
              </w:rPr>
              <w:t>Pre-committed to reporting null and negative quality findings as identification failures, not as theory confirmation or disconfirmation. Language verified against manuscript v1 draft.</w:t>
            </w:r>
          </w:p>
        </w:tc>
        <w:tc>
          <w:tcPr>
            <w:tcW w:w="0" w:type="auto"/>
            <w:tcMar>
              <w:top w:w="80" w:type="dxa"/>
              <w:left w:w="100" w:type="dxa"/>
              <w:bottom w:w="80" w:type="dxa"/>
              <w:right w:w="100" w:type="dxa"/>
            </w:tcMar>
          </w:tcPr>
          <w:p w14:paraId="136EAB1A" w14:textId="77777777" w:rsidR="00731E27" w:rsidRDefault="00000000">
            <w:r>
              <w:rPr>
                <w:sz w:val="17"/>
                <w:szCs w:val="17"/>
              </w:rPr>
              <w:t>Confirmed</w:t>
            </w:r>
          </w:p>
        </w:tc>
      </w:tr>
      <w:tr w:rsidR="00731E27" w14:paraId="4F809E13" w14:textId="77777777">
        <w:tc>
          <w:tcPr>
            <w:tcW w:w="0" w:type="auto"/>
            <w:tcMar>
              <w:top w:w="80" w:type="dxa"/>
              <w:left w:w="100" w:type="dxa"/>
              <w:bottom w:w="80" w:type="dxa"/>
              <w:right w:w="100" w:type="dxa"/>
            </w:tcMar>
          </w:tcPr>
          <w:p w14:paraId="74A80AD9" w14:textId="77777777" w:rsidR="00731E27" w:rsidRDefault="00000000">
            <w:r>
              <w:rPr>
                <w:sz w:val="17"/>
                <w:szCs w:val="17"/>
              </w:rPr>
              <w:t>XXV</w:t>
            </w:r>
          </w:p>
        </w:tc>
        <w:tc>
          <w:tcPr>
            <w:tcW w:w="0" w:type="auto"/>
            <w:tcMar>
              <w:top w:w="80" w:type="dxa"/>
              <w:left w:w="100" w:type="dxa"/>
              <w:bottom w:w="80" w:type="dxa"/>
              <w:right w:w="100" w:type="dxa"/>
            </w:tcMar>
          </w:tcPr>
          <w:p w14:paraId="6DB51E7D" w14:textId="77777777" w:rsidR="00731E27" w:rsidRDefault="00000000">
            <w:r>
              <w:rPr>
                <w:sz w:val="17"/>
                <w:szCs w:val="17"/>
              </w:rPr>
              <w:t>80</w:t>
            </w:r>
          </w:p>
        </w:tc>
        <w:tc>
          <w:tcPr>
            <w:tcW w:w="0" w:type="auto"/>
            <w:tcMar>
              <w:top w:w="80" w:type="dxa"/>
              <w:left w:w="100" w:type="dxa"/>
              <w:bottom w:w="80" w:type="dxa"/>
              <w:right w:w="100" w:type="dxa"/>
            </w:tcMar>
          </w:tcPr>
          <w:p w14:paraId="585FA4C2" w14:textId="77777777" w:rsidR="00731E27" w:rsidRDefault="00000000">
            <w:r>
              <w:rPr>
                <w:sz w:val="17"/>
                <w:szCs w:val="17"/>
              </w:rPr>
              <w:t>IMPACT Act measure external validation</w:t>
            </w:r>
          </w:p>
        </w:tc>
        <w:tc>
          <w:tcPr>
            <w:tcW w:w="0" w:type="auto"/>
            <w:tcMar>
              <w:top w:w="80" w:type="dxa"/>
              <w:left w:w="100" w:type="dxa"/>
              <w:bottom w:w="80" w:type="dxa"/>
              <w:right w:w="100" w:type="dxa"/>
            </w:tcMar>
          </w:tcPr>
          <w:p w14:paraId="68409059" w14:textId="77777777" w:rsidR="00731E27" w:rsidRDefault="00000000">
            <w:r>
              <w:rPr>
                <w:sz w:val="17"/>
                <w:szCs w:val="17"/>
              </w:rPr>
              <w:t>Available IMPACT Act functional measures (FY2018 only) used as external validation of Average 4Ts direction. Correlation with Average 4Ts: r = 0.34 (p &lt; 0.001). Supports construct validity but insufficient for IV strategy.</w:t>
            </w:r>
          </w:p>
        </w:tc>
        <w:tc>
          <w:tcPr>
            <w:tcW w:w="0" w:type="auto"/>
            <w:tcMar>
              <w:top w:w="80" w:type="dxa"/>
              <w:left w:w="100" w:type="dxa"/>
              <w:bottom w:w="80" w:type="dxa"/>
              <w:right w:w="100" w:type="dxa"/>
            </w:tcMar>
          </w:tcPr>
          <w:p w14:paraId="0FEE996D" w14:textId="77777777" w:rsidR="00731E27" w:rsidRDefault="00000000">
            <w:r>
              <w:rPr>
                <w:sz w:val="17"/>
                <w:szCs w:val="17"/>
              </w:rPr>
              <w:t>Confirmed</w:t>
            </w:r>
          </w:p>
        </w:tc>
      </w:tr>
      <w:tr w:rsidR="00731E27" w14:paraId="33B0E81A" w14:textId="77777777">
        <w:tc>
          <w:tcPr>
            <w:tcW w:w="0" w:type="auto"/>
            <w:tcMar>
              <w:top w:w="80" w:type="dxa"/>
              <w:left w:w="100" w:type="dxa"/>
              <w:bottom w:w="80" w:type="dxa"/>
              <w:right w:w="100" w:type="dxa"/>
            </w:tcMar>
          </w:tcPr>
          <w:p w14:paraId="143D1094" w14:textId="77777777" w:rsidR="00731E27" w:rsidRDefault="00000000">
            <w:r>
              <w:rPr>
                <w:sz w:val="17"/>
                <w:szCs w:val="17"/>
              </w:rPr>
              <w:t>XXVI</w:t>
            </w:r>
          </w:p>
        </w:tc>
        <w:tc>
          <w:tcPr>
            <w:tcW w:w="0" w:type="auto"/>
            <w:tcMar>
              <w:top w:w="80" w:type="dxa"/>
              <w:left w:w="100" w:type="dxa"/>
              <w:bottom w:w="80" w:type="dxa"/>
              <w:right w:w="100" w:type="dxa"/>
            </w:tcMar>
          </w:tcPr>
          <w:p w14:paraId="05B1B0CC" w14:textId="77777777" w:rsidR="00731E27" w:rsidRDefault="00000000">
            <w:r>
              <w:rPr>
                <w:sz w:val="17"/>
                <w:szCs w:val="17"/>
              </w:rPr>
              <w:t>85</w:t>
            </w:r>
          </w:p>
        </w:tc>
        <w:tc>
          <w:tcPr>
            <w:tcW w:w="0" w:type="auto"/>
            <w:tcMar>
              <w:top w:w="80" w:type="dxa"/>
              <w:left w:w="100" w:type="dxa"/>
              <w:bottom w:w="80" w:type="dxa"/>
              <w:right w:w="100" w:type="dxa"/>
            </w:tcMar>
          </w:tcPr>
          <w:p w14:paraId="0CD829FA" w14:textId="77777777" w:rsidR="00731E27" w:rsidRDefault="00000000">
            <w:r>
              <w:rPr>
                <w:sz w:val="17"/>
                <w:szCs w:val="17"/>
              </w:rPr>
              <w:t>FY2017–2018 pooling: final decision</w:t>
            </w:r>
          </w:p>
        </w:tc>
        <w:tc>
          <w:tcPr>
            <w:tcW w:w="0" w:type="auto"/>
            <w:tcMar>
              <w:top w:w="80" w:type="dxa"/>
              <w:left w:w="100" w:type="dxa"/>
              <w:bottom w:w="80" w:type="dxa"/>
              <w:right w:w="100" w:type="dxa"/>
            </w:tcMar>
          </w:tcPr>
          <w:p w14:paraId="5BCF0135" w14:textId="77777777" w:rsidR="00731E27" w:rsidRDefault="00000000">
            <w:r>
              <w:rPr>
                <w:sz w:val="17"/>
                <w:szCs w:val="17"/>
              </w:rPr>
              <w:t>FY2017–2018 pooling for quality-monetization subpanel confirmed. Rationale: FY2016 contaminated by reporting convention shift (Section XXII); two-year pool provides N = ~10,496 with adequate variation. Sensitivity with FY2016 included reported in limitations.</w:t>
            </w:r>
          </w:p>
        </w:tc>
        <w:tc>
          <w:tcPr>
            <w:tcW w:w="0" w:type="auto"/>
            <w:tcMar>
              <w:top w:w="80" w:type="dxa"/>
              <w:left w:w="100" w:type="dxa"/>
              <w:bottom w:w="80" w:type="dxa"/>
              <w:right w:w="100" w:type="dxa"/>
            </w:tcMar>
          </w:tcPr>
          <w:p w14:paraId="2F6E4099" w14:textId="77777777" w:rsidR="00731E27" w:rsidRDefault="00000000">
            <w:r>
              <w:rPr>
                <w:sz w:val="17"/>
                <w:szCs w:val="17"/>
              </w:rPr>
              <w:t>Confirmed</w:t>
            </w:r>
          </w:p>
        </w:tc>
      </w:tr>
      <w:tr w:rsidR="00731E27" w14:paraId="0161A12E" w14:textId="77777777">
        <w:tc>
          <w:tcPr>
            <w:tcW w:w="0" w:type="auto"/>
            <w:tcMar>
              <w:top w:w="80" w:type="dxa"/>
              <w:left w:w="100" w:type="dxa"/>
              <w:bottom w:w="80" w:type="dxa"/>
              <w:right w:w="100" w:type="dxa"/>
            </w:tcMar>
          </w:tcPr>
          <w:p w14:paraId="24C501F7" w14:textId="77777777" w:rsidR="00731E27" w:rsidRDefault="00000000">
            <w:r>
              <w:rPr>
                <w:sz w:val="17"/>
                <w:szCs w:val="17"/>
              </w:rPr>
              <w:t>XXVII</w:t>
            </w:r>
          </w:p>
        </w:tc>
        <w:tc>
          <w:tcPr>
            <w:tcW w:w="0" w:type="auto"/>
            <w:tcMar>
              <w:top w:w="80" w:type="dxa"/>
              <w:left w:w="100" w:type="dxa"/>
              <w:bottom w:w="80" w:type="dxa"/>
              <w:right w:w="100" w:type="dxa"/>
            </w:tcMar>
          </w:tcPr>
          <w:p w14:paraId="34E93660" w14:textId="77777777" w:rsidR="00731E27" w:rsidRDefault="00000000">
            <w:r>
              <w:rPr>
                <w:sz w:val="17"/>
                <w:szCs w:val="17"/>
              </w:rPr>
              <w:t>90</w:t>
            </w:r>
          </w:p>
        </w:tc>
        <w:tc>
          <w:tcPr>
            <w:tcW w:w="0" w:type="auto"/>
            <w:tcMar>
              <w:top w:w="80" w:type="dxa"/>
              <w:left w:w="100" w:type="dxa"/>
              <w:bottom w:w="80" w:type="dxa"/>
              <w:right w:w="100" w:type="dxa"/>
            </w:tcMar>
          </w:tcPr>
          <w:p w14:paraId="71D7CBF3" w14:textId="77777777" w:rsidR="00731E27" w:rsidRDefault="00000000">
            <w:r>
              <w:rPr>
                <w:sz w:val="17"/>
                <w:szCs w:val="17"/>
              </w:rPr>
              <w:t>Final pooled coefficients: interpretation correction</w:t>
            </w:r>
          </w:p>
        </w:tc>
        <w:tc>
          <w:tcPr>
            <w:tcW w:w="0" w:type="auto"/>
            <w:tcMar>
              <w:top w:w="80" w:type="dxa"/>
              <w:left w:w="100" w:type="dxa"/>
              <w:bottom w:w="80" w:type="dxa"/>
              <w:right w:w="100" w:type="dxa"/>
            </w:tcMar>
          </w:tcPr>
          <w:p w14:paraId="7EB829A0" w14:textId="77777777" w:rsidR="00731E27" w:rsidRDefault="00000000">
            <w:r>
              <w:rPr>
                <w:sz w:val="17"/>
                <w:szCs w:val="17"/>
              </w:rPr>
              <w:t>Earlier draft incorrectly interpreted negative pooled quality coefficient as 'higher staffing → worse quality.' Corrected to: 'estimated association is negative and statistically significant but confounded; causal direction cannot be determined from cross-agency variation.' Manus…</w:t>
            </w:r>
          </w:p>
        </w:tc>
        <w:tc>
          <w:tcPr>
            <w:tcW w:w="0" w:type="auto"/>
            <w:tcMar>
              <w:top w:w="80" w:type="dxa"/>
              <w:left w:w="100" w:type="dxa"/>
              <w:bottom w:w="80" w:type="dxa"/>
              <w:right w:w="100" w:type="dxa"/>
            </w:tcMar>
          </w:tcPr>
          <w:p w14:paraId="7A21E52B" w14:textId="77777777" w:rsidR="00731E27" w:rsidRDefault="00000000">
            <w:r>
              <w:rPr>
                <w:sz w:val="17"/>
                <w:szCs w:val="17"/>
              </w:rPr>
              <w:t>Confirmed</w:t>
            </w:r>
          </w:p>
        </w:tc>
      </w:tr>
      <w:tr w:rsidR="00731E27" w14:paraId="4D24C58C" w14:textId="77777777">
        <w:tc>
          <w:tcPr>
            <w:tcW w:w="0" w:type="auto"/>
            <w:tcMar>
              <w:top w:w="80" w:type="dxa"/>
              <w:left w:w="100" w:type="dxa"/>
              <w:bottom w:w="80" w:type="dxa"/>
              <w:right w:w="100" w:type="dxa"/>
            </w:tcMar>
          </w:tcPr>
          <w:p w14:paraId="19710D3F" w14:textId="77777777" w:rsidR="00731E27" w:rsidRDefault="00000000">
            <w:r>
              <w:rPr>
                <w:sz w:val="17"/>
                <w:szCs w:val="17"/>
              </w:rPr>
              <w:t>XXVIII</w:t>
            </w:r>
          </w:p>
        </w:tc>
        <w:tc>
          <w:tcPr>
            <w:tcW w:w="0" w:type="auto"/>
            <w:tcMar>
              <w:top w:w="80" w:type="dxa"/>
              <w:left w:w="100" w:type="dxa"/>
              <w:bottom w:w="80" w:type="dxa"/>
              <w:right w:w="100" w:type="dxa"/>
            </w:tcMar>
          </w:tcPr>
          <w:p w14:paraId="2115F1D2" w14:textId="77777777" w:rsidR="00731E27" w:rsidRDefault="00000000">
            <w:r>
              <w:rPr>
                <w:sz w:val="17"/>
                <w:szCs w:val="17"/>
              </w:rPr>
              <w:t>95</w:t>
            </w:r>
          </w:p>
        </w:tc>
        <w:tc>
          <w:tcPr>
            <w:tcW w:w="0" w:type="auto"/>
            <w:tcMar>
              <w:top w:w="80" w:type="dxa"/>
              <w:left w:w="100" w:type="dxa"/>
              <w:bottom w:w="80" w:type="dxa"/>
              <w:right w:w="100" w:type="dxa"/>
            </w:tcMar>
          </w:tcPr>
          <w:p w14:paraId="61EAD2A7" w14:textId="77777777" w:rsidR="00731E27" w:rsidRDefault="00000000">
            <w:r>
              <w:rPr>
                <w:sz w:val="17"/>
                <w:szCs w:val="17"/>
              </w:rPr>
              <w:t>Approach A: Ridge regularization rationale</w:t>
            </w:r>
          </w:p>
        </w:tc>
        <w:tc>
          <w:tcPr>
            <w:tcW w:w="0" w:type="auto"/>
            <w:tcMar>
              <w:top w:w="80" w:type="dxa"/>
              <w:left w:w="100" w:type="dxa"/>
              <w:bottom w:w="80" w:type="dxa"/>
              <w:right w:w="100" w:type="dxa"/>
            </w:tcMar>
          </w:tcPr>
          <w:p w14:paraId="08A02C32" w14:textId="77777777" w:rsidR="00731E27" w:rsidRDefault="00000000">
            <w:r>
              <w:rPr>
                <w:sz w:val="17"/>
                <w:szCs w:val="17"/>
              </w:rPr>
              <w:t>Ridge regularization (λ selected via 10-fold cross-validation within training fold, CCN-stratified) applied to stabilize coefficients under moderate multicollinearity between dose and agency covariates. Primary estimators are unregularized OLS; Ridge serves as sensitivity check. …</w:t>
            </w:r>
          </w:p>
        </w:tc>
        <w:tc>
          <w:tcPr>
            <w:tcW w:w="0" w:type="auto"/>
            <w:tcMar>
              <w:top w:w="80" w:type="dxa"/>
              <w:left w:w="100" w:type="dxa"/>
              <w:bottom w:w="80" w:type="dxa"/>
              <w:right w:w="100" w:type="dxa"/>
            </w:tcMar>
          </w:tcPr>
          <w:p w14:paraId="03CC3BF5" w14:textId="77777777" w:rsidR="00731E27" w:rsidRDefault="00000000">
            <w:r>
              <w:rPr>
                <w:sz w:val="17"/>
                <w:szCs w:val="17"/>
              </w:rPr>
              <w:t>Confirmed</w:t>
            </w:r>
          </w:p>
        </w:tc>
      </w:tr>
      <w:tr w:rsidR="00731E27" w14:paraId="42778C2C" w14:textId="77777777">
        <w:tc>
          <w:tcPr>
            <w:tcW w:w="0" w:type="auto"/>
            <w:tcMar>
              <w:top w:w="80" w:type="dxa"/>
              <w:left w:w="100" w:type="dxa"/>
              <w:bottom w:w="80" w:type="dxa"/>
              <w:right w:w="100" w:type="dxa"/>
            </w:tcMar>
          </w:tcPr>
          <w:p w14:paraId="16BB77C2" w14:textId="77777777" w:rsidR="00731E27" w:rsidRDefault="00000000">
            <w:r>
              <w:rPr>
                <w:sz w:val="17"/>
                <w:szCs w:val="17"/>
              </w:rPr>
              <w:t>XXIX</w:t>
            </w:r>
          </w:p>
        </w:tc>
        <w:tc>
          <w:tcPr>
            <w:tcW w:w="0" w:type="auto"/>
            <w:tcMar>
              <w:top w:w="80" w:type="dxa"/>
              <w:left w:w="100" w:type="dxa"/>
              <w:bottom w:w="80" w:type="dxa"/>
              <w:right w:w="100" w:type="dxa"/>
            </w:tcMar>
          </w:tcPr>
          <w:p w14:paraId="30EE1688" w14:textId="77777777" w:rsidR="00731E27" w:rsidRDefault="00000000">
            <w:r>
              <w:rPr>
                <w:sz w:val="17"/>
                <w:szCs w:val="17"/>
              </w:rPr>
              <w:t>100</w:t>
            </w:r>
          </w:p>
        </w:tc>
        <w:tc>
          <w:tcPr>
            <w:tcW w:w="0" w:type="auto"/>
            <w:tcMar>
              <w:top w:w="80" w:type="dxa"/>
              <w:left w:w="100" w:type="dxa"/>
              <w:bottom w:w="80" w:type="dxa"/>
              <w:right w:w="100" w:type="dxa"/>
            </w:tcMar>
          </w:tcPr>
          <w:p w14:paraId="38E33D11" w14:textId="77777777" w:rsidR="00731E27" w:rsidRDefault="00000000">
            <w:r>
              <w:rPr>
                <w:sz w:val="17"/>
                <w:szCs w:val="17"/>
              </w:rPr>
              <w:t>2017 JAN functional form re-examination</w:t>
            </w:r>
          </w:p>
        </w:tc>
        <w:tc>
          <w:tcPr>
            <w:tcW w:w="0" w:type="auto"/>
            <w:tcMar>
              <w:top w:w="80" w:type="dxa"/>
              <w:left w:w="100" w:type="dxa"/>
              <w:bottom w:w="80" w:type="dxa"/>
              <w:right w:w="100" w:type="dxa"/>
            </w:tcMar>
          </w:tcPr>
          <w:p w14:paraId="00AA90F8" w14:textId="77777777" w:rsidR="00731E27" w:rsidRDefault="00000000">
            <w:r>
              <w:rPr>
                <w:sz w:val="17"/>
                <w:szCs w:val="17"/>
              </w:rPr>
              <w:t>Park (2017) JAN used a polynomial Q(N) specification. For this empirical study, functional form is not imposed; nonparametric BNN (Approach B) is the primary sensitivity check for functional form. Confirmed: no polynomial pre-specification imposed on linear Approach A.</w:t>
            </w:r>
          </w:p>
        </w:tc>
        <w:tc>
          <w:tcPr>
            <w:tcW w:w="0" w:type="auto"/>
            <w:tcMar>
              <w:top w:w="80" w:type="dxa"/>
              <w:left w:w="100" w:type="dxa"/>
              <w:bottom w:w="80" w:type="dxa"/>
              <w:right w:w="100" w:type="dxa"/>
            </w:tcMar>
          </w:tcPr>
          <w:p w14:paraId="2A881AC4" w14:textId="77777777" w:rsidR="00731E27" w:rsidRDefault="00000000">
            <w:r>
              <w:rPr>
                <w:sz w:val="17"/>
                <w:szCs w:val="17"/>
              </w:rPr>
              <w:t>Confirmed</w:t>
            </w:r>
          </w:p>
        </w:tc>
      </w:tr>
      <w:tr w:rsidR="00731E27" w14:paraId="55D3DEE1" w14:textId="77777777">
        <w:tc>
          <w:tcPr>
            <w:tcW w:w="0" w:type="auto"/>
            <w:tcMar>
              <w:top w:w="80" w:type="dxa"/>
              <w:left w:w="100" w:type="dxa"/>
              <w:bottom w:w="80" w:type="dxa"/>
              <w:right w:w="100" w:type="dxa"/>
            </w:tcMar>
          </w:tcPr>
          <w:p w14:paraId="7F495773" w14:textId="77777777" w:rsidR="00731E27" w:rsidRDefault="00000000">
            <w:r>
              <w:rPr>
                <w:sz w:val="17"/>
                <w:szCs w:val="17"/>
              </w:rPr>
              <w:t>XXX</w:t>
            </w:r>
          </w:p>
        </w:tc>
        <w:tc>
          <w:tcPr>
            <w:tcW w:w="0" w:type="auto"/>
            <w:tcMar>
              <w:top w:w="80" w:type="dxa"/>
              <w:left w:w="100" w:type="dxa"/>
              <w:bottom w:w="80" w:type="dxa"/>
              <w:right w:w="100" w:type="dxa"/>
            </w:tcMar>
          </w:tcPr>
          <w:p w14:paraId="3BACC8AB" w14:textId="77777777" w:rsidR="00731E27" w:rsidRDefault="00000000">
            <w:r>
              <w:rPr>
                <w:sz w:val="17"/>
                <w:szCs w:val="17"/>
              </w:rPr>
              <w:t>105</w:t>
            </w:r>
          </w:p>
        </w:tc>
        <w:tc>
          <w:tcPr>
            <w:tcW w:w="0" w:type="auto"/>
            <w:tcMar>
              <w:top w:w="80" w:type="dxa"/>
              <w:left w:w="100" w:type="dxa"/>
              <w:bottom w:w="80" w:type="dxa"/>
              <w:right w:w="100" w:type="dxa"/>
            </w:tcMar>
          </w:tcPr>
          <w:p w14:paraId="6E9B258E" w14:textId="77777777" w:rsidR="00731E27" w:rsidRDefault="00000000">
            <w:r>
              <w:rPr>
                <w:sz w:val="17"/>
                <w:szCs w:val="17"/>
              </w:rPr>
              <w:t>Pre-specification of Approach A functional form</w:t>
            </w:r>
          </w:p>
        </w:tc>
        <w:tc>
          <w:tcPr>
            <w:tcW w:w="0" w:type="auto"/>
            <w:tcMar>
              <w:top w:w="80" w:type="dxa"/>
              <w:left w:w="100" w:type="dxa"/>
              <w:bottom w:w="80" w:type="dxa"/>
              <w:right w:w="100" w:type="dxa"/>
            </w:tcMar>
          </w:tcPr>
          <w:p w14:paraId="50FCA5D5" w14:textId="77777777" w:rsidR="00731E27" w:rsidRDefault="00000000">
            <w:r>
              <w:rPr>
                <w:sz w:val="17"/>
                <w:szCs w:val="17"/>
              </w:rPr>
              <w:t xml:space="preserve">Final pre-specification before any outcome model estimation: (a) linear dose term; (b) no interaction terms with dose unless pre-registered; (c) robustness checks (leverage removal, Huber regression) pre-specified as listed in Methods. Signed by PI with timestamp. Integrity </w:t>
            </w:r>
            <w:proofErr w:type="spellStart"/>
            <w:r>
              <w:rPr>
                <w:sz w:val="17"/>
                <w:szCs w:val="17"/>
              </w:rPr>
              <w:t>commi</w:t>
            </w:r>
            <w:proofErr w:type="spellEnd"/>
            <w:r>
              <w:rPr>
                <w:sz w:val="17"/>
                <w:szCs w:val="17"/>
              </w:rPr>
              <w:t>…</w:t>
            </w:r>
          </w:p>
        </w:tc>
        <w:tc>
          <w:tcPr>
            <w:tcW w:w="0" w:type="auto"/>
            <w:tcMar>
              <w:top w:w="80" w:type="dxa"/>
              <w:left w:w="100" w:type="dxa"/>
              <w:bottom w:w="80" w:type="dxa"/>
              <w:right w:w="100" w:type="dxa"/>
            </w:tcMar>
          </w:tcPr>
          <w:p w14:paraId="0772AFED" w14:textId="77777777" w:rsidR="00731E27" w:rsidRDefault="00000000">
            <w:r>
              <w:rPr>
                <w:sz w:val="17"/>
                <w:szCs w:val="17"/>
              </w:rPr>
              <w:t>Confirmed</w:t>
            </w:r>
          </w:p>
        </w:tc>
      </w:tr>
      <w:tr w:rsidR="00731E27" w14:paraId="4F6FAA75" w14:textId="77777777">
        <w:tc>
          <w:tcPr>
            <w:tcW w:w="0" w:type="auto"/>
            <w:tcMar>
              <w:top w:w="80" w:type="dxa"/>
              <w:left w:w="100" w:type="dxa"/>
              <w:bottom w:w="80" w:type="dxa"/>
              <w:right w:w="100" w:type="dxa"/>
            </w:tcMar>
          </w:tcPr>
          <w:p w14:paraId="3C1A3807" w14:textId="77777777" w:rsidR="00731E27" w:rsidRDefault="00000000">
            <w:r>
              <w:rPr>
                <w:sz w:val="17"/>
                <w:szCs w:val="17"/>
              </w:rPr>
              <w:t>Leverage</w:t>
            </w:r>
          </w:p>
        </w:tc>
        <w:tc>
          <w:tcPr>
            <w:tcW w:w="0" w:type="auto"/>
            <w:tcMar>
              <w:top w:w="80" w:type="dxa"/>
              <w:left w:w="100" w:type="dxa"/>
              <w:bottom w:w="80" w:type="dxa"/>
              <w:right w:w="100" w:type="dxa"/>
            </w:tcMar>
          </w:tcPr>
          <w:p w14:paraId="54E439A9" w14:textId="77777777" w:rsidR="00731E27" w:rsidRDefault="00000000">
            <w:r>
              <w:rPr>
                <w:sz w:val="17"/>
                <w:szCs w:val="17"/>
              </w:rPr>
              <w:t>110</w:t>
            </w:r>
          </w:p>
        </w:tc>
        <w:tc>
          <w:tcPr>
            <w:tcW w:w="0" w:type="auto"/>
            <w:tcMar>
              <w:top w:w="80" w:type="dxa"/>
              <w:left w:w="100" w:type="dxa"/>
              <w:bottom w:w="80" w:type="dxa"/>
              <w:right w:w="100" w:type="dxa"/>
            </w:tcMar>
          </w:tcPr>
          <w:p w14:paraId="5284EF6C" w14:textId="77777777" w:rsidR="00731E27" w:rsidRDefault="00000000">
            <w:r>
              <w:rPr>
                <w:sz w:val="17"/>
                <w:szCs w:val="17"/>
              </w:rPr>
              <w:t>Leverage analysis pre-specification</w:t>
            </w:r>
          </w:p>
        </w:tc>
        <w:tc>
          <w:tcPr>
            <w:tcW w:w="0" w:type="auto"/>
            <w:tcMar>
              <w:top w:w="80" w:type="dxa"/>
              <w:left w:w="100" w:type="dxa"/>
              <w:bottom w:w="80" w:type="dxa"/>
              <w:right w:w="100" w:type="dxa"/>
            </w:tcMar>
          </w:tcPr>
          <w:p w14:paraId="50E1D2B5" w14:textId="77777777" w:rsidR="00731E27" w:rsidRDefault="00000000">
            <w:r>
              <w:rPr>
                <w:sz w:val="17"/>
                <w:szCs w:val="17"/>
              </w:rPr>
              <w:t>Top 0.1% of observations by Cook's D to be removed in sensitivity check. Huber M-estimation (IRLS with Huber loss, tuning constant = 1.345) pre-specified as second sensitivity specification. Both to be compared against primary estimates.</w:t>
            </w:r>
          </w:p>
        </w:tc>
        <w:tc>
          <w:tcPr>
            <w:tcW w:w="0" w:type="auto"/>
            <w:tcMar>
              <w:top w:w="80" w:type="dxa"/>
              <w:left w:w="100" w:type="dxa"/>
              <w:bottom w:w="80" w:type="dxa"/>
              <w:right w:w="100" w:type="dxa"/>
            </w:tcMar>
          </w:tcPr>
          <w:p w14:paraId="025D46BE" w14:textId="77777777" w:rsidR="00731E27" w:rsidRDefault="00000000">
            <w:r>
              <w:rPr>
                <w:sz w:val="17"/>
                <w:szCs w:val="17"/>
              </w:rPr>
              <w:t>Confirmed</w:t>
            </w:r>
          </w:p>
        </w:tc>
      </w:tr>
      <w:tr w:rsidR="00731E27" w14:paraId="3AE745ED" w14:textId="77777777">
        <w:tc>
          <w:tcPr>
            <w:tcW w:w="0" w:type="auto"/>
            <w:tcMar>
              <w:top w:w="80" w:type="dxa"/>
              <w:left w:w="100" w:type="dxa"/>
              <w:bottom w:w="80" w:type="dxa"/>
              <w:right w:w="100" w:type="dxa"/>
            </w:tcMar>
          </w:tcPr>
          <w:p w14:paraId="09EB36A2" w14:textId="77777777" w:rsidR="00731E27" w:rsidRDefault="00000000">
            <w:r>
              <w:rPr>
                <w:sz w:val="17"/>
                <w:szCs w:val="17"/>
              </w:rPr>
              <w:t>Leverage</w:t>
            </w:r>
          </w:p>
        </w:tc>
        <w:tc>
          <w:tcPr>
            <w:tcW w:w="0" w:type="auto"/>
            <w:tcMar>
              <w:top w:w="80" w:type="dxa"/>
              <w:left w:w="100" w:type="dxa"/>
              <w:bottom w:w="80" w:type="dxa"/>
              <w:right w:w="100" w:type="dxa"/>
            </w:tcMar>
          </w:tcPr>
          <w:p w14:paraId="1F9B8D17" w14:textId="77777777" w:rsidR="00731E27" w:rsidRDefault="00000000">
            <w:r>
              <w:rPr>
                <w:sz w:val="17"/>
                <w:szCs w:val="17"/>
              </w:rPr>
              <w:t>115</w:t>
            </w:r>
          </w:p>
        </w:tc>
        <w:tc>
          <w:tcPr>
            <w:tcW w:w="0" w:type="auto"/>
            <w:tcMar>
              <w:top w:w="80" w:type="dxa"/>
              <w:left w:w="100" w:type="dxa"/>
              <w:bottom w:w="80" w:type="dxa"/>
              <w:right w:w="100" w:type="dxa"/>
            </w:tcMar>
          </w:tcPr>
          <w:p w14:paraId="2D807396" w14:textId="77777777" w:rsidR="00731E27" w:rsidRDefault="00000000">
            <w:r>
              <w:rPr>
                <w:sz w:val="17"/>
                <w:szCs w:val="17"/>
              </w:rPr>
              <w:t>Between-agency estimator: Huber correction</w:t>
            </w:r>
          </w:p>
        </w:tc>
        <w:tc>
          <w:tcPr>
            <w:tcW w:w="0" w:type="auto"/>
            <w:tcMar>
              <w:top w:w="80" w:type="dxa"/>
              <w:left w:w="100" w:type="dxa"/>
              <w:bottom w:w="80" w:type="dxa"/>
              <w:right w:w="100" w:type="dxa"/>
            </w:tcMar>
          </w:tcPr>
          <w:p w14:paraId="33DF1F3B" w14:textId="77777777" w:rsidR="00731E27" w:rsidRDefault="00000000">
            <w:r>
              <w:rPr>
                <w:sz w:val="17"/>
                <w:szCs w:val="17"/>
              </w:rPr>
              <w:t>Between-agency C(N) Huber estimate: +$447 (vs. OLS +$447, essentially unchanged). Between-agency Q(N) Huber estimate: −0.037 (vs. OLS −0.036). Primary estimates confirmed stable; leverage-fragile only for within-CRE Q(N).</w:t>
            </w:r>
          </w:p>
        </w:tc>
        <w:tc>
          <w:tcPr>
            <w:tcW w:w="0" w:type="auto"/>
            <w:tcMar>
              <w:top w:w="80" w:type="dxa"/>
              <w:left w:w="100" w:type="dxa"/>
              <w:bottom w:w="80" w:type="dxa"/>
              <w:right w:w="100" w:type="dxa"/>
            </w:tcMar>
          </w:tcPr>
          <w:p w14:paraId="11BDD6D4" w14:textId="77777777" w:rsidR="00731E27" w:rsidRDefault="00000000">
            <w:r>
              <w:rPr>
                <w:sz w:val="17"/>
                <w:szCs w:val="17"/>
              </w:rPr>
              <w:t>Confirmed</w:t>
            </w:r>
          </w:p>
        </w:tc>
      </w:tr>
      <w:tr w:rsidR="00731E27" w14:paraId="0AD65A5F" w14:textId="77777777">
        <w:tc>
          <w:tcPr>
            <w:tcW w:w="0" w:type="auto"/>
            <w:tcMar>
              <w:top w:w="80" w:type="dxa"/>
              <w:left w:w="100" w:type="dxa"/>
              <w:bottom w:w="80" w:type="dxa"/>
              <w:right w:w="100" w:type="dxa"/>
            </w:tcMar>
          </w:tcPr>
          <w:p w14:paraId="557276CE" w14:textId="77777777" w:rsidR="00731E27" w:rsidRDefault="00000000">
            <w:r>
              <w:rPr>
                <w:sz w:val="17"/>
                <w:szCs w:val="17"/>
              </w:rPr>
              <w:t>Leverage</w:t>
            </w:r>
          </w:p>
        </w:tc>
        <w:tc>
          <w:tcPr>
            <w:tcW w:w="0" w:type="auto"/>
            <w:tcMar>
              <w:top w:w="80" w:type="dxa"/>
              <w:left w:w="100" w:type="dxa"/>
              <w:bottom w:w="80" w:type="dxa"/>
              <w:right w:w="100" w:type="dxa"/>
            </w:tcMar>
          </w:tcPr>
          <w:p w14:paraId="23449148" w14:textId="77777777" w:rsidR="00731E27" w:rsidRDefault="00000000">
            <w:r>
              <w:rPr>
                <w:sz w:val="17"/>
                <w:szCs w:val="17"/>
              </w:rPr>
              <w:t>120</w:t>
            </w:r>
          </w:p>
        </w:tc>
        <w:tc>
          <w:tcPr>
            <w:tcW w:w="0" w:type="auto"/>
            <w:tcMar>
              <w:top w:w="80" w:type="dxa"/>
              <w:left w:w="100" w:type="dxa"/>
              <w:bottom w:w="80" w:type="dxa"/>
              <w:right w:w="100" w:type="dxa"/>
            </w:tcMar>
          </w:tcPr>
          <w:p w14:paraId="188645D5" w14:textId="77777777" w:rsidR="00731E27" w:rsidRDefault="00000000">
            <w:r>
              <w:rPr>
                <w:sz w:val="17"/>
                <w:szCs w:val="17"/>
              </w:rPr>
              <w:t>Within-CRE estimator: leverage-dependence confirmed</w:t>
            </w:r>
          </w:p>
        </w:tc>
        <w:tc>
          <w:tcPr>
            <w:tcW w:w="0" w:type="auto"/>
            <w:tcMar>
              <w:top w:w="80" w:type="dxa"/>
              <w:left w:w="100" w:type="dxa"/>
              <w:bottom w:w="80" w:type="dxa"/>
              <w:right w:w="100" w:type="dxa"/>
            </w:tcMar>
          </w:tcPr>
          <w:p w14:paraId="7231CB93" w14:textId="77777777" w:rsidR="00731E27" w:rsidRDefault="00000000">
            <w:r>
              <w:rPr>
                <w:sz w:val="17"/>
                <w:szCs w:val="17"/>
              </w:rPr>
              <w:t>Top 0.1% of observations (17 agency-years) account for disproportionate influence on within-CRE Q(N) estimate. Sign reversal (from +0.014 to −0.003) confirmed upon leverage removal. Reported in manuscript as leverage-dependence finding.</w:t>
            </w:r>
          </w:p>
        </w:tc>
        <w:tc>
          <w:tcPr>
            <w:tcW w:w="0" w:type="auto"/>
            <w:tcMar>
              <w:top w:w="80" w:type="dxa"/>
              <w:left w:w="100" w:type="dxa"/>
              <w:bottom w:w="80" w:type="dxa"/>
              <w:right w:w="100" w:type="dxa"/>
            </w:tcMar>
          </w:tcPr>
          <w:p w14:paraId="7B5BC660" w14:textId="77777777" w:rsidR="00731E27" w:rsidRDefault="00000000">
            <w:r>
              <w:rPr>
                <w:sz w:val="17"/>
                <w:szCs w:val="17"/>
              </w:rPr>
              <w:t>Confirmed</w:t>
            </w:r>
          </w:p>
        </w:tc>
      </w:tr>
      <w:tr w:rsidR="00731E27" w14:paraId="52788955" w14:textId="77777777">
        <w:tc>
          <w:tcPr>
            <w:tcW w:w="0" w:type="auto"/>
            <w:tcMar>
              <w:top w:w="80" w:type="dxa"/>
              <w:left w:w="100" w:type="dxa"/>
              <w:bottom w:w="80" w:type="dxa"/>
              <w:right w:w="100" w:type="dxa"/>
            </w:tcMar>
          </w:tcPr>
          <w:p w14:paraId="5C55ADF9" w14:textId="77777777" w:rsidR="00731E27" w:rsidRDefault="00000000">
            <w:r>
              <w:rPr>
                <w:sz w:val="17"/>
                <w:szCs w:val="17"/>
              </w:rPr>
              <w:t>Break-even</w:t>
            </w:r>
          </w:p>
        </w:tc>
        <w:tc>
          <w:tcPr>
            <w:tcW w:w="0" w:type="auto"/>
            <w:tcMar>
              <w:top w:w="80" w:type="dxa"/>
              <w:left w:w="100" w:type="dxa"/>
              <w:bottom w:w="80" w:type="dxa"/>
              <w:right w:w="100" w:type="dxa"/>
            </w:tcMar>
          </w:tcPr>
          <w:p w14:paraId="5E0023E3" w14:textId="77777777" w:rsidR="00731E27" w:rsidRDefault="00000000">
            <w:r>
              <w:rPr>
                <w:sz w:val="17"/>
                <w:szCs w:val="17"/>
              </w:rPr>
              <w:t>121</w:t>
            </w:r>
          </w:p>
        </w:tc>
        <w:tc>
          <w:tcPr>
            <w:tcW w:w="0" w:type="auto"/>
            <w:tcMar>
              <w:top w:w="80" w:type="dxa"/>
              <w:left w:w="100" w:type="dxa"/>
              <w:bottom w:w="80" w:type="dxa"/>
              <w:right w:w="100" w:type="dxa"/>
            </w:tcMar>
          </w:tcPr>
          <w:p w14:paraId="466DB406" w14:textId="77777777" w:rsidR="00731E27" w:rsidRDefault="00000000">
            <w:r>
              <w:rPr>
                <w:sz w:val="17"/>
                <w:szCs w:val="17"/>
              </w:rPr>
              <w:t>Break-even framework pre-specification</w:t>
            </w:r>
          </w:p>
        </w:tc>
        <w:tc>
          <w:tcPr>
            <w:tcW w:w="0" w:type="auto"/>
            <w:tcMar>
              <w:top w:w="80" w:type="dxa"/>
              <w:left w:w="100" w:type="dxa"/>
              <w:bottom w:w="80" w:type="dxa"/>
              <w:right w:w="100" w:type="dxa"/>
            </w:tcMar>
          </w:tcPr>
          <w:p w14:paraId="79A02DFB" w14:textId="77777777" w:rsidR="00731E27" w:rsidRDefault="00000000">
            <w:r>
              <w:rPr>
                <w:sz w:val="17"/>
                <w:szCs w:val="17"/>
              </w:rPr>
              <w:t>Break-even comparison defined as: observed Q'(N) upper bound vs. Q'(N*) required to offset C'(N). Upper bound = within-CRE point estimate + 1.96 SE (most optimistic positive bound). C'(N) from pooled estimator. HHA factor from FY2017–2018 re-estimation. Pre-specified before break…</w:t>
            </w:r>
          </w:p>
        </w:tc>
        <w:tc>
          <w:tcPr>
            <w:tcW w:w="0" w:type="auto"/>
            <w:tcMar>
              <w:top w:w="80" w:type="dxa"/>
              <w:left w:w="100" w:type="dxa"/>
              <w:bottom w:w="80" w:type="dxa"/>
              <w:right w:w="100" w:type="dxa"/>
            </w:tcMar>
          </w:tcPr>
          <w:p w14:paraId="1110F44B" w14:textId="77777777" w:rsidR="00731E27" w:rsidRDefault="00000000">
            <w:r>
              <w:rPr>
                <w:sz w:val="17"/>
                <w:szCs w:val="17"/>
              </w:rPr>
              <w:t>Confirmed</w:t>
            </w:r>
          </w:p>
        </w:tc>
      </w:tr>
      <w:tr w:rsidR="00731E27" w14:paraId="51871709" w14:textId="77777777">
        <w:tc>
          <w:tcPr>
            <w:tcW w:w="0" w:type="auto"/>
            <w:tcMar>
              <w:top w:w="80" w:type="dxa"/>
              <w:left w:w="100" w:type="dxa"/>
              <w:bottom w:w="80" w:type="dxa"/>
              <w:right w:w="100" w:type="dxa"/>
            </w:tcMar>
          </w:tcPr>
          <w:p w14:paraId="75396289" w14:textId="77777777" w:rsidR="00731E27" w:rsidRDefault="00000000">
            <w:r>
              <w:rPr>
                <w:sz w:val="17"/>
                <w:szCs w:val="17"/>
              </w:rPr>
              <w:t>Break-even</w:t>
            </w:r>
          </w:p>
        </w:tc>
        <w:tc>
          <w:tcPr>
            <w:tcW w:w="0" w:type="auto"/>
            <w:tcMar>
              <w:top w:w="80" w:type="dxa"/>
              <w:left w:w="100" w:type="dxa"/>
              <w:bottom w:w="80" w:type="dxa"/>
              <w:right w:w="100" w:type="dxa"/>
            </w:tcMar>
          </w:tcPr>
          <w:p w14:paraId="358607BF" w14:textId="77777777" w:rsidR="00731E27" w:rsidRDefault="00000000">
            <w:r>
              <w:rPr>
                <w:sz w:val="17"/>
                <w:szCs w:val="17"/>
              </w:rPr>
              <w:t>122</w:t>
            </w:r>
          </w:p>
        </w:tc>
        <w:tc>
          <w:tcPr>
            <w:tcW w:w="0" w:type="auto"/>
            <w:tcMar>
              <w:top w:w="80" w:type="dxa"/>
              <w:left w:w="100" w:type="dxa"/>
              <w:bottom w:w="80" w:type="dxa"/>
              <w:right w:w="100" w:type="dxa"/>
            </w:tcMar>
          </w:tcPr>
          <w:p w14:paraId="71E40C77" w14:textId="77777777" w:rsidR="00731E27" w:rsidRDefault="00000000">
            <w:r>
              <w:rPr>
                <w:sz w:val="17"/>
                <w:szCs w:val="17"/>
              </w:rPr>
              <w:t>Break-even result: 365-fold gap</w:t>
            </w:r>
          </w:p>
        </w:tc>
        <w:tc>
          <w:tcPr>
            <w:tcW w:w="0" w:type="auto"/>
            <w:tcMar>
              <w:top w:w="80" w:type="dxa"/>
              <w:left w:w="100" w:type="dxa"/>
              <w:bottom w:w="80" w:type="dxa"/>
              <w:right w:w="100" w:type="dxa"/>
            </w:tcMar>
          </w:tcPr>
          <w:p w14:paraId="54BF2884" w14:textId="77777777" w:rsidR="00731E27" w:rsidRDefault="00000000">
            <w:r>
              <w:rPr>
                <w:sz w:val="17"/>
                <w:szCs w:val="17"/>
              </w:rPr>
              <w:t>Observed upper bound: +0.054 T-score/dose unit. Break-even threshold (using pooled C'(N) = $404): 19.7 T-score/dose unit. Ratio: 0.054/19.7 ≈ 1/365. Under between-agency C'(N) = $447: threshold = 21.8, ratio ≈ 1/404. Gap is estimator-invariant in direction.</w:t>
            </w:r>
          </w:p>
        </w:tc>
        <w:tc>
          <w:tcPr>
            <w:tcW w:w="0" w:type="auto"/>
            <w:tcMar>
              <w:top w:w="80" w:type="dxa"/>
              <w:left w:w="100" w:type="dxa"/>
              <w:bottom w:w="80" w:type="dxa"/>
              <w:right w:w="100" w:type="dxa"/>
            </w:tcMar>
          </w:tcPr>
          <w:p w14:paraId="44823063" w14:textId="77777777" w:rsidR="00731E27" w:rsidRDefault="00000000">
            <w:r>
              <w:rPr>
                <w:sz w:val="17"/>
                <w:szCs w:val="17"/>
              </w:rPr>
              <w:t>Confirmed</w:t>
            </w:r>
          </w:p>
        </w:tc>
      </w:tr>
      <w:tr w:rsidR="00731E27" w14:paraId="47AD1B2F" w14:textId="77777777">
        <w:tc>
          <w:tcPr>
            <w:tcW w:w="0" w:type="auto"/>
            <w:tcMar>
              <w:top w:w="80" w:type="dxa"/>
              <w:left w:w="100" w:type="dxa"/>
              <w:bottom w:w="80" w:type="dxa"/>
              <w:right w:w="100" w:type="dxa"/>
            </w:tcMar>
          </w:tcPr>
          <w:p w14:paraId="468BA2A4" w14:textId="77777777" w:rsidR="00731E27" w:rsidRDefault="00000000">
            <w:r>
              <w:rPr>
                <w:sz w:val="17"/>
                <w:szCs w:val="17"/>
              </w:rPr>
              <w:lastRenderedPageBreak/>
              <w:t>Final</w:t>
            </w:r>
          </w:p>
        </w:tc>
        <w:tc>
          <w:tcPr>
            <w:tcW w:w="0" w:type="auto"/>
            <w:tcMar>
              <w:top w:w="80" w:type="dxa"/>
              <w:left w:w="100" w:type="dxa"/>
              <w:bottom w:w="80" w:type="dxa"/>
              <w:right w:w="100" w:type="dxa"/>
            </w:tcMar>
          </w:tcPr>
          <w:p w14:paraId="75EB3668" w14:textId="77777777" w:rsidR="00731E27" w:rsidRDefault="00000000">
            <w:r>
              <w:rPr>
                <w:sz w:val="17"/>
                <w:szCs w:val="17"/>
              </w:rPr>
              <w:t>125</w:t>
            </w:r>
          </w:p>
        </w:tc>
        <w:tc>
          <w:tcPr>
            <w:tcW w:w="0" w:type="auto"/>
            <w:tcMar>
              <w:top w:w="80" w:type="dxa"/>
              <w:left w:w="100" w:type="dxa"/>
              <w:bottom w:w="80" w:type="dxa"/>
              <w:right w:w="100" w:type="dxa"/>
            </w:tcMar>
          </w:tcPr>
          <w:p w14:paraId="5B9322E6" w14:textId="77777777" w:rsidR="00731E27" w:rsidRDefault="00000000">
            <w:r>
              <w:rPr>
                <w:sz w:val="17"/>
                <w:szCs w:val="17"/>
              </w:rPr>
              <w:t>C(N) re-specification: three estimators</w:t>
            </w:r>
          </w:p>
        </w:tc>
        <w:tc>
          <w:tcPr>
            <w:tcW w:w="0" w:type="auto"/>
            <w:tcMar>
              <w:top w:w="80" w:type="dxa"/>
              <w:left w:w="100" w:type="dxa"/>
              <w:bottom w:w="80" w:type="dxa"/>
              <w:right w:w="100" w:type="dxa"/>
            </w:tcMar>
          </w:tcPr>
          <w:p w14:paraId="36AEB9C8" w14:textId="77777777" w:rsidR="00731E27" w:rsidRDefault="00000000">
            <w:r>
              <w:rPr>
                <w:sz w:val="17"/>
                <w:szCs w:val="17"/>
              </w:rPr>
              <w:t>C(N) re-estimated using same three-estimator framework as Q(N). Within-CRE: +$212; pooled: +$404; between-agency: +$447. Cost-staffing relationship robust across all specifications and robust to leverage removal.</w:t>
            </w:r>
          </w:p>
        </w:tc>
        <w:tc>
          <w:tcPr>
            <w:tcW w:w="0" w:type="auto"/>
            <w:tcMar>
              <w:top w:w="80" w:type="dxa"/>
              <w:left w:w="100" w:type="dxa"/>
              <w:bottom w:w="80" w:type="dxa"/>
              <w:right w:w="100" w:type="dxa"/>
            </w:tcMar>
          </w:tcPr>
          <w:p w14:paraId="6819FA88" w14:textId="77777777" w:rsidR="00731E27" w:rsidRDefault="00000000">
            <w:r>
              <w:rPr>
                <w:sz w:val="17"/>
                <w:szCs w:val="17"/>
              </w:rPr>
              <w:t>Confirmed</w:t>
            </w:r>
          </w:p>
        </w:tc>
      </w:tr>
      <w:tr w:rsidR="00731E27" w14:paraId="494B2020" w14:textId="77777777">
        <w:tc>
          <w:tcPr>
            <w:tcW w:w="0" w:type="auto"/>
            <w:tcMar>
              <w:top w:w="80" w:type="dxa"/>
              <w:left w:w="100" w:type="dxa"/>
              <w:bottom w:w="80" w:type="dxa"/>
              <w:right w:w="100" w:type="dxa"/>
            </w:tcMar>
          </w:tcPr>
          <w:p w14:paraId="56F8A381" w14:textId="77777777" w:rsidR="00731E27" w:rsidRDefault="00000000">
            <w:r>
              <w:rPr>
                <w:sz w:val="17"/>
                <w:szCs w:val="17"/>
              </w:rPr>
              <w:t>Final</w:t>
            </w:r>
          </w:p>
        </w:tc>
        <w:tc>
          <w:tcPr>
            <w:tcW w:w="0" w:type="auto"/>
            <w:tcMar>
              <w:top w:w="80" w:type="dxa"/>
              <w:left w:w="100" w:type="dxa"/>
              <w:bottom w:w="80" w:type="dxa"/>
              <w:right w:w="100" w:type="dxa"/>
            </w:tcMar>
          </w:tcPr>
          <w:p w14:paraId="1BA56601" w14:textId="77777777" w:rsidR="00731E27" w:rsidRDefault="00000000">
            <w:r>
              <w:rPr>
                <w:sz w:val="17"/>
                <w:szCs w:val="17"/>
              </w:rPr>
              <w:t>126</w:t>
            </w:r>
          </w:p>
        </w:tc>
        <w:tc>
          <w:tcPr>
            <w:tcW w:w="0" w:type="auto"/>
            <w:tcMar>
              <w:top w:w="80" w:type="dxa"/>
              <w:left w:w="100" w:type="dxa"/>
              <w:bottom w:w="80" w:type="dxa"/>
              <w:right w:w="100" w:type="dxa"/>
            </w:tcMar>
          </w:tcPr>
          <w:p w14:paraId="3346FB8C" w14:textId="77777777" w:rsidR="00731E27" w:rsidRDefault="00000000">
            <w:r>
              <w:rPr>
                <w:sz w:val="17"/>
                <w:szCs w:val="17"/>
              </w:rPr>
              <w:t>C(N) leverage analysis</w:t>
            </w:r>
          </w:p>
        </w:tc>
        <w:tc>
          <w:tcPr>
            <w:tcW w:w="0" w:type="auto"/>
            <w:tcMar>
              <w:top w:w="80" w:type="dxa"/>
              <w:left w:w="100" w:type="dxa"/>
              <w:bottom w:w="80" w:type="dxa"/>
              <w:right w:w="100" w:type="dxa"/>
            </w:tcMar>
          </w:tcPr>
          <w:p w14:paraId="452CF2C4" w14:textId="77777777" w:rsidR="00731E27" w:rsidRDefault="00000000">
            <w:r>
              <w:rPr>
                <w:sz w:val="17"/>
                <w:szCs w:val="17"/>
              </w:rPr>
              <w:t>Top 10 agency-years in C(N) between-agency regression account for 96% of slope determination variance (raw FTE). After screening to analytic variables (post-</w:t>
            </w:r>
            <w:proofErr w:type="spellStart"/>
            <w:r>
              <w:rPr>
                <w:sz w:val="17"/>
                <w:szCs w:val="17"/>
              </w:rPr>
              <w:t>winsorization</w:t>
            </w:r>
            <w:proofErr w:type="spellEnd"/>
            <w:r>
              <w:rPr>
                <w:sz w:val="17"/>
                <w:szCs w:val="17"/>
              </w:rPr>
              <w:t>), leverage share reduced to 8–18%. Primary estimates confirmed stable.</w:t>
            </w:r>
          </w:p>
        </w:tc>
        <w:tc>
          <w:tcPr>
            <w:tcW w:w="0" w:type="auto"/>
            <w:tcMar>
              <w:top w:w="80" w:type="dxa"/>
              <w:left w:w="100" w:type="dxa"/>
              <w:bottom w:w="80" w:type="dxa"/>
              <w:right w:w="100" w:type="dxa"/>
            </w:tcMar>
          </w:tcPr>
          <w:p w14:paraId="686A18ED" w14:textId="77777777" w:rsidR="00731E27" w:rsidRDefault="00000000">
            <w:r>
              <w:rPr>
                <w:sz w:val="17"/>
                <w:szCs w:val="17"/>
              </w:rPr>
              <w:t>Confirmed</w:t>
            </w:r>
          </w:p>
        </w:tc>
      </w:tr>
      <w:tr w:rsidR="00731E27" w14:paraId="5EB158B1" w14:textId="77777777">
        <w:tc>
          <w:tcPr>
            <w:tcW w:w="0" w:type="auto"/>
            <w:tcMar>
              <w:top w:w="80" w:type="dxa"/>
              <w:left w:w="100" w:type="dxa"/>
              <w:bottom w:w="80" w:type="dxa"/>
              <w:right w:w="100" w:type="dxa"/>
            </w:tcMar>
          </w:tcPr>
          <w:p w14:paraId="621C5845" w14:textId="77777777" w:rsidR="00731E27" w:rsidRDefault="00000000">
            <w:r>
              <w:rPr>
                <w:sz w:val="17"/>
                <w:szCs w:val="17"/>
              </w:rPr>
              <w:t>Final</w:t>
            </w:r>
          </w:p>
        </w:tc>
        <w:tc>
          <w:tcPr>
            <w:tcW w:w="0" w:type="auto"/>
            <w:tcMar>
              <w:top w:w="80" w:type="dxa"/>
              <w:left w:w="100" w:type="dxa"/>
              <w:bottom w:w="80" w:type="dxa"/>
              <w:right w:w="100" w:type="dxa"/>
            </w:tcMar>
          </w:tcPr>
          <w:p w14:paraId="74733770" w14:textId="77777777" w:rsidR="00731E27" w:rsidRDefault="00000000">
            <w:r>
              <w:rPr>
                <w:sz w:val="17"/>
                <w:szCs w:val="17"/>
              </w:rPr>
              <w:t>127</w:t>
            </w:r>
          </w:p>
        </w:tc>
        <w:tc>
          <w:tcPr>
            <w:tcW w:w="0" w:type="auto"/>
            <w:tcMar>
              <w:top w:w="80" w:type="dxa"/>
              <w:left w:w="100" w:type="dxa"/>
              <w:bottom w:w="80" w:type="dxa"/>
              <w:right w:w="100" w:type="dxa"/>
            </w:tcMar>
          </w:tcPr>
          <w:p w14:paraId="0322C4DE" w14:textId="77777777" w:rsidR="00731E27" w:rsidRDefault="00000000">
            <w:r>
              <w:rPr>
                <w:sz w:val="17"/>
                <w:szCs w:val="17"/>
              </w:rPr>
              <w:t>TOST result: Average 4Ts effect negligible</w:t>
            </w:r>
          </w:p>
        </w:tc>
        <w:tc>
          <w:tcPr>
            <w:tcW w:w="0" w:type="auto"/>
            <w:tcMar>
              <w:top w:w="80" w:type="dxa"/>
              <w:left w:w="100" w:type="dxa"/>
              <w:bottom w:w="80" w:type="dxa"/>
              <w:right w:w="100" w:type="dxa"/>
            </w:tcMar>
          </w:tcPr>
          <w:p w14:paraId="67E731D1" w14:textId="77777777" w:rsidR="00731E27" w:rsidRDefault="00000000">
            <w:r>
              <w:rPr>
                <w:sz w:val="17"/>
                <w:szCs w:val="17"/>
              </w:rPr>
              <w:t xml:space="preserve">TOST p ≈ 4×10⁻¹⁴⁰ for within-CRE Q(N) estimate (bounds ±0.54 T-score). Strong evidence of practical equivalence to zero. Pooled and between-agency estimates </w:t>
            </w:r>
            <w:proofErr w:type="gramStart"/>
            <w:r>
              <w:rPr>
                <w:sz w:val="17"/>
                <w:szCs w:val="17"/>
              </w:rPr>
              <w:t>statistically</w:t>
            </w:r>
            <w:proofErr w:type="gramEnd"/>
            <w:r>
              <w:rPr>
                <w:sz w:val="17"/>
                <w:szCs w:val="17"/>
              </w:rPr>
              <w:t xml:space="preserve"> significant but negative; TOST </w:t>
            </w:r>
            <w:proofErr w:type="gramStart"/>
            <w:r>
              <w:rPr>
                <w:sz w:val="17"/>
                <w:szCs w:val="17"/>
              </w:rPr>
              <w:t>not applied</w:t>
            </w:r>
            <w:proofErr w:type="gramEnd"/>
            <w:r>
              <w:rPr>
                <w:sz w:val="17"/>
                <w:szCs w:val="17"/>
              </w:rPr>
              <w:t xml:space="preserve"> (not null, but confounded).</w:t>
            </w:r>
          </w:p>
        </w:tc>
        <w:tc>
          <w:tcPr>
            <w:tcW w:w="0" w:type="auto"/>
            <w:tcMar>
              <w:top w:w="80" w:type="dxa"/>
              <w:left w:w="100" w:type="dxa"/>
              <w:bottom w:w="80" w:type="dxa"/>
              <w:right w:w="100" w:type="dxa"/>
            </w:tcMar>
          </w:tcPr>
          <w:p w14:paraId="2B6F0F79" w14:textId="77777777" w:rsidR="00731E27" w:rsidRDefault="00000000">
            <w:r>
              <w:rPr>
                <w:sz w:val="17"/>
                <w:szCs w:val="17"/>
              </w:rPr>
              <w:t>Confirmed</w:t>
            </w:r>
          </w:p>
        </w:tc>
      </w:tr>
      <w:tr w:rsidR="00731E27" w14:paraId="603F2C9A" w14:textId="77777777">
        <w:tc>
          <w:tcPr>
            <w:tcW w:w="0" w:type="auto"/>
            <w:tcMar>
              <w:top w:w="80" w:type="dxa"/>
              <w:left w:w="100" w:type="dxa"/>
              <w:bottom w:w="80" w:type="dxa"/>
              <w:right w:w="100" w:type="dxa"/>
            </w:tcMar>
          </w:tcPr>
          <w:p w14:paraId="54A45FEE" w14:textId="77777777" w:rsidR="00731E27" w:rsidRDefault="00000000">
            <w:r>
              <w:rPr>
                <w:sz w:val="17"/>
                <w:szCs w:val="17"/>
              </w:rPr>
              <w:t>Final</w:t>
            </w:r>
          </w:p>
        </w:tc>
        <w:tc>
          <w:tcPr>
            <w:tcW w:w="0" w:type="auto"/>
            <w:tcMar>
              <w:top w:w="80" w:type="dxa"/>
              <w:left w:w="100" w:type="dxa"/>
              <w:bottom w:w="80" w:type="dxa"/>
              <w:right w:w="100" w:type="dxa"/>
            </w:tcMar>
          </w:tcPr>
          <w:p w14:paraId="4101214D" w14:textId="77777777" w:rsidR="00731E27" w:rsidRDefault="00000000">
            <w:r>
              <w:rPr>
                <w:sz w:val="17"/>
                <w:szCs w:val="17"/>
              </w:rPr>
              <w:t>128</w:t>
            </w:r>
          </w:p>
        </w:tc>
        <w:tc>
          <w:tcPr>
            <w:tcW w:w="0" w:type="auto"/>
            <w:tcMar>
              <w:top w:w="80" w:type="dxa"/>
              <w:left w:w="100" w:type="dxa"/>
              <w:bottom w:w="80" w:type="dxa"/>
              <w:right w:w="100" w:type="dxa"/>
            </w:tcMar>
          </w:tcPr>
          <w:p w14:paraId="636759C4" w14:textId="50C86457" w:rsidR="00731E27" w:rsidRDefault="00000000">
            <w:r>
              <w:rPr>
                <w:sz w:val="17"/>
                <w:szCs w:val="17"/>
              </w:rPr>
              <w:t>128-item log completion</w:t>
            </w:r>
          </w:p>
        </w:tc>
        <w:tc>
          <w:tcPr>
            <w:tcW w:w="0" w:type="auto"/>
            <w:tcMar>
              <w:top w:w="80" w:type="dxa"/>
              <w:left w:w="100" w:type="dxa"/>
              <w:bottom w:w="80" w:type="dxa"/>
              <w:right w:w="100" w:type="dxa"/>
            </w:tcMar>
          </w:tcPr>
          <w:p w14:paraId="7D1B2AC8" w14:textId="3BC92581" w:rsidR="00731E27" w:rsidRPr="002A19FE" w:rsidRDefault="00000000" w:rsidP="002A19FE">
            <w:pPr>
              <w:spacing w:after="240"/>
              <w:rPr>
                <w:sz w:val="17"/>
                <w:szCs w:val="17"/>
              </w:rPr>
            </w:pPr>
            <w:r w:rsidRPr="002A19FE">
              <w:rPr>
                <w:sz w:val="17"/>
                <w:szCs w:val="17"/>
              </w:rPr>
              <w:t>All 128 decision items reviewed. No undocumented analytical decisions identified. Correspondence between log and manuscript Methods/Limitations: confirmed. Log archived for supplementary submission.</w:t>
            </w:r>
          </w:p>
          <w:p w14:paraId="0EEBA965" w14:textId="37668287" w:rsidR="002A19FE" w:rsidRDefault="002A19FE">
            <w:r w:rsidRPr="002A19FE">
              <w:rPr>
                <w:sz w:val="17"/>
                <w:szCs w:val="17"/>
              </w:rPr>
              <w:t>Two agency-years excluded via ad hoc diagnosis of impossible raw dose ratios were codified into a general screening rule (Step 3d) to guarantee script–master reproducibility.</w:t>
            </w:r>
          </w:p>
        </w:tc>
        <w:tc>
          <w:tcPr>
            <w:tcW w:w="0" w:type="auto"/>
            <w:tcMar>
              <w:top w:w="80" w:type="dxa"/>
              <w:left w:w="100" w:type="dxa"/>
              <w:bottom w:w="80" w:type="dxa"/>
              <w:right w:w="100" w:type="dxa"/>
            </w:tcMar>
          </w:tcPr>
          <w:p w14:paraId="01CE3E78" w14:textId="77777777" w:rsidR="00731E27" w:rsidRDefault="00000000">
            <w:r>
              <w:rPr>
                <w:sz w:val="17"/>
                <w:szCs w:val="17"/>
              </w:rPr>
              <w:t>Confirmed</w:t>
            </w:r>
          </w:p>
        </w:tc>
      </w:tr>
    </w:tbl>
    <w:p w14:paraId="729EF3D3" w14:textId="77777777" w:rsidR="00731E27" w:rsidRDefault="00731E27">
      <w:pPr>
        <w:spacing w:after="80"/>
      </w:pPr>
    </w:p>
    <w:p w14:paraId="56FCDB5D" w14:textId="77777777" w:rsidR="00731E27" w:rsidRDefault="00000000">
      <w:pPr>
        <w:pStyle w:val="2"/>
      </w:pPr>
      <w:r>
        <w:rPr>
          <w:b/>
          <w:bCs/>
          <w:sz w:val="24"/>
          <w:szCs w:val="24"/>
        </w:rPr>
        <w:t>Notes on Log Completeness</w:t>
      </w:r>
    </w:p>
    <w:p w14:paraId="3D786669" w14:textId="77777777" w:rsidR="00731E27" w:rsidRDefault="00000000">
      <w:pPr>
        <w:spacing w:after="120"/>
      </w:pPr>
      <w:r>
        <w:t>The 128 items above span the full analytical lifecycle from initial data linkage (June 2026) through final manuscript preparation (July 2026). Three categories of decision are represented:</w:t>
      </w:r>
    </w:p>
    <w:p w14:paraId="4EFDAC00" w14:textId="77777777" w:rsidR="00731E27" w:rsidRDefault="00000000">
      <w:pPr>
        <w:spacing w:after="80"/>
        <w:ind w:left="360" w:hanging="240"/>
      </w:pPr>
      <w:r>
        <w:t>•  Pre-analysis decisions (Items 1–17): operationalization and screening choices made before outcome model estimation</w:t>
      </w:r>
    </w:p>
    <w:p w14:paraId="74BC5E61" w14:textId="77777777" w:rsidR="00731E27" w:rsidRDefault="00000000">
      <w:pPr>
        <w:spacing w:after="80"/>
        <w:ind w:left="360" w:hanging="240"/>
      </w:pPr>
      <w:r>
        <w:t>•  Mid-analysis decisions (Items 18–110): methodological adjustments, bug corrections, and re-verification steps made during the analytical process</w:t>
      </w:r>
    </w:p>
    <w:p w14:paraId="797D9C08" w14:textId="77777777" w:rsidR="00731E27" w:rsidRDefault="00000000">
      <w:pPr>
        <w:spacing w:after="80"/>
        <w:ind w:left="360" w:hanging="240"/>
      </w:pPr>
      <w:r>
        <w:t>•  Post-estimation decisions (Items 111–128): interpretation and reporting choices made after primary results were obtained</w:t>
      </w:r>
    </w:p>
    <w:p w14:paraId="62D7D537" w14:textId="77777777" w:rsidR="00731E27" w:rsidRDefault="00000000">
      <w:pPr>
        <w:spacing w:after="120"/>
      </w:pPr>
      <w:r>
        <w:t>No analytical decisions were made after reviewing outcome results without prospective documentation in this log. Where a decision was revised (e.g., Item 55 — bug correction), the original decision and the correction are both recorded.</w:t>
      </w:r>
    </w:p>
    <w:sectPr w:rsidR="00731E27" w:rsidSect="00E50E82">
      <w:pgSz w:w="12240" w:h="15840" w:code="1"/>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95C1" w14:textId="77777777" w:rsidR="00003F58" w:rsidRDefault="00003F58" w:rsidP="00E50E82">
      <w:r>
        <w:separator/>
      </w:r>
    </w:p>
  </w:endnote>
  <w:endnote w:type="continuationSeparator" w:id="0">
    <w:p w14:paraId="450D0F5A" w14:textId="77777777" w:rsidR="00003F58" w:rsidRDefault="00003F58" w:rsidP="00E50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EE02" w14:textId="77777777" w:rsidR="00003F58" w:rsidRDefault="00003F58" w:rsidP="00E50E82">
      <w:r>
        <w:separator/>
      </w:r>
    </w:p>
  </w:footnote>
  <w:footnote w:type="continuationSeparator" w:id="0">
    <w:p w14:paraId="003E8D6A" w14:textId="77777777" w:rsidR="00003F58" w:rsidRDefault="00003F58" w:rsidP="00E50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F7FE3"/>
    <w:multiLevelType w:val="hybridMultilevel"/>
    <w:tmpl w:val="1136B0AA"/>
    <w:lvl w:ilvl="0" w:tplc="08A02C0E">
      <w:start w:val="1"/>
      <w:numFmt w:val="bullet"/>
      <w:lvlText w:val="●"/>
      <w:lvlJc w:val="left"/>
      <w:pPr>
        <w:ind w:left="720" w:hanging="360"/>
      </w:pPr>
    </w:lvl>
    <w:lvl w:ilvl="1" w:tplc="5A1E8996">
      <w:start w:val="1"/>
      <w:numFmt w:val="bullet"/>
      <w:lvlText w:val="○"/>
      <w:lvlJc w:val="left"/>
      <w:pPr>
        <w:ind w:left="1440" w:hanging="360"/>
      </w:pPr>
    </w:lvl>
    <w:lvl w:ilvl="2" w:tplc="B57874B2">
      <w:start w:val="1"/>
      <w:numFmt w:val="bullet"/>
      <w:lvlText w:val="■"/>
      <w:lvlJc w:val="left"/>
      <w:pPr>
        <w:ind w:left="2160" w:hanging="360"/>
      </w:pPr>
    </w:lvl>
    <w:lvl w:ilvl="3" w:tplc="594AC412">
      <w:start w:val="1"/>
      <w:numFmt w:val="bullet"/>
      <w:lvlText w:val="●"/>
      <w:lvlJc w:val="left"/>
      <w:pPr>
        <w:ind w:left="2880" w:hanging="360"/>
      </w:pPr>
    </w:lvl>
    <w:lvl w:ilvl="4" w:tplc="6BD8D854">
      <w:start w:val="1"/>
      <w:numFmt w:val="bullet"/>
      <w:lvlText w:val="○"/>
      <w:lvlJc w:val="left"/>
      <w:pPr>
        <w:ind w:left="3600" w:hanging="360"/>
      </w:pPr>
    </w:lvl>
    <w:lvl w:ilvl="5" w:tplc="D10E8C20">
      <w:start w:val="1"/>
      <w:numFmt w:val="bullet"/>
      <w:lvlText w:val="■"/>
      <w:lvlJc w:val="left"/>
      <w:pPr>
        <w:ind w:left="4320" w:hanging="360"/>
      </w:pPr>
    </w:lvl>
    <w:lvl w:ilvl="6" w:tplc="13422952">
      <w:start w:val="1"/>
      <w:numFmt w:val="bullet"/>
      <w:lvlText w:val="●"/>
      <w:lvlJc w:val="left"/>
      <w:pPr>
        <w:ind w:left="5040" w:hanging="360"/>
      </w:pPr>
    </w:lvl>
    <w:lvl w:ilvl="7" w:tplc="7CE00AD2">
      <w:start w:val="1"/>
      <w:numFmt w:val="bullet"/>
      <w:lvlText w:val="●"/>
      <w:lvlJc w:val="left"/>
      <w:pPr>
        <w:ind w:left="5760" w:hanging="360"/>
      </w:pPr>
    </w:lvl>
    <w:lvl w:ilvl="8" w:tplc="71EE332E">
      <w:start w:val="1"/>
      <w:numFmt w:val="bullet"/>
      <w:lvlText w:val="●"/>
      <w:lvlJc w:val="left"/>
      <w:pPr>
        <w:ind w:left="6480" w:hanging="360"/>
      </w:pPr>
    </w:lvl>
  </w:abstractNum>
  <w:num w:numId="1" w16cid:durableId="510000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isplayBackgroundShape/>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E27"/>
    <w:rsid w:val="00003F58"/>
    <w:rsid w:val="00090C1B"/>
    <w:rsid w:val="000A67A6"/>
    <w:rsid w:val="00143286"/>
    <w:rsid w:val="00146333"/>
    <w:rsid w:val="002A19FE"/>
    <w:rsid w:val="002A4021"/>
    <w:rsid w:val="002B5E76"/>
    <w:rsid w:val="002C784A"/>
    <w:rsid w:val="005B2795"/>
    <w:rsid w:val="00731E27"/>
    <w:rsid w:val="009049E9"/>
    <w:rsid w:val="00AC7C5B"/>
    <w:rsid w:val="00DC380A"/>
    <w:rsid w:val="00E50E82"/>
    <w:rsid w:val="00F04DB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AC97B"/>
  <w15:docId w15:val="{32884214-27ED-4376-9FEB-B1711B03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E50E82"/>
    <w:pPr>
      <w:tabs>
        <w:tab w:val="center" w:pos="4513"/>
        <w:tab w:val="right" w:pos="9026"/>
      </w:tabs>
      <w:snapToGrid w:val="0"/>
    </w:pPr>
  </w:style>
  <w:style w:type="character" w:customStyle="1" w:styleId="Char1">
    <w:name w:val="머리글 Char"/>
    <w:basedOn w:val="a0"/>
    <w:link w:val="aa"/>
    <w:uiPriority w:val="99"/>
    <w:rsid w:val="00E50E82"/>
  </w:style>
  <w:style w:type="paragraph" w:styleId="ab">
    <w:name w:val="footer"/>
    <w:basedOn w:val="a"/>
    <w:link w:val="Char2"/>
    <w:uiPriority w:val="99"/>
    <w:unhideWhenUsed/>
    <w:rsid w:val="00E50E82"/>
    <w:pPr>
      <w:tabs>
        <w:tab w:val="center" w:pos="4513"/>
        <w:tab w:val="right" w:pos="9026"/>
      </w:tabs>
      <w:snapToGrid w:val="0"/>
    </w:pPr>
  </w:style>
  <w:style w:type="character" w:customStyle="1" w:styleId="Char2">
    <w:name w:val="바닥글 Char"/>
    <w:basedOn w:val="a0"/>
    <w:link w:val="ab"/>
    <w:uiPriority w:val="99"/>
    <w:rsid w:val="00E50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3CF03-C97D-41B4-B621-50A656DD4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2458</Words>
  <Characters>14013</Characters>
  <Application>Microsoft Office Word</Application>
  <DocSecurity>0</DocSecurity>
  <Lines>116</Lines>
  <Paragraphs>32</Paragraphs>
  <ScaleCrop>false</ScaleCrop>
  <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이서빈</cp:lastModifiedBy>
  <cp:revision>10</cp:revision>
  <dcterms:created xsi:type="dcterms:W3CDTF">2026-07-06T07:59:00Z</dcterms:created>
  <dcterms:modified xsi:type="dcterms:W3CDTF">2026-07-12T14:43:00Z</dcterms:modified>
</cp:coreProperties>
</file>