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70EDB" w14:textId="77777777" w:rsidR="00887DBE" w:rsidRDefault="00000000">
      <w:pPr>
        <w:spacing w:after="120"/>
      </w:pPr>
      <w:r>
        <w:rPr>
          <w:b/>
          <w:bCs/>
          <w:sz w:val="28"/>
          <w:szCs w:val="28"/>
        </w:rPr>
        <w:t>eAppendix B</w:t>
      </w:r>
    </w:p>
    <w:p w14:paraId="7091EAFB" w14:textId="77777777" w:rsidR="00887DBE" w:rsidRDefault="00000000">
      <w:pPr>
        <w:pStyle w:val="1"/>
      </w:pPr>
      <w:r>
        <w:rPr>
          <w:b/>
          <w:bCs/>
          <w:sz w:val="28"/>
          <w:szCs w:val="28"/>
        </w:rPr>
        <w:t>Bayesian Neural Network (BNN) Specification and Results</w:t>
      </w:r>
    </w:p>
    <w:p w14:paraId="28F0901A" w14:textId="77777777" w:rsidR="00887DBE" w:rsidRDefault="00000000">
      <w:pPr>
        <w:spacing w:after="120"/>
      </w:pPr>
      <w:r>
        <w:rPr>
          <w:i/>
          <w:iCs/>
        </w:rPr>
        <w:t>Can National Administrative Data Identify Optimal Nurse Staffing? Estimand Instability and Data Quality Failures in CMS Home Health Panel Data</w:t>
      </w:r>
    </w:p>
    <w:p w14:paraId="2FD50518" w14:textId="77777777" w:rsidR="00887DBE" w:rsidRDefault="00887DBE">
      <w:pPr>
        <w:spacing w:after="60"/>
      </w:pPr>
    </w:p>
    <w:p w14:paraId="1A3146C8" w14:textId="77777777" w:rsidR="00887DBE" w:rsidRDefault="00000000">
      <w:pPr>
        <w:pStyle w:val="2"/>
      </w:pPr>
      <w:r>
        <w:rPr>
          <w:b/>
          <w:bCs/>
          <w:sz w:val="24"/>
          <w:szCs w:val="24"/>
        </w:rPr>
        <w:t>B.1  Purpose</w:t>
      </w:r>
    </w:p>
    <w:p w14:paraId="6F75310F" w14:textId="41472ECA" w:rsidR="00887DBE" w:rsidRDefault="00000000">
      <w:pPr>
        <w:spacing w:after="120"/>
        <w:rPr>
          <w:rFonts w:hint="eastAsia"/>
        </w:rPr>
      </w:pPr>
      <w:r>
        <w:t>Approach B (Bayesian Neural Network) was implemented to assess whether nonlinear dose–quality or dose–cost relationships exist in the CMS Home Health Compare data that would be invisible to the linear specifications of Approach A. The BNN constitutes a nonparametric sensitivity check rather than a primary estimator; because it does not produce frequentist confidence intervals, its results are treated as corroborating evidence and reported as point estimates only.</w:t>
      </w:r>
      <w:r w:rsidR="00561715">
        <w:rPr>
          <w:rFonts w:hint="eastAsia"/>
        </w:rPr>
        <w:t xml:space="preserve"> </w:t>
      </w:r>
      <w:r w:rsidR="00561715" w:rsidRPr="00561715">
        <w:t xml:space="preserve">Approaches A and B were designed as epistemic complements rather than redundant checks: Approach A is </w:t>
      </w:r>
      <w:r w:rsidR="00561715" w:rsidRPr="00561715">
        <w:rPr>
          <w:i/>
          <w:iCs/>
        </w:rPr>
        <w:t>theory-driven</w:t>
      </w:r>
      <w:r w:rsidR="00561715">
        <w:rPr>
          <w:rFonts w:hint="eastAsia"/>
        </w:rPr>
        <w:t xml:space="preserve"> and data-integrated</w:t>
      </w:r>
      <w:r w:rsidR="00561715" w:rsidRPr="00561715">
        <w:t xml:space="preserve"> (functional form specified ex ante by the production-function framework), whereas Approach B is </w:t>
      </w:r>
      <w:r w:rsidR="00561715" w:rsidRPr="00561715">
        <w:rPr>
          <w:i/>
          <w:iCs/>
        </w:rPr>
        <w:t>data-driven</w:t>
      </w:r>
      <w:r w:rsidR="00561715">
        <w:rPr>
          <w:rFonts w:hint="eastAsia"/>
        </w:rPr>
        <w:t xml:space="preserve"> and theory-integrated</w:t>
      </w:r>
      <w:r w:rsidR="00561715" w:rsidRPr="00561715">
        <w:t xml:space="preserve"> (no functional form imposed).</w:t>
      </w:r>
    </w:p>
    <w:p w14:paraId="7DE7F472" w14:textId="77777777" w:rsidR="00887DBE" w:rsidRDefault="00887DBE">
      <w:pPr>
        <w:spacing w:after="60"/>
      </w:pPr>
    </w:p>
    <w:p w14:paraId="4699BE1D" w14:textId="77777777" w:rsidR="00887DBE" w:rsidRDefault="00000000">
      <w:pPr>
        <w:pStyle w:val="2"/>
      </w:pPr>
      <w:r>
        <w:rPr>
          <w:b/>
          <w:bCs/>
          <w:sz w:val="24"/>
          <w:szCs w:val="24"/>
        </w:rPr>
        <w:t>B.2  Architecture</w:t>
      </w:r>
    </w:p>
    <w:p w14:paraId="131F2C64" w14:textId="77777777" w:rsidR="00887DBE" w:rsidRDefault="00000000">
      <w:pPr>
        <w:spacing w:after="120"/>
      </w:pPr>
      <w:r>
        <w:t>A Wide &amp; Deep neural network (Google, 2016) architecture was implemented using PyTorch 2.0:</w:t>
      </w:r>
    </w:p>
    <w:p w14:paraId="2DF6A13E" w14:textId="77777777" w:rsidR="00887DBE" w:rsidRDefault="00887DBE">
      <w:pPr>
        <w:spacing w:after="60"/>
      </w:pPr>
    </w:p>
    <w:p w14:paraId="699481BE" w14:textId="77777777" w:rsidR="00887DBE" w:rsidRDefault="00000000">
      <w:r>
        <w:rPr>
          <w:b/>
          <w:bCs/>
          <w:sz w:val="22"/>
          <w:szCs w:val="22"/>
          <w:u w:val="single"/>
        </w:rPr>
        <w:t>Wide component (linear):</w:t>
      </w:r>
    </w:p>
    <w:p w14:paraId="01423509" w14:textId="77777777" w:rsidR="00887DBE" w:rsidRDefault="00000000">
      <w:pPr>
        <w:spacing w:after="80"/>
        <w:ind w:left="360" w:hanging="240"/>
      </w:pPr>
      <w:r>
        <w:t>•  Input: raw dose variable (RN FTE per 100 patients), state indicators, year indicators</w:t>
      </w:r>
    </w:p>
    <w:p w14:paraId="63F95A08" w14:textId="77777777" w:rsidR="00887DBE" w:rsidRDefault="00000000">
      <w:pPr>
        <w:spacing w:after="80"/>
        <w:ind w:left="360" w:hanging="240"/>
      </w:pPr>
      <w:r>
        <w:t>•  Direct linear connection to output layer (captures main effects)</w:t>
      </w:r>
    </w:p>
    <w:p w14:paraId="6FFFD4D9" w14:textId="77777777" w:rsidR="00887DBE" w:rsidRDefault="00887DBE">
      <w:pPr>
        <w:spacing w:after="60"/>
      </w:pPr>
    </w:p>
    <w:p w14:paraId="44957C5F" w14:textId="77777777" w:rsidR="00887DBE" w:rsidRDefault="00000000">
      <w:r>
        <w:rPr>
          <w:b/>
          <w:bCs/>
          <w:sz w:val="22"/>
          <w:szCs w:val="22"/>
          <w:u w:val="single"/>
        </w:rPr>
        <w:t>Deep component (nonlinear):</w:t>
      </w:r>
    </w:p>
    <w:p w14:paraId="35D125F3" w14:textId="77777777" w:rsidR="00887DBE" w:rsidRDefault="00000000">
      <w:pPr>
        <w:spacing w:after="80"/>
        <w:ind w:left="360" w:hanging="240"/>
      </w:pPr>
      <w:r>
        <w:t>•  Input: dose variable + agency-level covariates (patient volume log, share of Medicare patients, geographic region)</w:t>
      </w:r>
    </w:p>
    <w:p w14:paraId="33A9A229" w14:textId="77777777" w:rsidR="00887DBE" w:rsidRDefault="00000000">
      <w:pPr>
        <w:spacing w:after="80"/>
        <w:ind w:left="360" w:hanging="240"/>
      </w:pPr>
      <w:r>
        <w:t>•  Hidden layers: [256, 128, 64] neurons with ReLU activation</w:t>
      </w:r>
    </w:p>
    <w:p w14:paraId="0DBED24B" w14:textId="77777777" w:rsidR="00887DBE" w:rsidRDefault="00000000">
      <w:pPr>
        <w:spacing w:after="80"/>
        <w:ind w:left="360" w:hanging="240"/>
      </w:pPr>
      <w:r>
        <w:t>•  Monte Carlo Dropout (Gal &amp; Ghahramani, 2016) with dropout rate p = 0.20 applied at each hidden layer during both training and inference</w:t>
      </w:r>
    </w:p>
    <w:p w14:paraId="6C964117" w14:textId="77777777" w:rsidR="00887DBE" w:rsidRDefault="00000000">
      <w:pPr>
        <w:spacing w:after="80"/>
        <w:ind w:left="360" w:hanging="240"/>
      </w:pPr>
      <w:r>
        <w:t>•  Output: concatenated with wide component; final linear projection to scalar outcome</w:t>
      </w:r>
    </w:p>
    <w:p w14:paraId="5B4BF1E3" w14:textId="77777777" w:rsidR="00887DBE" w:rsidRDefault="00887DBE">
      <w:pPr>
        <w:spacing w:after="60"/>
      </w:pPr>
    </w:p>
    <w:p w14:paraId="0B8B65EA" w14:textId="77777777" w:rsidR="00887DBE" w:rsidRDefault="00000000">
      <w:pPr>
        <w:spacing w:after="120"/>
      </w:pPr>
      <w:r>
        <w:t>Outputs estimated: (1) Average 4Ts quality composite; (2) skilled nursing labor cost per patient.</w:t>
      </w:r>
    </w:p>
    <w:p w14:paraId="7DD16A51" w14:textId="77777777" w:rsidR="00887DBE" w:rsidRDefault="00887DBE">
      <w:pPr>
        <w:spacing w:after="60"/>
      </w:pPr>
    </w:p>
    <w:p w14:paraId="65E89AFC" w14:textId="77777777" w:rsidR="00887DBE" w:rsidRDefault="00000000">
      <w:pPr>
        <w:pStyle w:val="2"/>
      </w:pPr>
      <w:r>
        <w:rPr>
          <w:b/>
          <w:bCs/>
          <w:sz w:val="24"/>
          <w:szCs w:val="24"/>
        </w:rPr>
        <w:t>B.3  Uncertainty Quantification</w:t>
      </w:r>
    </w:p>
    <w:p w14:paraId="278EB59A" w14:textId="77777777" w:rsidR="00887DBE" w:rsidRDefault="00000000">
      <w:pPr>
        <w:spacing w:after="120"/>
      </w:pPr>
      <w:r>
        <w:t>Predictive uncertainty was estimated via Monte Carlo Dropout: at inference time, the dropout mask was sampled T = 200 times for each observation, generating a distribution of predictions from which the predictive mean and 95% credible interval were derived. This approach approximates a Bayesian posterior over network weights without requiring a full variational inference procedure (Gal &amp; Ghahramani, 2016).</w:t>
      </w:r>
    </w:p>
    <w:p w14:paraId="28D998AF" w14:textId="77777777" w:rsidR="00887DBE" w:rsidRDefault="00000000">
      <w:pPr>
        <w:spacing w:after="120"/>
      </w:pPr>
      <w:r>
        <w:t>Because MC Dropout uncertainty does not yield a frequentist hypothesis test, formal equivalence testing (TOST) was not applied to BNN estimates. Results are reported as predictive means with credible intervals.</w:t>
      </w:r>
    </w:p>
    <w:p w14:paraId="3EC32CD8" w14:textId="77777777" w:rsidR="00887DBE" w:rsidRDefault="00887DBE">
      <w:pPr>
        <w:spacing w:after="60"/>
      </w:pPr>
    </w:p>
    <w:p w14:paraId="609C27F1" w14:textId="77777777" w:rsidR="00887DBE" w:rsidRDefault="00000000">
      <w:pPr>
        <w:pStyle w:val="2"/>
      </w:pPr>
      <w:r>
        <w:rPr>
          <w:b/>
          <w:bCs/>
          <w:sz w:val="24"/>
          <w:szCs w:val="24"/>
        </w:rPr>
        <w:t>B.4  Training Procedure</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1694"/>
        <w:gridCol w:w="3372"/>
        <w:gridCol w:w="4134"/>
      </w:tblGrid>
      <w:tr w:rsidR="00887DBE" w14:paraId="2C9BFC50" w14:textId="77777777">
        <w:trPr>
          <w:tblHeader/>
        </w:trPr>
        <w:tc>
          <w:tcPr>
            <w:tcW w:w="0" w:type="auto"/>
            <w:shd w:val="clear" w:color="auto" w:fill="D9E1F2"/>
            <w:tcMar>
              <w:top w:w="80" w:type="dxa"/>
              <w:left w:w="120" w:type="dxa"/>
              <w:bottom w:w="80" w:type="dxa"/>
              <w:right w:w="120" w:type="dxa"/>
            </w:tcMar>
          </w:tcPr>
          <w:p w14:paraId="61B541B5" w14:textId="77777777" w:rsidR="00887DBE" w:rsidRDefault="00000000">
            <w:r>
              <w:rPr>
                <w:b/>
                <w:bCs/>
                <w:sz w:val="18"/>
                <w:szCs w:val="18"/>
              </w:rPr>
              <w:t>Hyperparameter</w:t>
            </w:r>
          </w:p>
        </w:tc>
        <w:tc>
          <w:tcPr>
            <w:tcW w:w="0" w:type="auto"/>
            <w:shd w:val="clear" w:color="auto" w:fill="D9E1F2"/>
            <w:tcMar>
              <w:top w:w="80" w:type="dxa"/>
              <w:left w:w="120" w:type="dxa"/>
              <w:bottom w:w="80" w:type="dxa"/>
              <w:right w:w="120" w:type="dxa"/>
            </w:tcMar>
          </w:tcPr>
          <w:p w14:paraId="01A6B1F2" w14:textId="77777777" w:rsidR="00887DBE" w:rsidRDefault="00000000">
            <w:r>
              <w:rPr>
                <w:b/>
                <w:bCs/>
                <w:sz w:val="18"/>
                <w:szCs w:val="18"/>
              </w:rPr>
              <w:t>Value</w:t>
            </w:r>
          </w:p>
        </w:tc>
        <w:tc>
          <w:tcPr>
            <w:tcW w:w="0" w:type="auto"/>
            <w:shd w:val="clear" w:color="auto" w:fill="D9E1F2"/>
            <w:tcMar>
              <w:top w:w="80" w:type="dxa"/>
              <w:left w:w="120" w:type="dxa"/>
              <w:bottom w:w="80" w:type="dxa"/>
              <w:right w:w="120" w:type="dxa"/>
            </w:tcMar>
          </w:tcPr>
          <w:p w14:paraId="730547AF" w14:textId="77777777" w:rsidR="00887DBE" w:rsidRDefault="00000000">
            <w:r>
              <w:rPr>
                <w:b/>
                <w:bCs/>
                <w:sz w:val="18"/>
                <w:szCs w:val="18"/>
              </w:rPr>
              <w:t>Rationale</w:t>
            </w:r>
          </w:p>
        </w:tc>
      </w:tr>
      <w:tr w:rsidR="00887DBE" w14:paraId="04EF3470" w14:textId="77777777">
        <w:tc>
          <w:tcPr>
            <w:tcW w:w="0" w:type="auto"/>
            <w:tcMar>
              <w:top w:w="80" w:type="dxa"/>
              <w:left w:w="120" w:type="dxa"/>
              <w:bottom w:w="80" w:type="dxa"/>
              <w:right w:w="120" w:type="dxa"/>
            </w:tcMar>
          </w:tcPr>
          <w:p w14:paraId="772B521D" w14:textId="77777777" w:rsidR="00887DBE" w:rsidRDefault="00000000">
            <w:r>
              <w:rPr>
                <w:sz w:val="18"/>
                <w:szCs w:val="18"/>
              </w:rPr>
              <w:t>Data split</w:t>
            </w:r>
          </w:p>
        </w:tc>
        <w:tc>
          <w:tcPr>
            <w:tcW w:w="0" w:type="auto"/>
            <w:tcMar>
              <w:top w:w="80" w:type="dxa"/>
              <w:left w:w="120" w:type="dxa"/>
              <w:bottom w:w="80" w:type="dxa"/>
              <w:right w:w="120" w:type="dxa"/>
            </w:tcMar>
          </w:tcPr>
          <w:p w14:paraId="53FA268F" w14:textId="77777777" w:rsidR="00887DBE" w:rsidRDefault="00000000">
            <w:r>
              <w:rPr>
                <w:sz w:val="18"/>
                <w:szCs w:val="18"/>
              </w:rPr>
              <w:t>CCN-group-stratified 70/15/15 (train/validation/test)</w:t>
            </w:r>
          </w:p>
        </w:tc>
        <w:tc>
          <w:tcPr>
            <w:tcW w:w="0" w:type="auto"/>
            <w:tcMar>
              <w:top w:w="80" w:type="dxa"/>
              <w:left w:w="120" w:type="dxa"/>
              <w:bottom w:w="80" w:type="dxa"/>
              <w:right w:w="120" w:type="dxa"/>
            </w:tcMar>
          </w:tcPr>
          <w:p w14:paraId="3EA617E3" w14:textId="77777777" w:rsidR="00887DBE" w:rsidRDefault="00000000">
            <w:r>
              <w:rPr>
                <w:sz w:val="18"/>
                <w:szCs w:val="18"/>
              </w:rPr>
              <w:t>Prevents leakage across agency-year observations from the same agency</w:t>
            </w:r>
          </w:p>
        </w:tc>
      </w:tr>
      <w:tr w:rsidR="00887DBE" w14:paraId="5999CA64" w14:textId="77777777">
        <w:tc>
          <w:tcPr>
            <w:tcW w:w="0" w:type="auto"/>
            <w:tcMar>
              <w:top w:w="80" w:type="dxa"/>
              <w:left w:w="120" w:type="dxa"/>
              <w:bottom w:w="80" w:type="dxa"/>
              <w:right w:w="120" w:type="dxa"/>
            </w:tcMar>
          </w:tcPr>
          <w:p w14:paraId="67BB5F69" w14:textId="77777777" w:rsidR="00887DBE" w:rsidRDefault="00000000">
            <w:r>
              <w:rPr>
                <w:sz w:val="18"/>
                <w:szCs w:val="18"/>
              </w:rPr>
              <w:t>Loss function</w:t>
            </w:r>
          </w:p>
        </w:tc>
        <w:tc>
          <w:tcPr>
            <w:tcW w:w="0" w:type="auto"/>
            <w:tcMar>
              <w:top w:w="80" w:type="dxa"/>
              <w:left w:w="120" w:type="dxa"/>
              <w:bottom w:w="80" w:type="dxa"/>
              <w:right w:w="120" w:type="dxa"/>
            </w:tcMar>
          </w:tcPr>
          <w:p w14:paraId="1A483E3A" w14:textId="77777777" w:rsidR="00887DBE" w:rsidRDefault="00000000">
            <w:r>
              <w:rPr>
                <w:sz w:val="18"/>
                <w:szCs w:val="18"/>
              </w:rPr>
              <w:t>Mean squared error (MSE)</w:t>
            </w:r>
          </w:p>
        </w:tc>
        <w:tc>
          <w:tcPr>
            <w:tcW w:w="0" w:type="auto"/>
            <w:tcMar>
              <w:top w:w="80" w:type="dxa"/>
              <w:left w:w="120" w:type="dxa"/>
              <w:bottom w:w="80" w:type="dxa"/>
              <w:right w:w="120" w:type="dxa"/>
            </w:tcMar>
          </w:tcPr>
          <w:p w14:paraId="6087ECF1" w14:textId="77777777" w:rsidR="00887DBE" w:rsidRDefault="00000000">
            <w:r>
              <w:rPr>
                <w:sz w:val="18"/>
                <w:szCs w:val="18"/>
              </w:rPr>
              <w:t>Standard regression objective</w:t>
            </w:r>
          </w:p>
        </w:tc>
      </w:tr>
      <w:tr w:rsidR="00887DBE" w14:paraId="0F5F45A0" w14:textId="77777777">
        <w:tc>
          <w:tcPr>
            <w:tcW w:w="0" w:type="auto"/>
            <w:tcMar>
              <w:top w:w="80" w:type="dxa"/>
              <w:left w:w="120" w:type="dxa"/>
              <w:bottom w:w="80" w:type="dxa"/>
              <w:right w:w="120" w:type="dxa"/>
            </w:tcMar>
          </w:tcPr>
          <w:p w14:paraId="7BF64D4B" w14:textId="77777777" w:rsidR="00887DBE" w:rsidRDefault="00000000">
            <w:r>
              <w:rPr>
                <w:sz w:val="18"/>
                <w:szCs w:val="18"/>
              </w:rPr>
              <w:lastRenderedPageBreak/>
              <w:t>Optimizer</w:t>
            </w:r>
          </w:p>
        </w:tc>
        <w:tc>
          <w:tcPr>
            <w:tcW w:w="0" w:type="auto"/>
            <w:tcMar>
              <w:top w:w="80" w:type="dxa"/>
              <w:left w:w="120" w:type="dxa"/>
              <w:bottom w:w="80" w:type="dxa"/>
              <w:right w:w="120" w:type="dxa"/>
            </w:tcMar>
          </w:tcPr>
          <w:p w14:paraId="330036D3" w14:textId="77777777" w:rsidR="00887DBE" w:rsidRDefault="00000000">
            <w:r>
              <w:rPr>
                <w:sz w:val="18"/>
                <w:szCs w:val="18"/>
              </w:rPr>
              <w:t>Adam (lr = 0.001, β₁ = 0.9, β₂ = 0.999)</w:t>
            </w:r>
          </w:p>
        </w:tc>
        <w:tc>
          <w:tcPr>
            <w:tcW w:w="0" w:type="auto"/>
            <w:tcMar>
              <w:top w:w="80" w:type="dxa"/>
              <w:left w:w="120" w:type="dxa"/>
              <w:bottom w:w="80" w:type="dxa"/>
              <w:right w:w="120" w:type="dxa"/>
            </w:tcMar>
          </w:tcPr>
          <w:p w14:paraId="2A440ACE" w14:textId="77777777" w:rsidR="00887DBE" w:rsidRDefault="00000000">
            <w:r>
              <w:rPr>
                <w:sz w:val="18"/>
                <w:szCs w:val="18"/>
              </w:rPr>
              <w:t>Adaptive learning rate; robust to sparse gradients</w:t>
            </w:r>
          </w:p>
        </w:tc>
      </w:tr>
      <w:tr w:rsidR="00887DBE" w14:paraId="283C8A40" w14:textId="77777777">
        <w:tc>
          <w:tcPr>
            <w:tcW w:w="0" w:type="auto"/>
            <w:tcMar>
              <w:top w:w="80" w:type="dxa"/>
              <w:left w:w="120" w:type="dxa"/>
              <w:bottom w:w="80" w:type="dxa"/>
              <w:right w:w="120" w:type="dxa"/>
            </w:tcMar>
          </w:tcPr>
          <w:p w14:paraId="54FEB4DC" w14:textId="77777777" w:rsidR="00887DBE" w:rsidRDefault="00000000">
            <w:r>
              <w:rPr>
                <w:sz w:val="18"/>
                <w:szCs w:val="18"/>
              </w:rPr>
              <w:t>Batch size</w:t>
            </w:r>
          </w:p>
        </w:tc>
        <w:tc>
          <w:tcPr>
            <w:tcW w:w="0" w:type="auto"/>
            <w:tcMar>
              <w:top w:w="80" w:type="dxa"/>
              <w:left w:w="120" w:type="dxa"/>
              <w:bottom w:w="80" w:type="dxa"/>
              <w:right w:w="120" w:type="dxa"/>
            </w:tcMar>
          </w:tcPr>
          <w:p w14:paraId="4A6D3C6E" w14:textId="77777777" w:rsidR="00887DBE" w:rsidRDefault="00000000">
            <w:r>
              <w:rPr>
                <w:sz w:val="18"/>
                <w:szCs w:val="18"/>
              </w:rPr>
              <w:t>256 agency-year observations</w:t>
            </w:r>
          </w:p>
        </w:tc>
        <w:tc>
          <w:tcPr>
            <w:tcW w:w="0" w:type="auto"/>
            <w:tcMar>
              <w:top w:w="80" w:type="dxa"/>
              <w:left w:w="120" w:type="dxa"/>
              <w:bottom w:w="80" w:type="dxa"/>
              <w:right w:w="120" w:type="dxa"/>
            </w:tcMar>
          </w:tcPr>
          <w:p w14:paraId="5BB42000" w14:textId="77777777" w:rsidR="00887DBE" w:rsidRDefault="00000000">
            <w:r>
              <w:rPr>
                <w:sz w:val="18"/>
                <w:szCs w:val="18"/>
              </w:rPr>
              <w:t>Balances gradient noise and convergence speed</w:t>
            </w:r>
          </w:p>
        </w:tc>
      </w:tr>
      <w:tr w:rsidR="00887DBE" w14:paraId="48B18609" w14:textId="77777777">
        <w:tc>
          <w:tcPr>
            <w:tcW w:w="0" w:type="auto"/>
            <w:tcMar>
              <w:top w:w="80" w:type="dxa"/>
              <w:left w:w="120" w:type="dxa"/>
              <w:bottom w:w="80" w:type="dxa"/>
              <w:right w:w="120" w:type="dxa"/>
            </w:tcMar>
          </w:tcPr>
          <w:p w14:paraId="35908275" w14:textId="77777777" w:rsidR="00887DBE" w:rsidRDefault="00000000">
            <w:r>
              <w:rPr>
                <w:sz w:val="18"/>
                <w:szCs w:val="18"/>
              </w:rPr>
              <w:t>Early stopping</w:t>
            </w:r>
          </w:p>
        </w:tc>
        <w:tc>
          <w:tcPr>
            <w:tcW w:w="0" w:type="auto"/>
            <w:tcMar>
              <w:top w:w="80" w:type="dxa"/>
              <w:left w:w="120" w:type="dxa"/>
              <w:bottom w:w="80" w:type="dxa"/>
              <w:right w:w="120" w:type="dxa"/>
            </w:tcMar>
          </w:tcPr>
          <w:p w14:paraId="03E987BE" w14:textId="77777777" w:rsidR="00887DBE" w:rsidRDefault="00000000">
            <w:r>
              <w:rPr>
                <w:sz w:val="18"/>
                <w:szCs w:val="18"/>
              </w:rPr>
              <w:t>Patience = 20 epochs on validation MSE</w:t>
            </w:r>
          </w:p>
        </w:tc>
        <w:tc>
          <w:tcPr>
            <w:tcW w:w="0" w:type="auto"/>
            <w:tcMar>
              <w:top w:w="80" w:type="dxa"/>
              <w:left w:w="120" w:type="dxa"/>
              <w:bottom w:w="80" w:type="dxa"/>
              <w:right w:w="120" w:type="dxa"/>
            </w:tcMar>
          </w:tcPr>
          <w:p w14:paraId="31093135" w14:textId="77777777" w:rsidR="00887DBE" w:rsidRDefault="00000000">
            <w:r>
              <w:rPr>
                <w:sz w:val="18"/>
                <w:szCs w:val="18"/>
              </w:rPr>
              <w:t>Prevents overfitting; average training terminated at epoch 84</w:t>
            </w:r>
          </w:p>
        </w:tc>
      </w:tr>
      <w:tr w:rsidR="00887DBE" w14:paraId="7F18625C" w14:textId="77777777">
        <w:tc>
          <w:tcPr>
            <w:tcW w:w="0" w:type="auto"/>
            <w:tcMar>
              <w:top w:w="80" w:type="dxa"/>
              <w:left w:w="120" w:type="dxa"/>
              <w:bottom w:w="80" w:type="dxa"/>
              <w:right w:w="120" w:type="dxa"/>
            </w:tcMar>
          </w:tcPr>
          <w:p w14:paraId="5D6FE18F" w14:textId="77777777" w:rsidR="00887DBE" w:rsidRDefault="00000000">
            <w:r>
              <w:rPr>
                <w:sz w:val="18"/>
                <w:szCs w:val="18"/>
              </w:rPr>
              <w:t>L2 weight decay</w:t>
            </w:r>
          </w:p>
        </w:tc>
        <w:tc>
          <w:tcPr>
            <w:tcW w:w="0" w:type="auto"/>
            <w:tcMar>
              <w:top w:w="80" w:type="dxa"/>
              <w:left w:w="120" w:type="dxa"/>
              <w:bottom w:w="80" w:type="dxa"/>
              <w:right w:w="120" w:type="dxa"/>
            </w:tcMar>
          </w:tcPr>
          <w:p w14:paraId="282D0012" w14:textId="77777777" w:rsidR="00887DBE" w:rsidRDefault="00000000">
            <w:r>
              <w:rPr>
                <w:sz w:val="18"/>
                <w:szCs w:val="18"/>
              </w:rPr>
              <w:t>λ = 1×10⁻⁴</w:t>
            </w:r>
          </w:p>
        </w:tc>
        <w:tc>
          <w:tcPr>
            <w:tcW w:w="0" w:type="auto"/>
            <w:tcMar>
              <w:top w:w="80" w:type="dxa"/>
              <w:left w:w="120" w:type="dxa"/>
              <w:bottom w:w="80" w:type="dxa"/>
              <w:right w:w="120" w:type="dxa"/>
            </w:tcMar>
          </w:tcPr>
          <w:p w14:paraId="61687333" w14:textId="77777777" w:rsidR="00887DBE" w:rsidRDefault="00000000">
            <w:r>
              <w:rPr>
                <w:sz w:val="18"/>
                <w:szCs w:val="18"/>
              </w:rPr>
              <w:t>Additional regularization beyond dropout</w:t>
            </w:r>
          </w:p>
        </w:tc>
      </w:tr>
      <w:tr w:rsidR="00887DBE" w14:paraId="4539C022" w14:textId="77777777">
        <w:tc>
          <w:tcPr>
            <w:tcW w:w="0" w:type="auto"/>
            <w:tcMar>
              <w:top w:w="80" w:type="dxa"/>
              <w:left w:w="120" w:type="dxa"/>
              <w:bottom w:w="80" w:type="dxa"/>
              <w:right w:w="120" w:type="dxa"/>
            </w:tcMar>
          </w:tcPr>
          <w:p w14:paraId="658266C5" w14:textId="77777777" w:rsidR="00887DBE" w:rsidRDefault="00000000">
            <w:r>
              <w:rPr>
                <w:sz w:val="18"/>
                <w:szCs w:val="18"/>
              </w:rPr>
              <w:t>Input standardization</w:t>
            </w:r>
          </w:p>
        </w:tc>
        <w:tc>
          <w:tcPr>
            <w:tcW w:w="0" w:type="auto"/>
            <w:tcMar>
              <w:top w:w="80" w:type="dxa"/>
              <w:left w:w="120" w:type="dxa"/>
              <w:bottom w:w="80" w:type="dxa"/>
              <w:right w:w="120" w:type="dxa"/>
            </w:tcMar>
          </w:tcPr>
          <w:p w14:paraId="56AD7D70" w14:textId="77777777" w:rsidR="00887DBE" w:rsidRDefault="00000000">
            <w:r>
              <w:rPr>
                <w:sz w:val="18"/>
                <w:szCs w:val="18"/>
              </w:rPr>
              <w:t>Z-score within training fold; applied to validation/test</w:t>
            </w:r>
          </w:p>
        </w:tc>
        <w:tc>
          <w:tcPr>
            <w:tcW w:w="0" w:type="auto"/>
            <w:tcMar>
              <w:top w:w="80" w:type="dxa"/>
              <w:left w:w="120" w:type="dxa"/>
              <w:bottom w:w="80" w:type="dxa"/>
              <w:right w:w="120" w:type="dxa"/>
            </w:tcMar>
          </w:tcPr>
          <w:p w14:paraId="58B224C7" w14:textId="77777777" w:rsidR="00887DBE" w:rsidRDefault="00000000">
            <w:r>
              <w:rPr>
                <w:sz w:val="18"/>
                <w:szCs w:val="18"/>
              </w:rPr>
              <w:t>Prevents scale sensitivity in deep layers</w:t>
            </w:r>
          </w:p>
        </w:tc>
      </w:tr>
    </w:tbl>
    <w:p w14:paraId="538CAA06" w14:textId="77777777" w:rsidR="00887DBE" w:rsidRDefault="00887DBE">
      <w:pPr>
        <w:spacing w:after="60"/>
      </w:pPr>
    </w:p>
    <w:p w14:paraId="56638191" w14:textId="77777777" w:rsidR="00887DBE" w:rsidRDefault="00000000">
      <w:pPr>
        <w:pStyle w:val="2"/>
      </w:pPr>
      <w:r>
        <w:rPr>
          <w:b/>
          <w:bCs/>
          <w:sz w:val="24"/>
          <w:szCs w:val="24"/>
        </w:rPr>
        <w:t>B.5  Dose Ablation Design</w:t>
      </w:r>
    </w:p>
    <w:p w14:paraId="426E8C44" w14:textId="77777777" w:rsidR="00887DBE" w:rsidRDefault="00000000">
      <w:pPr>
        <w:spacing w:after="120"/>
      </w:pPr>
      <w:r>
        <w:t>To isolate the marginal contribution of staffing dose to predictive performance, two models were estimated for each outcome:</w:t>
      </w:r>
    </w:p>
    <w:p w14:paraId="2607D875" w14:textId="77777777" w:rsidR="00887DBE" w:rsidRDefault="00000000">
      <w:pPr>
        <w:spacing w:after="80"/>
        <w:ind w:left="360" w:hanging="240"/>
      </w:pPr>
      <w:r>
        <w:t>•  Full model: dose + state + year + agency covariates</w:t>
      </w:r>
    </w:p>
    <w:p w14:paraId="1607CC7C" w14:textId="77777777" w:rsidR="00887DBE" w:rsidRDefault="00000000">
      <w:pPr>
        <w:spacing w:after="80"/>
        <w:ind w:left="360" w:hanging="240"/>
      </w:pPr>
      <w:r>
        <w:t>•  Dose-ablated model: state + year + agency covariates only (dose variable removed)</w:t>
      </w:r>
    </w:p>
    <w:p w14:paraId="443C6B91" w14:textId="77777777" w:rsidR="00887DBE" w:rsidRDefault="00000000">
      <w:pPr>
        <w:spacing w:after="120"/>
      </w:pPr>
      <w:r>
        <w:t>The difference in out-of-sample R² between the full and ablated models quantifies the incremental predictive value of dose information beyond what is explained by state, year, and observable agency characteristics.</w:t>
      </w:r>
    </w:p>
    <w:p w14:paraId="5CF76E32" w14:textId="77777777" w:rsidR="00887DBE" w:rsidRDefault="00887DBE">
      <w:pPr>
        <w:spacing w:after="60"/>
      </w:pPr>
    </w:p>
    <w:p w14:paraId="1B4B49CF" w14:textId="77777777" w:rsidR="00887DBE" w:rsidRDefault="00000000">
      <w:pPr>
        <w:pStyle w:val="2"/>
      </w:pPr>
      <w:r>
        <w:rPr>
          <w:b/>
          <w:bCs/>
          <w:sz w:val="24"/>
          <w:szCs w:val="24"/>
        </w:rPr>
        <w:t>B.6  Results</w:t>
      </w:r>
    </w:p>
    <w:tbl>
      <w:tblPr>
        <w:tblW w:w="9200" w:type="dxa"/>
        <w:tblBorders>
          <w:top w:val="single" w:sz="4" w:space="0" w:color="4472C4"/>
          <w:left w:val="single" w:sz="4" w:space="0" w:color="4472C4"/>
          <w:bottom w:val="single" w:sz="4" w:space="0" w:color="4472C4"/>
          <w:right w:val="single" w:sz="4" w:space="0" w:color="4472C4"/>
          <w:insideH w:val="single" w:sz="2" w:space="0" w:color="9DC3E6"/>
          <w:insideV w:val="single" w:sz="2" w:space="0" w:color="9DC3E6"/>
        </w:tblBorders>
        <w:tblCellMar>
          <w:left w:w="10" w:type="dxa"/>
          <w:right w:w="10" w:type="dxa"/>
        </w:tblCellMar>
        <w:tblLook w:val="04A0" w:firstRow="1" w:lastRow="0" w:firstColumn="1" w:lastColumn="0" w:noHBand="0" w:noVBand="1"/>
      </w:tblPr>
      <w:tblGrid>
        <w:gridCol w:w="1499"/>
        <w:gridCol w:w="1380"/>
        <w:gridCol w:w="1616"/>
        <w:gridCol w:w="1371"/>
        <w:gridCol w:w="3334"/>
      </w:tblGrid>
      <w:tr w:rsidR="00887DBE" w14:paraId="6B896DB1" w14:textId="77777777">
        <w:trPr>
          <w:tblHeader/>
        </w:trPr>
        <w:tc>
          <w:tcPr>
            <w:tcW w:w="0" w:type="auto"/>
            <w:shd w:val="clear" w:color="auto" w:fill="D9E1F2"/>
            <w:tcMar>
              <w:top w:w="80" w:type="dxa"/>
              <w:left w:w="120" w:type="dxa"/>
              <w:bottom w:w="80" w:type="dxa"/>
              <w:right w:w="120" w:type="dxa"/>
            </w:tcMar>
          </w:tcPr>
          <w:p w14:paraId="325B5547" w14:textId="77777777" w:rsidR="00887DBE" w:rsidRDefault="00000000">
            <w:r>
              <w:rPr>
                <w:b/>
                <w:bCs/>
                <w:sz w:val="18"/>
                <w:szCs w:val="18"/>
              </w:rPr>
              <w:t>Outcome</w:t>
            </w:r>
          </w:p>
        </w:tc>
        <w:tc>
          <w:tcPr>
            <w:tcW w:w="0" w:type="auto"/>
            <w:shd w:val="clear" w:color="auto" w:fill="D9E1F2"/>
            <w:tcMar>
              <w:top w:w="80" w:type="dxa"/>
              <w:left w:w="120" w:type="dxa"/>
              <w:bottom w:w="80" w:type="dxa"/>
              <w:right w:w="120" w:type="dxa"/>
            </w:tcMar>
          </w:tcPr>
          <w:p w14:paraId="74E35EC7" w14:textId="77777777" w:rsidR="00887DBE" w:rsidRDefault="00000000">
            <w:r>
              <w:rPr>
                <w:b/>
                <w:bCs/>
                <w:sz w:val="18"/>
                <w:szCs w:val="18"/>
              </w:rPr>
              <w:t>Full Model R² (test)</w:t>
            </w:r>
          </w:p>
        </w:tc>
        <w:tc>
          <w:tcPr>
            <w:tcW w:w="0" w:type="auto"/>
            <w:shd w:val="clear" w:color="auto" w:fill="D9E1F2"/>
            <w:tcMar>
              <w:top w:w="80" w:type="dxa"/>
              <w:left w:w="120" w:type="dxa"/>
              <w:bottom w:w="80" w:type="dxa"/>
              <w:right w:w="120" w:type="dxa"/>
            </w:tcMar>
          </w:tcPr>
          <w:p w14:paraId="51B7FE44" w14:textId="77777777" w:rsidR="00887DBE" w:rsidRDefault="00000000">
            <w:r>
              <w:rPr>
                <w:b/>
                <w:bCs/>
                <w:sz w:val="18"/>
                <w:szCs w:val="18"/>
              </w:rPr>
              <w:t>Ablated Model R² (test)</w:t>
            </w:r>
          </w:p>
        </w:tc>
        <w:tc>
          <w:tcPr>
            <w:tcW w:w="0" w:type="auto"/>
            <w:shd w:val="clear" w:color="auto" w:fill="D9E1F2"/>
            <w:tcMar>
              <w:top w:w="80" w:type="dxa"/>
              <w:left w:w="120" w:type="dxa"/>
              <w:bottom w:w="80" w:type="dxa"/>
              <w:right w:w="120" w:type="dxa"/>
            </w:tcMar>
          </w:tcPr>
          <w:p w14:paraId="1AA247DA" w14:textId="77777777" w:rsidR="00887DBE" w:rsidRDefault="00000000">
            <w:r>
              <w:rPr>
                <w:b/>
                <w:bCs/>
                <w:sz w:val="18"/>
                <w:szCs w:val="18"/>
              </w:rPr>
              <w:t>Dose Marginal R²</w:t>
            </w:r>
          </w:p>
        </w:tc>
        <w:tc>
          <w:tcPr>
            <w:tcW w:w="0" w:type="auto"/>
            <w:shd w:val="clear" w:color="auto" w:fill="D9E1F2"/>
            <w:tcMar>
              <w:top w:w="80" w:type="dxa"/>
              <w:left w:w="120" w:type="dxa"/>
              <w:bottom w:w="80" w:type="dxa"/>
              <w:right w:w="120" w:type="dxa"/>
            </w:tcMar>
          </w:tcPr>
          <w:p w14:paraId="5EAB452B" w14:textId="77777777" w:rsidR="00887DBE" w:rsidRDefault="00000000">
            <w:r>
              <w:rPr>
                <w:b/>
                <w:bCs/>
                <w:sz w:val="18"/>
                <w:szCs w:val="18"/>
              </w:rPr>
              <w:t>Interpretation</w:t>
            </w:r>
          </w:p>
        </w:tc>
      </w:tr>
      <w:tr w:rsidR="00887DBE" w14:paraId="6D52733D" w14:textId="77777777">
        <w:tc>
          <w:tcPr>
            <w:tcW w:w="0" w:type="auto"/>
            <w:tcMar>
              <w:top w:w="80" w:type="dxa"/>
              <w:left w:w="120" w:type="dxa"/>
              <w:bottom w:w="80" w:type="dxa"/>
              <w:right w:w="120" w:type="dxa"/>
            </w:tcMar>
          </w:tcPr>
          <w:p w14:paraId="12420ECC" w14:textId="77777777" w:rsidR="00887DBE" w:rsidRDefault="00000000">
            <w:r>
              <w:rPr>
                <w:sz w:val="18"/>
                <w:szCs w:val="18"/>
              </w:rPr>
              <w:t>Average 4Ts quality</w:t>
            </w:r>
          </w:p>
        </w:tc>
        <w:tc>
          <w:tcPr>
            <w:tcW w:w="0" w:type="auto"/>
            <w:tcMar>
              <w:top w:w="80" w:type="dxa"/>
              <w:left w:w="120" w:type="dxa"/>
              <w:bottom w:w="80" w:type="dxa"/>
              <w:right w:w="120" w:type="dxa"/>
            </w:tcMar>
          </w:tcPr>
          <w:p w14:paraId="0B3E6661" w14:textId="77777777" w:rsidR="00887DBE" w:rsidRDefault="00000000">
            <w:r>
              <w:rPr>
                <w:sz w:val="18"/>
                <w:szCs w:val="18"/>
              </w:rPr>
              <w:t>0.412</w:t>
            </w:r>
          </w:p>
        </w:tc>
        <w:tc>
          <w:tcPr>
            <w:tcW w:w="0" w:type="auto"/>
            <w:tcMar>
              <w:top w:w="80" w:type="dxa"/>
              <w:left w:w="120" w:type="dxa"/>
              <w:bottom w:w="80" w:type="dxa"/>
              <w:right w:w="120" w:type="dxa"/>
            </w:tcMar>
          </w:tcPr>
          <w:p w14:paraId="73EA488A" w14:textId="77777777" w:rsidR="00887DBE" w:rsidRDefault="00000000">
            <w:r>
              <w:rPr>
                <w:sz w:val="18"/>
                <w:szCs w:val="18"/>
              </w:rPr>
              <w:t>0.407</w:t>
            </w:r>
          </w:p>
        </w:tc>
        <w:tc>
          <w:tcPr>
            <w:tcW w:w="0" w:type="auto"/>
            <w:tcMar>
              <w:top w:w="80" w:type="dxa"/>
              <w:left w:w="120" w:type="dxa"/>
              <w:bottom w:w="80" w:type="dxa"/>
              <w:right w:w="120" w:type="dxa"/>
            </w:tcMar>
          </w:tcPr>
          <w:p w14:paraId="7DEDC3E6" w14:textId="77777777" w:rsidR="00887DBE" w:rsidRDefault="00000000">
            <w:r>
              <w:rPr>
                <w:sz w:val="18"/>
                <w:szCs w:val="18"/>
              </w:rPr>
              <w:t>0.005</w:t>
            </w:r>
          </w:p>
        </w:tc>
        <w:tc>
          <w:tcPr>
            <w:tcW w:w="0" w:type="auto"/>
            <w:tcMar>
              <w:top w:w="80" w:type="dxa"/>
              <w:left w:w="120" w:type="dxa"/>
              <w:bottom w:w="80" w:type="dxa"/>
              <w:right w:w="120" w:type="dxa"/>
            </w:tcMar>
          </w:tcPr>
          <w:p w14:paraId="258152CE" w14:textId="77777777" w:rsidR="00887DBE" w:rsidRDefault="00000000">
            <w:r>
              <w:rPr>
                <w:sz w:val="18"/>
                <w:szCs w:val="18"/>
              </w:rPr>
              <w:t>Negligible incremental predictive value of dose for quality</w:t>
            </w:r>
          </w:p>
        </w:tc>
      </w:tr>
      <w:tr w:rsidR="00887DBE" w14:paraId="183CBB53" w14:textId="77777777">
        <w:tc>
          <w:tcPr>
            <w:tcW w:w="0" w:type="auto"/>
            <w:tcMar>
              <w:top w:w="80" w:type="dxa"/>
              <w:left w:w="120" w:type="dxa"/>
              <w:bottom w:w="80" w:type="dxa"/>
              <w:right w:w="120" w:type="dxa"/>
            </w:tcMar>
          </w:tcPr>
          <w:p w14:paraId="0F1BD32A" w14:textId="77777777" w:rsidR="00887DBE" w:rsidRDefault="00000000">
            <w:r>
              <w:rPr>
                <w:sz w:val="18"/>
                <w:szCs w:val="18"/>
              </w:rPr>
              <w:t>Labor cost per patient</w:t>
            </w:r>
          </w:p>
        </w:tc>
        <w:tc>
          <w:tcPr>
            <w:tcW w:w="0" w:type="auto"/>
            <w:tcMar>
              <w:top w:w="80" w:type="dxa"/>
              <w:left w:w="120" w:type="dxa"/>
              <w:bottom w:w="80" w:type="dxa"/>
              <w:right w:w="120" w:type="dxa"/>
            </w:tcMar>
          </w:tcPr>
          <w:p w14:paraId="3980AA3B" w14:textId="77777777" w:rsidR="00887DBE" w:rsidRDefault="00000000">
            <w:r>
              <w:rPr>
                <w:sz w:val="18"/>
                <w:szCs w:val="18"/>
              </w:rPr>
              <w:t>0.891</w:t>
            </w:r>
          </w:p>
        </w:tc>
        <w:tc>
          <w:tcPr>
            <w:tcW w:w="0" w:type="auto"/>
            <w:tcMar>
              <w:top w:w="80" w:type="dxa"/>
              <w:left w:w="120" w:type="dxa"/>
              <w:bottom w:w="80" w:type="dxa"/>
              <w:right w:w="120" w:type="dxa"/>
            </w:tcMar>
          </w:tcPr>
          <w:p w14:paraId="180F6736" w14:textId="77777777" w:rsidR="00887DBE" w:rsidRDefault="00000000">
            <w:r>
              <w:rPr>
                <w:sz w:val="18"/>
                <w:szCs w:val="18"/>
              </w:rPr>
              <w:t>0.443</w:t>
            </w:r>
          </w:p>
        </w:tc>
        <w:tc>
          <w:tcPr>
            <w:tcW w:w="0" w:type="auto"/>
            <w:tcMar>
              <w:top w:w="80" w:type="dxa"/>
              <w:left w:w="120" w:type="dxa"/>
              <w:bottom w:w="80" w:type="dxa"/>
              <w:right w:w="120" w:type="dxa"/>
            </w:tcMar>
          </w:tcPr>
          <w:p w14:paraId="21F74AED" w14:textId="77777777" w:rsidR="00887DBE" w:rsidRDefault="00000000">
            <w:r>
              <w:rPr>
                <w:sz w:val="18"/>
                <w:szCs w:val="18"/>
              </w:rPr>
              <w:t>0.448</w:t>
            </w:r>
          </w:p>
        </w:tc>
        <w:tc>
          <w:tcPr>
            <w:tcW w:w="0" w:type="auto"/>
            <w:tcMar>
              <w:top w:w="80" w:type="dxa"/>
              <w:left w:w="120" w:type="dxa"/>
              <w:bottom w:w="80" w:type="dxa"/>
              <w:right w:w="120" w:type="dxa"/>
            </w:tcMar>
          </w:tcPr>
          <w:p w14:paraId="27022471" w14:textId="77777777" w:rsidR="00887DBE" w:rsidRDefault="00000000">
            <w:r>
              <w:rPr>
                <w:sz w:val="18"/>
                <w:szCs w:val="18"/>
              </w:rPr>
              <w:t>Large incremental predictive value of dose for cost</w:t>
            </w:r>
          </w:p>
        </w:tc>
      </w:tr>
    </w:tbl>
    <w:p w14:paraId="6CEB226F" w14:textId="77777777" w:rsidR="00887DBE" w:rsidRDefault="00887DBE">
      <w:pPr>
        <w:spacing w:after="60"/>
      </w:pPr>
    </w:p>
    <w:p w14:paraId="139500E0" w14:textId="77777777" w:rsidR="00887DBE" w:rsidRDefault="00000000">
      <w:pPr>
        <w:spacing w:after="120"/>
      </w:pPr>
      <w:r>
        <w:t>Predictive mean estimates for the dose–quality relationship across the observed staffing distribution are flat within ±0.08 T-score units across the interquartile range of dose (0.8–2.9 RN FTE per 100 patients), with overlapping 95% credible intervals. No nonlinear optimum (interior maximum or inflection point) was detected in the dose–quality surface within the observed range.</w:t>
      </w:r>
    </w:p>
    <w:p w14:paraId="564F514A" w14:textId="77777777" w:rsidR="00887DBE" w:rsidRDefault="00000000">
      <w:pPr>
        <w:spacing w:after="120"/>
      </w:pPr>
      <w:r>
        <w:t>The dose–cost relationship was strongly positive and approximately linear across the observed staffing distribution (predictive mean slope ≈ +$410/100 patients per FTE unit), consistent with Approach A linear estimates.</w:t>
      </w:r>
    </w:p>
    <w:p w14:paraId="3BEE5B66" w14:textId="77777777" w:rsidR="00887DBE" w:rsidRDefault="00887DBE">
      <w:pPr>
        <w:spacing w:after="60"/>
      </w:pPr>
    </w:p>
    <w:p w14:paraId="423537E3" w14:textId="77777777" w:rsidR="00887DBE" w:rsidRDefault="00000000">
      <w:pPr>
        <w:pStyle w:val="2"/>
      </w:pPr>
      <w:r>
        <w:rPr>
          <w:b/>
          <w:bCs/>
          <w:sz w:val="24"/>
          <w:szCs w:val="24"/>
        </w:rPr>
        <w:t>B.7  Conclusion</w:t>
      </w:r>
    </w:p>
    <w:p w14:paraId="0EADE585" w14:textId="77777777" w:rsidR="00887DBE" w:rsidRDefault="00000000">
      <w:pPr>
        <w:spacing w:after="120"/>
      </w:pPr>
      <w:r>
        <w:t>The BNN results corroborate the linear Approach A findings: staffing dose has substantial predictive value for labor cost but negligible incremental predictive value for quality beyond state, year, and observable agency characteristics. The absence of detectable nonlinearity in the dose–quality surface is consistent with the TOST equivalence finding from Approach A and reinforces the interpretation that the data do not support identification of an interior staffing optimum.</w:t>
      </w:r>
    </w:p>
    <w:p w14:paraId="404AE1EE" w14:textId="77777777" w:rsidR="00887DBE" w:rsidRDefault="00000000">
      <w:pPr>
        <w:spacing w:after="120"/>
      </w:pPr>
      <w:r>
        <w:t>Reference: Gal Y, Ghahramani Z. Dropout as a Bayesian approximation: representing model uncertainty in deep learning. In: Proceedings of the International Conference on Machine Learning. 2016:1050–1059.</w:t>
      </w:r>
    </w:p>
    <w:sectPr w:rsidR="00887DBE" w:rsidSect="00362067">
      <w:pgSz w:w="12240" w:h="15840" w:code="1"/>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DD015" w14:textId="77777777" w:rsidR="00FE079C" w:rsidRDefault="00FE079C" w:rsidP="00561715">
      <w:r>
        <w:separator/>
      </w:r>
    </w:p>
  </w:endnote>
  <w:endnote w:type="continuationSeparator" w:id="0">
    <w:p w14:paraId="42EDCFD7" w14:textId="77777777" w:rsidR="00FE079C" w:rsidRDefault="00FE079C" w:rsidP="00561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CB3C" w14:textId="77777777" w:rsidR="00FE079C" w:rsidRDefault="00FE079C" w:rsidP="00561715">
      <w:r>
        <w:separator/>
      </w:r>
    </w:p>
  </w:footnote>
  <w:footnote w:type="continuationSeparator" w:id="0">
    <w:p w14:paraId="4661744B" w14:textId="77777777" w:rsidR="00FE079C" w:rsidRDefault="00FE079C" w:rsidP="00561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4D3E"/>
    <w:multiLevelType w:val="hybridMultilevel"/>
    <w:tmpl w:val="042EBAB6"/>
    <w:lvl w:ilvl="0" w:tplc="815AFB96">
      <w:start w:val="1"/>
      <w:numFmt w:val="bullet"/>
      <w:lvlText w:val="●"/>
      <w:lvlJc w:val="left"/>
      <w:pPr>
        <w:ind w:left="720" w:hanging="360"/>
      </w:pPr>
    </w:lvl>
    <w:lvl w:ilvl="1" w:tplc="5EEE6B84">
      <w:start w:val="1"/>
      <w:numFmt w:val="bullet"/>
      <w:lvlText w:val="○"/>
      <w:lvlJc w:val="left"/>
      <w:pPr>
        <w:ind w:left="1440" w:hanging="360"/>
      </w:pPr>
    </w:lvl>
    <w:lvl w:ilvl="2" w:tplc="0AA853CE">
      <w:start w:val="1"/>
      <w:numFmt w:val="bullet"/>
      <w:lvlText w:val="■"/>
      <w:lvlJc w:val="left"/>
      <w:pPr>
        <w:ind w:left="2160" w:hanging="360"/>
      </w:pPr>
    </w:lvl>
    <w:lvl w:ilvl="3" w:tplc="68B0C452">
      <w:start w:val="1"/>
      <w:numFmt w:val="bullet"/>
      <w:lvlText w:val="●"/>
      <w:lvlJc w:val="left"/>
      <w:pPr>
        <w:ind w:left="2880" w:hanging="360"/>
      </w:pPr>
    </w:lvl>
    <w:lvl w:ilvl="4" w:tplc="FBAC9FFC">
      <w:start w:val="1"/>
      <w:numFmt w:val="bullet"/>
      <w:lvlText w:val="○"/>
      <w:lvlJc w:val="left"/>
      <w:pPr>
        <w:ind w:left="3600" w:hanging="360"/>
      </w:pPr>
    </w:lvl>
    <w:lvl w:ilvl="5" w:tplc="29ECA316">
      <w:start w:val="1"/>
      <w:numFmt w:val="bullet"/>
      <w:lvlText w:val="■"/>
      <w:lvlJc w:val="left"/>
      <w:pPr>
        <w:ind w:left="4320" w:hanging="360"/>
      </w:pPr>
    </w:lvl>
    <w:lvl w:ilvl="6" w:tplc="EC2CF5F2">
      <w:start w:val="1"/>
      <w:numFmt w:val="bullet"/>
      <w:lvlText w:val="●"/>
      <w:lvlJc w:val="left"/>
      <w:pPr>
        <w:ind w:left="5040" w:hanging="360"/>
      </w:pPr>
    </w:lvl>
    <w:lvl w:ilvl="7" w:tplc="0B2CD8DE">
      <w:start w:val="1"/>
      <w:numFmt w:val="bullet"/>
      <w:lvlText w:val="●"/>
      <w:lvlJc w:val="left"/>
      <w:pPr>
        <w:ind w:left="5760" w:hanging="360"/>
      </w:pPr>
    </w:lvl>
    <w:lvl w:ilvl="8" w:tplc="552283BC">
      <w:start w:val="1"/>
      <w:numFmt w:val="bullet"/>
      <w:lvlText w:val="●"/>
      <w:lvlJc w:val="left"/>
      <w:pPr>
        <w:ind w:left="6480" w:hanging="360"/>
      </w:pPr>
    </w:lvl>
  </w:abstractNum>
  <w:num w:numId="1" w16cid:durableId="7074855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displayBackgroundShape/>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DBE"/>
    <w:rsid w:val="00146333"/>
    <w:rsid w:val="002B5E76"/>
    <w:rsid w:val="00362067"/>
    <w:rsid w:val="00561715"/>
    <w:rsid w:val="00887DBE"/>
    <w:rsid w:val="00FE07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403F7"/>
  <w15:docId w15:val="{32884214-27ED-4376-9FEB-B1711B03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561715"/>
    <w:pPr>
      <w:tabs>
        <w:tab w:val="center" w:pos="4513"/>
        <w:tab w:val="right" w:pos="9026"/>
      </w:tabs>
      <w:snapToGrid w:val="0"/>
    </w:pPr>
  </w:style>
  <w:style w:type="character" w:customStyle="1" w:styleId="Char1">
    <w:name w:val="머리글 Char"/>
    <w:basedOn w:val="a0"/>
    <w:link w:val="aa"/>
    <w:uiPriority w:val="99"/>
    <w:rsid w:val="00561715"/>
  </w:style>
  <w:style w:type="paragraph" w:styleId="ab">
    <w:name w:val="footer"/>
    <w:basedOn w:val="a"/>
    <w:link w:val="Char2"/>
    <w:uiPriority w:val="99"/>
    <w:unhideWhenUsed/>
    <w:rsid w:val="00561715"/>
    <w:pPr>
      <w:tabs>
        <w:tab w:val="center" w:pos="4513"/>
        <w:tab w:val="right" w:pos="9026"/>
      </w:tabs>
      <w:snapToGrid w:val="0"/>
    </w:pPr>
  </w:style>
  <w:style w:type="character" w:customStyle="1" w:styleId="Char2">
    <w:name w:val="바닥글 Char"/>
    <w:basedOn w:val="a0"/>
    <w:link w:val="ab"/>
    <w:uiPriority w:val="99"/>
    <w:rsid w:val="00561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이서빈</cp:lastModifiedBy>
  <cp:revision>3</cp:revision>
  <dcterms:created xsi:type="dcterms:W3CDTF">2026-07-06T07:56:00Z</dcterms:created>
  <dcterms:modified xsi:type="dcterms:W3CDTF">2026-07-12T14:22:00Z</dcterms:modified>
</cp:coreProperties>
</file>