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EC106" w14:textId="77777777" w:rsidR="000D5D82" w:rsidRDefault="00000000">
      <w:pPr>
        <w:spacing w:after="120"/>
      </w:pPr>
      <w:proofErr w:type="spellStart"/>
      <w:r>
        <w:rPr>
          <w:b/>
          <w:bCs/>
          <w:sz w:val="28"/>
          <w:szCs w:val="28"/>
        </w:rPr>
        <w:t>eAppendix</w:t>
      </w:r>
      <w:proofErr w:type="spellEnd"/>
      <w:r>
        <w:rPr>
          <w:b/>
          <w:bCs/>
          <w:sz w:val="28"/>
          <w:szCs w:val="28"/>
        </w:rPr>
        <w:t xml:space="preserve"> A</w:t>
      </w:r>
    </w:p>
    <w:p w14:paraId="54DFE350" w14:textId="77777777" w:rsidR="000D5D82" w:rsidRDefault="00000000">
      <w:pPr>
        <w:pStyle w:val="1"/>
      </w:pPr>
      <w:r>
        <w:rPr>
          <w:b/>
          <w:bCs/>
          <w:sz w:val="28"/>
          <w:szCs w:val="28"/>
        </w:rPr>
        <w:t>Data Quality Screening Protocol</w:t>
      </w:r>
    </w:p>
    <w:p w14:paraId="2C204FA0" w14:textId="77777777" w:rsidR="000D5D82" w:rsidRDefault="00000000">
      <w:pPr>
        <w:spacing w:after="120"/>
      </w:pPr>
      <w:r>
        <w:rPr>
          <w:i/>
          <w:iCs/>
        </w:rPr>
        <w:t xml:space="preserve">Can National Administrative Data Identify Optimal Nurse Staffing? </w:t>
      </w:r>
      <w:proofErr w:type="spellStart"/>
      <w:r>
        <w:rPr>
          <w:i/>
          <w:iCs/>
        </w:rPr>
        <w:t>Estimand</w:t>
      </w:r>
      <w:proofErr w:type="spellEnd"/>
      <w:r>
        <w:rPr>
          <w:i/>
          <w:iCs/>
        </w:rPr>
        <w:t xml:space="preserve"> Instability and Data Quality Failures in CMS Home Health Panel Data</w:t>
      </w:r>
    </w:p>
    <w:p w14:paraId="6E9B859D" w14:textId="77777777" w:rsidR="000D5D82" w:rsidRDefault="000D5D82">
      <w:pPr>
        <w:spacing w:after="60"/>
      </w:pPr>
    </w:p>
    <w:p w14:paraId="5F61C5BB" w14:textId="77777777" w:rsidR="000D5D82" w:rsidRDefault="00000000">
      <w:pPr>
        <w:pStyle w:val="2"/>
      </w:pPr>
      <w:proofErr w:type="gramStart"/>
      <w:r>
        <w:rPr>
          <w:b/>
          <w:bCs/>
          <w:sz w:val="24"/>
          <w:szCs w:val="24"/>
        </w:rPr>
        <w:t>A.1  Overview</w:t>
      </w:r>
      <w:proofErr w:type="gramEnd"/>
    </w:p>
    <w:p w14:paraId="44EB6DC7" w14:textId="77777777" w:rsidR="000D5D82" w:rsidRDefault="00000000">
      <w:pPr>
        <w:spacing w:after="120"/>
      </w:pPr>
      <w:r>
        <w:t xml:space="preserve">This appendix documents all data quality screening decisions applied to the CMS Home Health Compare merged panel (FY2016–2018). All decisions were logged prospectively and are archived in </w:t>
      </w:r>
      <w:proofErr w:type="gramStart"/>
      <w:r>
        <w:t>full in</w:t>
      </w:r>
      <w:proofErr w:type="gramEnd"/>
      <w:r>
        <w:t xml:space="preserve"> </w:t>
      </w:r>
      <w:proofErr w:type="spellStart"/>
      <w:r>
        <w:t>eAppendix</w:t>
      </w:r>
      <w:proofErr w:type="spellEnd"/>
      <w:r>
        <w:t xml:space="preserve"> C. The screening proceeded in four sequential stages; exclusions were applied cumulatively.</w:t>
      </w:r>
    </w:p>
    <w:p w14:paraId="16DF32C7" w14:textId="77777777" w:rsidR="000D5D82" w:rsidRDefault="000D5D82">
      <w:pPr>
        <w:spacing w:after="60"/>
      </w:pPr>
    </w:p>
    <w:p w14:paraId="0BABBAB6" w14:textId="77777777" w:rsidR="000D5D82" w:rsidRDefault="00000000">
      <w:pPr>
        <w:pStyle w:val="2"/>
      </w:pPr>
      <w:proofErr w:type="gramStart"/>
      <w:r>
        <w:rPr>
          <w:b/>
          <w:bCs/>
          <w:sz w:val="24"/>
          <w:szCs w:val="24"/>
        </w:rPr>
        <w:t>A.2  Data</w:t>
      </w:r>
      <w:proofErr w:type="gramEnd"/>
      <w:r>
        <w:rPr>
          <w:b/>
          <w:bCs/>
          <w:sz w:val="24"/>
          <w:szCs w:val="24"/>
        </w:rPr>
        <w:t xml:space="preserve"> Sources and Initial Linkage</w:t>
      </w:r>
    </w:p>
    <w:p w14:paraId="5626975B" w14:textId="77777777" w:rsidR="000D5D82" w:rsidRDefault="00000000">
      <w:pPr>
        <w:spacing w:after="120"/>
      </w:pPr>
      <w:r>
        <w:t>Three annual waves of CMS Home Health Compare public use files (FY2016–2018) were merged with:</w:t>
      </w:r>
    </w:p>
    <w:p w14:paraId="21896397" w14:textId="77777777" w:rsidR="000D5D82" w:rsidRDefault="00000000">
      <w:pPr>
        <w:spacing w:after="80"/>
        <w:ind w:left="360" w:hanging="240"/>
      </w:pPr>
      <w:r>
        <w:t>•  CMS Home Health Agency (HHA) Cost Report (Form CMS-1728-</w:t>
      </w:r>
      <w:proofErr w:type="gramStart"/>
      <w:r>
        <w:t>94) —</w:t>
      </w:r>
      <w:proofErr w:type="gramEnd"/>
      <w:r>
        <w:t xml:space="preserve"> staffing intensity and labor cost variables</w:t>
      </w:r>
    </w:p>
    <w:p w14:paraId="2EBE500E" w14:textId="77777777" w:rsidR="000D5D82" w:rsidRDefault="00000000">
      <w:pPr>
        <w:spacing w:after="80"/>
        <w:ind w:left="360" w:hanging="240"/>
      </w:pPr>
      <w:r>
        <w:t>•  CMS Inpatient Prospective Payment System (IPPS) Summary Reports (FY2016–2018) — mean inpatient payment per admission</w:t>
      </w:r>
    </w:p>
    <w:p w14:paraId="5611E567" w14:textId="77777777" w:rsidR="000D5D82" w:rsidRDefault="00000000">
      <w:pPr>
        <w:spacing w:after="80"/>
        <w:ind w:left="360" w:hanging="240"/>
      </w:pPr>
      <w:r>
        <w:t>•  CMS Geographic Variation Public Use File — Puerto Rico inpatient cost estimation</w:t>
      </w:r>
    </w:p>
    <w:p w14:paraId="079A82BA" w14:textId="1B04112A" w:rsidR="000D5D82" w:rsidRDefault="00000000">
      <w:pPr>
        <w:spacing w:after="120"/>
      </w:pPr>
      <w:r>
        <w:t xml:space="preserve">Initial merged file: </w:t>
      </w:r>
      <w:r w:rsidR="007A27F8" w:rsidRPr="007A27F8">
        <w:t xml:space="preserve">21,425 </w:t>
      </w:r>
      <w:r>
        <w:t>agency-year observations across three waves.</w:t>
      </w:r>
    </w:p>
    <w:p w14:paraId="4D95D909" w14:textId="77777777" w:rsidR="000D5D82" w:rsidRDefault="000D5D82">
      <w:pPr>
        <w:spacing w:after="60"/>
      </w:pPr>
    </w:p>
    <w:p w14:paraId="08B40258" w14:textId="77777777" w:rsidR="000D5D82" w:rsidRDefault="00000000">
      <w:pPr>
        <w:pStyle w:val="2"/>
      </w:pPr>
      <w:proofErr w:type="gramStart"/>
      <w:r>
        <w:rPr>
          <w:b/>
          <w:bCs/>
          <w:sz w:val="24"/>
          <w:szCs w:val="24"/>
        </w:rPr>
        <w:t>A.3  Stage</w:t>
      </w:r>
      <w:proofErr w:type="gramEnd"/>
      <w:r>
        <w:rPr>
          <w:b/>
          <w:bCs/>
          <w:sz w:val="24"/>
          <w:szCs w:val="24"/>
        </w:rPr>
        <w:t xml:space="preserve"> 1: Structural Exclusions (Missingness and Data Type)</w:t>
      </w:r>
    </w:p>
    <w:tbl>
      <w:tblPr>
        <w:tblW w:w="9200" w:type="dxa"/>
        <w:tblBorders>
          <w:top w:val="single" w:sz="4" w:space="0" w:color="4472C4"/>
          <w:left w:val="single" w:sz="4" w:space="0" w:color="4472C4"/>
          <w:bottom w:val="single" w:sz="4" w:space="0" w:color="4472C4"/>
          <w:right w:val="single" w:sz="4" w:space="0" w:color="4472C4"/>
          <w:insideH w:val="single" w:sz="2" w:space="0" w:color="9DC3E6"/>
          <w:insideV w:val="single" w:sz="2" w:space="0" w:color="9DC3E6"/>
        </w:tblBorders>
        <w:tblCellMar>
          <w:left w:w="10" w:type="dxa"/>
          <w:right w:w="10" w:type="dxa"/>
        </w:tblCellMar>
        <w:tblLook w:val="04A0" w:firstRow="1" w:lastRow="0" w:firstColumn="1" w:lastColumn="0" w:noHBand="0" w:noVBand="1"/>
      </w:tblPr>
      <w:tblGrid>
        <w:gridCol w:w="916"/>
        <w:gridCol w:w="3445"/>
        <w:gridCol w:w="2551"/>
        <w:gridCol w:w="1207"/>
        <w:gridCol w:w="1081"/>
      </w:tblGrid>
      <w:tr w:rsidR="000D5D82" w14:paraId="50BF3F62" w14:textId="77777777" w:rsidTr="004415AF">
        <w:trPr>
          <w:tblHeader/>
        </w:trPr>
        <w:tc>
          <w:tcPr>
            <w:tcW w:w="0" w:type="auto"/>
            <w:shd w:val="clear" w:color="auto" w:fill="D9E1F2"/>
            <w:tcMar>
              <w:top w:w="80" w:type="dxa"/>
              <w:left w:w="120" w:type="dxa"/>
              <w:bottom w:w="80" w:type="dxa"/>
              <w:right w:w="120" w:type="dxa"/>
            </w:tcMar>
          </w:tcPr>
          <w:p w14:paraId="7CCA95CC" w14:textId="77777777" w:rsidR="000D5D82" w:rsidRDefault="00000000">
            <w:r>
              <w:rPr>
                <w:b/>
                <w:bCs/>
                <w:sz w:val="18"/>
                <w:szCs w:val="18"/>
              </w:rPr>
              <w:t>Decision Item</w:t>
            </w:r>
          </w:p>
        </w:tc>
        <w:tc>
          <w:tcPr>
            <w:tcW w:w="3445" w:type="dxa"/>
            <w:shd w:val="clear" w:color="auto" w:fill="D9E1F2"/>
            <w:tcMar>
              <w:top w:w="80" w:type="dxa"/>
              <w:left w:w="120" w:type="dxa"/>
              <w:bottom w:w="80" w:type="dxa"/>
              <w:right w:w="120" w:type="dxa"/>
            </w:tcMar>
          </w:tcPr>
          <w:p w14:paraId="02E1BD48" w14:textId="77777777" w:rsidR="000D5D82" w:rsidRDefault="00000000">
            <w:r>
              <w:rPr>
                <w:b/>
                <w:bCs/>
                <w:sz w:val="18"/>
                <w:szCs w:val="18"/>
              </w:rPr>
              <w:t>Criterion</w:t>
            </w:r>
          </w:p>
        </w:tc>
        <w:tc>
          <w:tcPr>
            <w:tcW w:w="2551" w:type="dxa"/>
            <w:shd w:val="clear" w:color="auto" w:fill="D9E1F2"/>
            <w:tcMar>
              <w:top w:w="80" w:type="dxa"/>
              <w:left w:w="120" w:type="dxa"/>
              <w:bottom w:w="80" w:type="dxa"/>
              <w:right w:w="120" w:type="dxa"/>
            </w:tcMar>
          </w:tcPr>
          <w:p w14:paraId="29272489" w14:textId="77777777" w:rsidR="000D5D82" w:rsidRDefault="00000000">
            <w:r>
              <w:rPr>
                <w:b/>
                <w:bCs/>
                <w:sz w:val="18"/>
                <w:szCs w:val="18"/>
              </w:rPr>
              <w:t>Rationale</w:t>
            </w:r>
          </w:p>
        </w:tc>
        <w:tc>
          <w:tcPr>
            <w:tcW w:w="1178" w:type="dxa"/>
            <w:shd w:val="clear" w:color="auto" w:fill="D9E1F2"/>
            <w:tcMar>
              <w:top w:w="80" w:type="dxa"/>
              <w:left w:w="120" w:type="dxa"/>
              <w:bottom w:w="80" w:type="dxa"/>
              <w:right w:w="120" w:type="dxa"/>
            </w:tcMar>
          </w:tcPr>
          <w:p w14:paraId="5DB16A25" w14:textId="77777777" w:rsidR="000D5D82" w:rsidRDefault="00000000">
            <w:r>
              <w:rPr>
                <w:b/>
                <w:bCs/>
                <w:sz w:val="18"/>
                <w:szCs w:val="18"/>
              </w:rPr>
              <w:t>N Excluded</w:t>
            </w:r>
          </w:p>
        </w:tc>
        <w:tc>
          <w:tcPr>
            <w:tcW w:w="0" w:type="auto"/>
            <w:shd w:val="clear" w:color="auto" w:fill="D9E1F2"/>
            <w:tcMar>
              <w:top w:w="80" w:type="dxa"/>
              <w:left w:w="120" w:type="dxa"/>
              <w:bottom w:w="80" w:type="dxa"/>
              <w:right w:w="120" w:type="dxa"/>
            </w:tcMar>
          </w:tcPr>
          <w:p w14:paraId="7A41FE21" w14:textId="77777777" w:rsidR="000D5D82" w:rsidRDefault="00000000">
            <w:r>
              <w:rPr>
                <w:b/>
                <w:bCs/>
                <w:sz w:val="18"/>
                <w:szCs w:val="18"/>
              </w:rPr>
              <w:t>Remaining</w:t>
            </w:r>
          </w:p>
        </w:tc>
      </w:tr>
      <w:tr w:rsidR="000D5D82" w14:paraId="19CAA6C5" w14:textId="77777777" w:rsidTr="004415AF">
        <w:tc>
          <w:tcPr>
            <w:tcW w:w="0" w:type="auto"/>
            <w:tcMar>
              <w:top w:w="80" w:type="dxa"/>
              <w:left w:w="120" w:type="dxa"/>
              <w:bottom w:w="80" w:type="dxa"/>
              <w:right w:w="120" w:type="dxa"/>
            </w:tcMar>
          </w:tcPr>
          <w:p w14:paraId="53EF7522" w14:textId="77777777" w:rsidR="000D5D82" w:rsidRDefault="00000000">
            <w:r>
              <w:rPr>
                <w:sz w:val="18"/>
                <w:szCs w:val="18"/>
              </w:rPr>
              <w:t>Item 1</w:t>
            </w:r>
          </w:p>
        </w:tc>
        <w:tc>
          <w:tcPr>
            <w:tcW w:w="3445" w:type="dxa"/>
            <w:tcMar>
              <w:top w:w="80" w:type="dxa"/>
              <w:left w:w="120" w:type="dxa"/>
              <w:bottom w:w="80" w:type="dxa"/>
              <w:right w:w="120" w:type="dxa"/>
            </w:tcMar>
          </w:tcPr>
          <w:p w14:paraId="246D6DB9" w14:textId="77777777" w:rsidR="000D5D82" w:rsidRDefault="00000000">
            <w:r>
              <w:rPr>
                <w:sz w:val="18"/>
                <w:szCs w:val="18"/>
              </w:rPr>
              <w:t>RN FTE = 0 or missing (blank)</w:t>
            </w:r>
          </w:p>
        </w:tc>
        <w:tc>
          <w:tcPr>
            <w:tcW w:w="2551" w:type="dxa"/>
            <w:tcMar>
              <w:top w:w="80" w:type="dxa"/>
              <w:left w:w="120" w:type="dxa"/>
              <w:bottom w:w="80" w:type="dxa"/>
              <w:right w:w="120" w:type="dxa"/>
            </w:tcMar>
          </w:tcPr>
          <w:p w14:paraId="151719EB" w14:textId="77777777" w:rsidR="000D5D82" w:rsidRDefault="00000000">
            <w:r>
              <w:rPr>
                <w:sz w:val="18"/>
                <w:szCs w:val="18"/>
              </w:rPr>
              <w:t>Agencies with zero or unreported RN service are outside the research scope of staffing optimization</w:t>
            </w:r>
          </w:p>
        </w:tc>
        <w:tc>
          <w:tcPr>
            <w:tcW w:w="1178" w:type="dxa"/>
            <w:tcMar>
              <w:top w:w="80" w:type="dxa"/>
              <w:left w:w="120" w:type="dxa"/>
              <w:bottom w:w="80" w:type="dxa"/>
              <w:right w:w="120" w:type="dxa"/>
            </w:tcMar>
          </w:tcPr>
          <w:p w14:paraId="3249F954" w14:textId="77777777" w:rsidR="000D5D82" w:rsidRDefault="00000000">
            <w:r>
              <w:rPr>
                <w:sz w:val="18"/>
                <w:szCs w:val="18"/>
              </w:rPr>
              <w:t>3,333 (zero=605; blank=2,728)</w:t>
            </w:r>
          </w:p>
        </w:tc>
        <w:tc>
          <w:tcPr>
            <w:tcW w:w="0" w:type="auto"/>
            <w:tcMar>
              <w:top w:w="80" w:type="dxa"/>
              <w:left w:w="120" w:type="dxa"/>
              <w:bottom w:w="80" w:type="dxa"/>
              <w:right w:w="120" w:type="dxa"/>
            </w:tcMar>
          </w:tcPr>
          <w:p w14:paraId="5AEEE4C1" w14:textId="37526B9B" w:rsidR="000D5D82" w:rsidRDefault="00634C3A">
            <w:r w:rsidRPr="00634C3A">
              <w:rPr>
                <w:sz w:val="18"/>
                <w:szCs w:val="18"/>
              </w:rPr>
              <w:t>18,092</w:t>
            </w:r>
          </w:p>
        </w:tc>
      </w:tr>
      <w:tr w:rsidR="000D5D82" w14:paraId="5E991560" w14:textId="77777777" w:rsidTr="004415AF">
        <w:tc>
          <w:tcPr>
            <w:tcW w:w="0" w:type="auto"/>
            <w:tcMar>
              <w:top w:w="80" w:type="dxa"/>
              <w:left w:w="120" w:type="dxa"/>
              <w:bottom w:w="80" w:type="dxa"/>
              <w:right w:w="120" w:type="dxa"/>
            </w:tcMar>
          </w:tcPr>
          <w:p w14:paraId="0E6C8133" w14:textId="77777777" w:rsidR="000D5D82" w:rsidRDefault="00000000">
            <w:r>
              <w:rPr>
                <w:sz w:val="18"/>
                <w:szCs w:val="18"/>
              </w:rPr>
              <w:t>Item 2</w:t>
            </w:r>
          </w:p>
        </w:tc>
        <w:tc>
          <w:tcPr>
            <w:tcW w:w="3445" w:type="dxa"/>
            <w:tcMar>
              <w:top w:w="80" w:type="dxa"/>
              <w:left w:w="120" w:type="dxa"/>
              <w:bottom w:w="80" w:type="dxa"/>
              <w:right w:w="120" w:type="dxa"/>
            </w:tcMar>
          </w:tcPr>
          <w:p w14:paraId="18B2A3F7" w14:textId="77777777" w:rsidR="004415AF" w:rsidRDefault="004415AF">
            <w:pPr>
              <w:rPr>
                <w:sz w:val="18"/>
                <w:szCs w:val="18"/>
              </w:rPr>
            </w:pPr>
            <w:r w:rsidRPr="004415AF">
              <w:rPr>
                <w:sz w:val="18"/>
                <w:szCs w:val="18"/>
              </w:rPr>
              <w:t xml:space="preserve">Preliminary integrity screen: </w:t>
            </w:r>
            <w:proofErr w:type="spellStart"/>
            <w:r w:rsidRPr="004415AF">
              <w:rPr>
                <w:sz w:val="18"/>
                <w:szCs w:val="18"/>
              </w:rPr>
              <w:t>N_Patients_Skilled_Nursing</w:t>
            </w:r>
            <w:proofErr w:type="spellEnd"/>
            <w:r w:rsidRPr="004415AF">
              <w:rPr>
                <w:sz w:val="18"/>
                <w:szCs w:val="18"/>
              </w:rPr>
              <w:t xml:space="preserve"> &lt; 20 (n = 319); </w:t>
            </w:r>
          </w:p>
          <w:p w14:paraId="427F6690" w14:textId="77777777" w:rsidR="004415AF" w:rsidRDefault="004415AF">
            <w:pPr>
              <w:rPr>
                <w:sz w:val="18"/>
                <w:szCs w:val="18"/>
              </w:rPr>
            </w:pPr>
            <w:r w:rsidRPr="004415AF">
              <w:rPr>
                <w:sz w:val="18"/>
                <w:szCs w:val="18"/>
              </w:rPr>
              <w:t xml:space="preserve">RN FTE &gt; 5,000 (n = 46); </w:t>
            </w:r>
          </w:p>
          <w:p w14:paraId="6FB6C76D" w14:textId="77777777" w:rsidR="004415AF" w:rsidRDefault="004415AF">
            <w:pPr>
              <w:rPr>
                <w:sz w:val="18"/>
                <w:szCs w:val="18"/>
              </w:rPr>
            </w:pPr>
            <w:r w:rsidRPr="004415AF">
              <w:rPr>
                <w:sz w:val="18"/>
                <w:szCs w:val="18"/>
              </w:rPr>
              <w:t xml:space="preserve">both criteria (n = 4); </w:t>
            </w:r>
          </w:p>
          <w:p w14:paraId="73A54CC1" w14:textId="2C8E71F6" w:rsidR="000D5D82" w:rsidRDefault="004415AF">
            <w:r w:rsidRPr="004415AF">
              <w:rPr>
                <w:sz w:val="18"/>
                <w:szCs w:val="18"/>
              </w:rPr>
              <w:t>physically implausible raw staffing ratio, FTE per 100 patients &gt; 1,000 (n = 2)</w:t>
            </w:r>
          </w:p>
        </w:tc>
        <w:tc>
          <w:tcPr>
            <w:tcW w:w="2551" w:type="dxa"/>
            <w:tcMar>
              <w:top w:w="80" w:type="dxa"/>
              <w:left w:w="120" w:type="dxa"/>
              <w:bottom w:w="80" w:type="dxa"/>
              <w:right w:w="120" w:type="dxa"/>
            </w:tcMar>
          </w:tcPr>
          <w:p w14:paraId="277E700A" w14:textId="0F49AE38" w:rsidR="000D5D82" w:rsidRDefault="004415AF">
            <w:r w:rsidRPr="004415AF">
              <w:rPr>
                <w:sz w:val="18"/>
                <w:szCs w:val="18"/>
              </w:rPr>
              <w:t>Patient denominators too small for stable ratio construction; FTE magnitudes inconsistent with agency-level reporting; raw staffing ratios of ~2,900–3,800 per 100 patients are physically impossible</w:t>
            </w:r>
          </w:p>
        </w:tc>
        <w:tc>
          <w:tcPr>
            <w:tcW w:w="1178" w:type="dxa"/>
            <w:tcMar>
              <w:top w:w="80" w:type="dxa"/>
              <w:left w:w="120" w:type="dxa"/>
              <w:bottom w:w="80" w:type="dxa"/>
              <w:right w:w="120" w:type="dxa"/>
            </w:tcMar>
          </w:tcPr>
          <w:p w14:paraId="389D0713" w14:textId="23D43CE3" w:rsidR="000D5D82" w:rsidRDefault="004415AF">
            <w:r w:rsidRPr="004415AF">
              <w:rPr>
                <w:sz w:val="18"/>
                <w:szCs w:val="18"/>
              </w:rPr>
              <w:t>371</w:t>
            </w:r>
          </w:p>
        </w:tc>
        <w:tc>
          <w:tcPr>
            <w:tcW w:w="0" w:type="auto"/>
            <w:tcMar>
              <w:top w:w="80" w:type="dxa"/>
              <w:left w:w="120" w:type="dxa"/>
              <w:bottom w:w="80" w:type="dxa"/>
              <w:right w:w="120" w:type="dxa"/>
            </w:tcMar>
          </w:tcPr>
          <w:p w14:paraId="7B253CC4" w14:textId="3178FBDC" w:rsidR="000D5D82" w:rsidRDefault="004415AF">
            <w:r w:rsidRPr="004415AF">
              <w:rPr>
                <w:sz w:val="18"/>
                <w:szCs w:val="18"/>
              </w:rPr>
              <w:t>17,721</w:t>
            </w:r>
          </w:p>
        </w:tc>
      </w:tr>
    </w:tbl>
    <w:p w14:paraId="07464DE8" w14:textId="77777777" w:rsidR="000D5D82" w:rsidRDefault="000D5D82">
      <w:pPr>
        <w:spacing w:after="60"/>
      </w:pPr>
    </w:p>
    <w:p w14:paraId="2F276C90" w14:textId="77777777" w:rsidR="000D5D82" w:rsidRDefault="00000000">
      <w:pPr>
        <w:pStyle w:val="2"/>
      </w:pPr>
      <w:proofErr w:type="gramStart"/>
      <w:r>
        <w:rPr>
          <w:b/>
          <w:bCs/>
          <w:sz w:val="24"/>
          <w:szCs w:val="24"/>
        </w:rPr>
        <w:t>A.4  Stage</w:t>
      </w:r>
      <w:proofErr w:type="gramEnd"/>
      <w:r>
        <w:rPr>
          <w:b/>
          <w:bCs/>
          <w:sz w:val="24"/>
          <w:szCs w:val="24"/>
        </w:rPr>
        <w:t xml:space="preserve"> 2: Minimum Patient Volume Screen</w:t>
      </w:r>
    </w:p>
    <w:p w14:paraId="167C9B65" w14:textId="77777777" w:rsidR="000D5D82" w:rsidRDefault="00000000">
      <w:pPr>
        <w:spacing w:after="120"/>
      </w:pPr>
      <w:r>
        <w:t>Decision Item 3 (prospective log): Agencies with fewer than 40 skilled nursing patients per agency-year were excluded.</w:t>
      </w:r>
    </w:p>
    <w:p w14:paraId="45622551" w14:textId="0B649C59" w:rsidR="000D5D82" w:rsidRDefault="00000000">
      <w:pPr>
        <w:spacing w:after="120"/>
      </w:pPr>
      <w:r>
        <w:t xml:space="preserve">Rationale: (1) The staffing dose variable (RN FTE per 100 skilled-nursing patients) becomes numerically unstable at very small denominators—empirical checks detected values exceeding 371,861 per 100 patients when the denominator was in single digits. (2) CMS applies an analogous 40-respondent threshold in HHCAHPS star rating computation. (3) Estimates from very-small agencies are not generalizable to the policy-relevant population of agencies </w:t>
      </w:r>
      <w:proofErr w:type="gramStart"/>
      <w:r>
        <w:t>operating at</w:t>
      </w:r>
      <w:proofErr w:type="gramEnd"/>
      <w:r>
        <w:t xml:space="preserve"> meaningful scale.</w:t>
      </w:r>
      <w:r w:rsidR="002D7447">
        <w:rPr>
          <w:rFonts w:hint="eastAsia"/>
        </w:rPr>
        <w:t xml:space="preserve"> </w:t>
      </w:r>
      <w:r w:rsidR="002D7447" w:rsidRPr="002D7447">
        <w:t>This screen tightened the preliminary integrity threshold of N &lt; 20 (Stage 1) to the CMS-aligned threshold of 40</w:t>
      </w:r>
      <w:r w:rsidR="002D7447">
        <w:rPr>
          <w:rFonts w:hint="eastAsia"/>
        </w:rPr>
        <w:t>.</w:t>
      </w:r>
    </w:p>
    <w:p w14:paraId="613E7408" w14:textId="2E64A15F" w:rsidR="000D5D82" w:rsidRDefault="00000000">
      <w:pPr>
        <w:spacing w:after="120"/>
      </w:pPr>
      <w:r>
        <w:t xml:space="preserve">Exclusion count: </w:t>
      </w:r>
      <w:r w:rsidR="007A27F8">
        <w:rPr>
          <w:rFonts w:hint="eastAsia"/>
        </w:rPr>
        <w:t>881</w:t>
      </w:r>
      <w:r>
        <w:t xml:space="preserve"> agency-years. Remaining after this screen: </w:t>
      </w:r>
      <w:r w:rsidR="00634C3A" w:rsidRPr="00634C3A">
        <w:t>16,840</w:t>
      </w:r>
      <w:r>
        <w:t>.</w:t>
      </w:r>
    </w:p>
    <w:p w14:paraId="33F64E6B" w14:textId="77777777" w:rsidR="000D5D82" w:rsidRDefault="000D5D82">
      <w:pPr>
        <w:spacing w:after="60"/>
      </w:pPr>
    </w:p>
    <w:p w14:paraId="0B2B2DD9" w14:textId="77777777" w:rsidR="000D5D82" w:rsidRDefault="00000000">
      <w:pPr>
        <w:pStyle w:val="2"/>
      </w:pPr>
      <w:proofErr w:type="gramStart"/>
      <w:r>
        <w:rPr>
          <w:b/>
          <w:bCs/>
          <w:sz w:val="24"/>
          <w:szCs w:val="24"/>
        </w:rPr>
        <w:t>A.5  Stage</w:t>
      </w:r>
      <w:proofErr w:type="gramEnd"/>
      <w:r>
        <w:rPr>
          <w:b/>
          <w:bCs/>
          <w:sz w:val="24"/>
          <w:szCs w:val="24"/>
        </w:rPr>
        <w:t xml:space="preserve"> 3: Implausible Cost-Per-Patient Screen</w:t>
      </w:r>
    </w:p>
    <w:p w14:paraId="3C46399E" w14:textId="77777777" w:rsidR="00E75FFD" w:rsidRDefault="00E75FFD" w:rsidP="00E75FFD">
      <w:pPr>
        <w:spacing w:after="240"/>
      </w:pPr>
      <w:r w:rsidRPr="00E75FFD">
        <w:t xml:space="preserve">Decision Item (prospective log, Items 76–83): Agency-years with skilled nursing labor cost per patient exceeding </w:t>
      </w:r>
      <w:r w:rsidRPr="00E75FFD">
        <w:lastRenderedPageBreak/>
        <w:t xml:space="preserve">$138,000 were excluded (n = 12). The threshold was identified via natural breakpoint analysis of the cost-per-patient distribution, consistent with Zhang et al.'s data screening approach. Cost figures of this magnitude are inconsistent with the structure of Medicare home health reimbursement and indicate unreliable patient count reporting. This screen was applied after the minimum-N exclusion because the two failure modes interact. </w:t>
      </w:r>
    </w:p>
    <w:p w14:paraId="31D017EF" w14:textId="5F2C29A3" w:rsidR="000D5D82" w:rsidRDefault="00E75FFD" w:rsidP="00E75FFD">
      <w:pPr>
        <w:spacing w:after="60"/>
      </w:pPr>
      <w:r w:rsidRPr="00E75FFD">
        <w:t>Exclusion count: 12 agency-years. Remaining: 16,828 (final main panel)</w:t>
      </w:r>
    </w:p>
    <w:p w14:paraId="13AE5814" w14:textId="77777777" w:rsidR="00E75FFD" w:rsidRDefault="00E75FFD">
      <w:pPr>
        <w:spacing w:after="60"/>
      </w:pPr>
    </w:p>
    <w:p w14:paraId="17330584" w14:textId="77777777" w:rsidR="000D5D82" w:rsidRDefault="00000000">
      <w:pPr>
        <w:pStyle w:val="2"/>
      </w:pPr>
      <w:proofErr w:type="gramStart"/>
      <w:r>
        <w:rPr>
          <w:b/>
          <w:bCs/>
          <w:sz w:val="24"/>
          <w:szCs w:val="24"/>
        </w:rPr>
        <w:t>A.6  Stage</w:t>
      </w:r>
      <w:proofErr w:type="gramEnd"/>
      <w:r>
        <w:rPr>
          <w:b/>
          <w:bCs/>
          <w:sz w:val="24"/>
          <w:szCs w:val="24"/>
        </w:rPr>
        <w:t xml:space="preserve"> 4: </w:t>
      </w:r>
      <w:proofErr w:type="spellStart"/>
      <w:r>
        <w:rPr>
          <w:b/>
          <w:bCs/>
          <w:sz w:val="24"/>
          <w:szCs w:val="24"/>
        </w:rPr>
        <w:t>Winsorization</w:t>
      </w:r>
      <w:proofErr w:type="spellEnd"/>
      <w:r>
        <w:rPr>
          <w:b/>
          <w:bCs/>
          <w:sz w:val="24"/>
          <w:szCs w:val="24"/>
        </w:rPr>
        <w:t xml:space="preserve"> of Dose Variable</w:t>
      </w:r>
    </w:p>
    <w:p w14:paraId="1B675CB1" w14:textId="77777777" w:rsidR="000D5D82" w:rsidRDefault="00000000">
      <w:pPr>
        <w:spacing w:after="120"/>
      </w:pPr>
      <w:r>
        <w:t xml:space="preserve">After all exclusion screens, the dose variable (RN FTE per 100 skilled-nursing patients) was </w:t>
      </w:r>
      <w:proofErr w:type="spellStart"/>
      <w:r>
        <w:t>winsorized</w:t>
      </w:r>
      <w:proofErr w:type="spellEnd"/>
      <w:r>
        <w:t xml:space="preserve"> at the 1st and 99th percentiles of the distribution within the surviving sample (Decision Item 4). This serves as a secondary safeguard against </w:t>
      </w:r>
      <w:proofErr w:type="gramStart"/>
      <w:r>
        <w:t>residual extreme</w:t>
      </w:r>
      <w:proofErr w:type="gramEnd"/>
      <w:r>
        <w:t xml:space="preserve"> values in the numerator.</w:t>
      </w:r>
    </w:p>
    <w:p w14:paraId="675BAD91" w14:textId="77777777" w:rsidR="000D5D82" w:rsidRDefault="00000000">
      <w:pPr>
        <w:spacing w:after="120"/>
      </w:pPr>
      <w:r>
        <w:t>Post-</w:t>
      </w:r>
      <w:proofErr w:type="spellStart"/>
      <w:r>
        <w:t>winsorization</w:t>
      </w:r>
      <w:proofErr w:type="spellEnd"/>
      <w:r>
        <w:t xml:space="preserve"> dose range: 0.24 to 39.13 RN FTE per 100 skilled-nursing patients (mean 2.72; median 1.62).</w:t>
      </w:r>
    </w:p>
    <w:p w14:paraId="431E8784" w14:textId="77777777" w:rsidR="000D5D82" w:rsidRDefault="000D5D82">
      <w:pPr>
        <w:spacing w:after="60"/>
      </w:pPr>
    </w:p>
    <w:p w14:paraId="0541A5C1" w14:textId="77777777" w:rsidR="000D5D82" w:rsidRDefault="00000000">
      <w:pPr>
        <w:pStyle w:val="2"/>
      </w:pPr>
      <w:proofErr w:type="gramStart"/>
      <w:r>
        <w:rPr>
          <w:b/>
          <w:bCs/>
          <w:sz w:val="24"/>
          <w:szCs w:val="24"/>
        </w:rPr>
        <w:t>A.7  FY</w:t>
      </w:r>
      <w:proofErr w:type="gramEnd"/>
      <w:r>
        <w:rPr>
          <w:b/>
          <w:bCs/>
          <w:sz w:val="24"/>
          <w:szCs w:val="24"/>
        </w:rPr>
        <w:t>2017 FTE Reporting Convention Shift</w:t>
      </w:r>
    </w:p>
    <w:p w14:paraId="42808593" w14:textId="77777777" w:rsidR="000D5D82" w:rsidRDefault="00000000">
      <w:pPr>
        <w:spacing w:after="120"/>
      </w:pPr>
      <w:r>
        <w:t>A previously undocumented data quality failure was identified during screening (Decision Items 116–122): a systematic change in FTE reporting conventions between FY2016 and FY2017, affecting approximately 20% of agencies.</w:t>
      </w:r>
    </w:p>
    <w:p w14:paraId="57913589" w14:textId="1AC2FB2C" w:rsidR="000D5D82" w:rsidRDefault="00000000">
      <w:pPr>
        <w:spacing w:after="120"/>
      </w:pPr>
      <w:r>
        <w:t xml:space="preserve">Nature of the shift: </w:t>
      </w:r>
      <w:r w:rsidR="00E75FFD" w:rsidRPr="00E75FFD">
        <w:t>Nature of the shift: In FY2016, agencies routinely reported fractional RN FTE values (e.g., 0.25, 0.60). Beginning in FY2017, approximately 20% of agencies transitioned to reporting a minimum unit of 1.00—a floor effect verified via fiscal-year tabulation of the FTE distribution. This generates non-causal within-agency FTE 'increases' between FY2016 and FY2017 that reflect a reporting convention change rather than actual workforce change</w:t>
      </w:r>
      <w:r>
        <w:t>.</w:t>
      </w:r>
    </w:p>
    <w:p w14:paraId="78BFC080" w14:textId="77777777" w:rsidR="000D5D82" w:rsidRDefault="00000000">
      <w:pPr>
        <w:spacing w:after="120"/>
      </w:pPr>
      <w:r>
        <w:t>Consequence for identification: This convention shift is a primary driver of the within-agency (CRE) estimator's identification failure, creating spurious within-agency FTE variation that contaminates the dose–quality coefficient. The direction of bias cannot be signed a priori because the affected agencies are not a random subsample.</w:t>
      </w:r>
    </w:p>
    <w:p w14:paraId="6F48F8BD" w14:textId="756B00E1" w:rsidR="000D5D82" w:rsidRDefault="00000000">
      <w:pPr>
        <w:spacing w:after="120"/>
      </w:pPr>
      <w:r>
        <w:t xml:space="preserve">Diagnostic evidence: </w:t>
      </w:r>
      <w:r w:rsidR="00E75FFD" w:rsidRPr="00E75FFD">
        <w:t>(1) Fiscal-year tabulation showed the mass of FTE values at exactly 1.00 rising discontinuously in FY2017 among affected agencies, unaccompanied by corresponding labor cost changes;</w:t>
      </w:r>
      <w:r>
        <w:t xml:space="preserve"> (2) Huber robust regression attenuated these cases' influence; (3) The between-agency estimator (which does not use within-agency time variation) was unaffected.</w:t>
      </w:r>
    </w:p>
    <w:p w14:paraId="5D7B6FCE" w14:textId="77777777" w:rsidR="000D5D82" w:rsidRDefault="000D5D82">
      <w:pPr>
        <w:spacing w:after="60"/>
      </w:pPr>
    </w:p>
    <w:p w14:paraId="637D297F" w14:textId="77777777" w:rsidR="000D5D82" w:rsidRDefault="00000000">
      <w:pPr>
        <w:pStyle w:val="2"/>
      </w:pPr>
      <w:proofErr w:type="gramStart"/>
      <w:r>
        <w:rPr>
          <w:b/>
          <w:bCs/>
          <w:sz w:val="24"/>
          <w:szCs w:val="24"/>
        </w:rPr>
        <w:t>A.8  Quality</w:t>
      </w:r>
      <w:proofErr w:type="gramEnd"/>
      <w:r>
        <w:rPr>
          <w:b/>
          <w:bCs/>
          <w:sz w:val="24"/>
          <w:szCs w:val="24"/>
        </w:rPr>
        <w:t>-Monetization Subpanel</w:t>
      </w:r>
    </w:p>
    <w:p w14:paraId="53ADCA0C" w14:textId="77777777" w:rsidR="000D5D82" w:rsidRDefault="00000000">
      <w:pPr>
        <w:spacing w:after="120"/>
      </w:pPr>
      <w:r>
        <w:t>The break-even analysis required a monetization factor linking the Average 4Ts composite to inpatient hospitalization rates. This factor was estimated from a two-year subpanel (FY2017–2018, n ≈ 10,496 agency-years), which represents the period for which both quality composite data and inpatient payment data were available with adequate coverage.</w:t>
      </w:r>
    </w:p>
    <w:p w14:paraId="4D2D1130" w14:textId="288A7412" w:rsidR="000D5D82" w:rsidRDefault="00943CC8">
      <w:pPr>
        <w:spacing w:after="120"/>
      </w:pPr>
      <w:r w:rsidRPr="00943CC8">
        <w:t xml:space="preserve">The FY2016 wave was excluded from the quality-monetization subpanel because two of the four quality </w:t>
      </w:r>
      <w:proofErr w:type="gramStart"/>
      <w:r w:rsidRPr="00943CC8">
        <w:t>measures—</w:t>
      </w:r>
      <w:proofErr w:type="gramEnd"/>
      <w:r w:rsidRPr="00943CC8">
        <w:t>the Medicare spending ratio and the community discharge rate—were structurally missing in FY2016 following IMPACT Act implementation, preventing construction of the Average 4Ts composite for that year</w:t>
      </w:r>
      <w:r>
        <w:t>.</w:t>
      </w:r>
    </w:p>
    <w:p w14:paraId="54F94EAE" w14:textId="77777777" w:rsidR="000D5D82" w:rsidRDefault="000D5D82">
      <w:pPr>
        <w:spacing w:after="60"/>
      </w:pPr>
    </w:p>
    <w:p w14:paraId="7B4C46CB" w14:textId="77777777" w:rsidR="000D5D82" w:rsidRDefault="00000000">
      <w:pPr>
        <w:pStyle w:val="2"/>
      </w:pPr>
      <w:proofErr w:type="gramStart"/>
      <w:r>
        <w:rPr>
          <w:b/>
          <w:bCs/>
          <w:sz w:val="24"/>
          <w:szCs w:val="24"/>
        </w:rPr>
        <w:t>A.9  Final</w:t>
      </w:r>
      <w:proofErr w:type="gramEnd"/>
      <w:r>
        <w:rPr>
          <w:b/>
          <w:bCs/>
          <w:sz w:val="24"/>
          <w:szCs w:val="24"/>
        </w:rPr>
        <w:t xml:space="preserve"> Analytic Samples</w:t>
      </w:r>
    </w:p>
    <w:tbl>
      <w:tblPr>
        <w:tblW w:w="9200" w:type="dxa"/>
        <w:tblBorders>
          <w:top w:val="single" w:sz="4" w:space="0" w:color="4472C4"/>
          <w:left w:val="single" w:sz="4" w:space="0" w:color="4472C4"/>
          <w:bottom w:val="single" w:sz="4" w:space="0" w:color="4472C4"/>
          <w:right w:val="single" w:sz="4" w:space="0" w:color="4472C4"/>
          <w:insideH w:val="single" w:sz="2" w:space="0" w:color="9DC3E6"/>
          <w:insideV w:val="single" w:sz="2" w:space="0" w:color="9DC3E6"/>
        </w:tblBorders>
        <w:tblCellMar>
          <w:left w:w="10" w:type="dxa"/>
          <w:right w:w="10" w:type="dxa"/>
        </w:tblCellMar>
        <w:tblLook w:val="04A0" w:firstRow="1" w:lastRow="0" w:firstColumn="1" w:lastColumn="0" w:noHBand="0" w:noVBand="1"/>
      </w:tblPr>
      <w:tblGrid>
        <w:gridCol w:w="2259"/>
        <w:gridCol w:w="1505"/>
        <w:gridCol w:w="1223"/>
        <w:gridCol w:w="4213"/>
      </w:tblGrid>
      <w:tr w:rsidR="000D5D82" w14:paraId="0802A55E" w14:textId="77777777">
        <w:trPr>
          <w:tblHeader/>
        </w:trPr>
        <w:tc>
          <w:tcPr>
            <w:tcW w:w="0" w:type="auto"/>
            <w:shd w:val="clear" w:color="auto" w:fill="D9E1F2"/>
            <w:tcMar>
              <w:top w:w="80" w:type="dxa"/>
              <w:left w:w="120" w:type="dxa"/>
              <w:bottom w:w="80" w:type="dxa"/>
              <w:right w:w="120" w:type="dxa"/>
            </w:tcMar>
          </w:tcPr>
          <w:p w14:paraId="3844D4EE" w14:textId="77777777" w:rsidR="000D5D82" w:rsidRDefault="00000000">
            <w:r>
              <w:rPr>
                <w:b/>
                <w:bCs/>
                <w:sz w:val="18"/>
                <w:szCs w:val="18"/>
              </w:rPr>
              <w:t>Analytic Component</w:t>
            </w:r>
          </w:p>
        </w:tc>
        <w:tc>
          <w:tcPr>
            <w:tcW w:w="0" w:type="auto"/>
            <w:shd w:val="clear" w:color="auto" w:fill="D9E1F2"/>
            <w:tcMar>
              <w:top w:w="80" w:type="dxa"/>
              <w:left w:w="120" w:type="dxa"/>
              <w:bottom w:w="80" w:type="dxa"/>
              <w:right w:w="120" w:type="dxa"/>
            </w:tcMar>
          </w:tcPr>
          <w:p w14:paraId="43A9799D" w14:textId="77777777" w:rsidR="000D5D82" w:rsidRDefault="00000000">
            <w:r>
              <w:rPr>
                <w:b/>
                <w:bCs/>
                <w:sz w:val="18"/>
                <w:szCs w:val="18"/>
              </w:rPr>
              <w:t>N (Agency-Years)</w:t>
            </w:r>
          </w:p>
        </w:tc>
        <w:tc>
          <w:tcPr>
            <w:tcW w:w="0" w:type="auto"/>
            <w:shd w:val="clear" w:color="auto" w:fill="D9E1F2"/>
            <w:tcMar>
              <w:top w:w="80" w:type="dxa"/>
              <w:left w:w="120" w:type="dxa"/>
              <w:bottom w:w="80" w:type="dxa"/>
              <w:right w:w="120" w:type="dxa"/>
            </w:tcMar>
          </w:tcPr>
          <w:p w14:paraId="57AB5CFE" w14:textId="77777777" w:rsidR="000D5D82" w:rsidRDefault="00000000">
            <w:r>
              <w:rPr>
                <w:b/>
                <w:bCs/>
                <w:sz w:val="18"/>
                <w:szCs w:val="18"/>
              </w:rPr>
              <w:t>Years</w:t>
            </w:r>
          </w:p>
        </w:tc>
        <w:tc>
          <w:tcPr>
            <w:tcW w:w="0" w:type="auto"/>
            <w:shd w:val="clear" w:color="auto" w:fill="D9E1F2"/>
            <w:tcMar>
              <w:top w:w="80" w:type="dxa"/>
              <w:left w:w="120" w:type="dxa"/>
              <w:bottom w:w="80" w:type="dxa"/>
              <w:right w:w="120" w:type="dxa"/>
            </w:tcMar>
          </w:tcPr>
          <w:p w14:paraId="641B57C2" w14:textId="77777777" w:rsidR="000D5D82" w:rsidRDefault="00000000">
            <w:r>
              <w:rPr>
                <w:b/>
                <w:bCs/>
                <w:sz w:val="18"/>
                <w:szCs w:val="18"/>
              </w:rPr>
              <w:t>Purpose</w:t>
            </w:r>
          </w:p>
        </w:tc>
      </w:tr>
      <w:tr w:rsidR="000D5D82" w14:paraId="154F847B" w14:textId="77777777">
        <w:tc>
          <w:tcPr>
            <w:tcW w:w="0" w:type="auto"/>
            <w:tcMar>
              <w:top w:w="80" w:type="dxa"/>
              <w:left w:w="120" w:type="dxa"/>
              <w:bottom w:w="80" w:type="dxa"/>
              <w:right w:w="120" w:type="dxa"/>
            </w:tcMar>
          </w:tcPr>
          <w:p w14:paraId="688EAC3C" w14:textId="77777777" w:rsidR="000D5D82" w:rsidRDefault="00000000">
            <w:r>
              <w:rPr>
                <w:sz w:val="18"/>
                <w:szCs w:val="18"/>
              </w:rPr>
              <w:t>Main dose–quality panel</w:t>
            </w:r>
          </w:p>
        </w:tc>
        <w:tc>
          <w:tcPr>
            <w:tcW w:w="0" w:type="auto"/>
            <w:tcMar>
              <w:top w:w="80" w:type="dxa"/>
              <w:left w:w="120" w:type="dxa"/>
              <w:bottom w:w="80" w:type="dxa"/>
              <w:right w:w="120" w:type="dxa"/>
            </w:tcMar>
          </w:tcPr>
          <w:p w14:paraId="447276A1" w14:textId="77777777" w:rsidR="000D5D82" w:rsidRDefault="00000000">
            <w:r>
              <w:rPr>
                <w:sz w:val="18"/>
                <w:szCs w:val="18"/>
              </w:rPr>
              <w:t>16,828</w:t>
            </w:r>
          </w:p>
        </w:tc>
        <w:tc>
          <w:tcPr>
            <w:tcW w:w="0" w:type="auto"/>
            <w:tcMar>
              <w:top w:w="80" w:type="dxa"/>
              <w:left w:w="120" w:type="dxa"/>
              <w:bottom w:w="80" w:type="dxa"/>
              <w:right w:w="120" w:type="dxa"/>
            </w:tcMar>
          </w:tcPr>
          <w:p w14:paraId="763DC97D" w14:textId="77777777" w:rsidR="000D5D82" w:rsidRDefault="00000000">
            <w:r>
              <w:rPr>
                <w:sz w:val="18"/>
                <w:szCs w:val="18"/>
              </w:rPr>
              <w:t>FY2016–2018</w:t>
            </w:r>
          </w:p>
        </w:tc>
        <w:tc>
          <w:tcPr>
            <w:tcW w:w="0" w:type="auto"/>
            <w:tcMar>
              <w:top w:w="80" w:type="dxa"/>
              <w:left w:w="120" w:type="dxa"/>
              <w:bottom w:w="80" w:type="dxa"/>
              <w:right w:w="120" w:type="dxa"/>
            </w:tcMar>
          </w:tcPr>
          <w:p w14:paraId="3B67B9CB" w14:textId="77777777" w:rsidR="000D5D82" w:rsidRDefault="00000000">
            <w:r>
              <w:rPr>
                <w:sz w:val="18"/>
                <w:szCs w:val="18"/>
              </w:rPr>
              <w:t>Approaches A and B (linear and BNN dose–quality estimation)</w:t>
            </w:r>
          </w:p>
        </w:tc>
      </w:tr>
      <w:tr w:rsidR="000D5D82" w14:paraId="32A51986" w14:textId="77777777">
        <w:tc>
          <w:tcPr>
            <w:tcW w:w="0" w:type="auto"/>
            <w:tcMar>
              <w:top w:w="80" w:type="dxa"/>
              <w:left w:w="120" w:type="dxa"/>
              <w:bottom w:w="80" w:type="dxa"/>
              <w:right w:w="120" w:type="dxa"/>
            </w:tcMar>
          </w:tcPr>
          <w:p w14:paraId="269A0D18" w14:textId="77777777" w:rsidR="000D5D82" w:rsidRDefault="00000000">
            <w:r>
              <w:rPr>
                <w:sz w:val="18"/>
                <w:szCs w:val="18"/>
              </w:rPr>
              <w:t>Quality-monetization subpanel</w:t>
            </w:r>
          </w:p>
        </w:tc>
        <w:tc>
          <w:tcPr>
            <w:tcW w:w="0" w:type="auto"/>
            <w:tcMar>
              <w:top w:w="80" w:type="dxa"/>
              <w:left w:w="120" w:type="dxa"/>
              <w:bottom w:w="80" w:type="dxa"/>
              <w:right w:w="120" w:type="dxa"/>
            </w:tcMar>
          </w:tcPr>
          <w:p w14:paraId="7EF52436" w14:textId="77777777" w:rsidR="000D5D82" w:rsidRDefault="00000000">
            <w:r>
              <w:rPr>
                <w:sz w:val="18"/>
                <w:szCs w:val="18"/>
              </w:rPr>
              <w:t>~10,496</w:t>
            </w:r>
          </w:p>
        </w:tc>
        <w:tc>
          <w:tcPr>
            <w:tcW w:w="0" w:type="auto"/>
            <w:tcMar>
              <w:top w:w="80" w:type="dxa"/>
              <w:left w:w="120" w:type="dxa"/>
              <w:bottom w:w="80" w:type="dxa"/>
              <w:right w:w="120" w:type="dxa"/>
            </w:tcMar>
          </w:tcPr>
          <w:p w14:paraId="1D7B2B4C" w14:textId="77777777" w:rsidR="000D5D82" w:rsidRDefault="00000000">
            <w:r>
              <w:rPr>
                <w:sz w:val="18"/>
                <w:szCs w:val="18"/>
              </w:rPr>
              <w:t>FY2017–2018</w:t>
            </w:r>
          </w:p>
        </w:tc>
        <w:tc>
          <w:tcPr>
            <w:tcW w:w="0" w:type="auto"/>
            <w:tcMar>
              <w:top w:w="80" w:type="dxa"/>
              <w:left w:w="120" w:type="dxa"/>
              <w:bottom w:w="80" w:type="dxa"/>
              <w:right w:w="120" w:type="dxa"/>
            </w:tcMar>
          </w:tcPr>
          <w:p w14:paraId="1938C9DE" w14:textId="77777777" w:rsidR="000D5D82" w:rsidRDefault="00000000">
            <w:r>
              <w:rPr>
                <w:sz w:val="18"/>
                <w:szCs w:val="18"/>
              </w:rPr>
              <w:t>HHA factor estimation; break-even analysis</w:t>
            </w:r>
          </w:p>
        </w:tc>
      </w:tr>
    </w:tbl>
    <w:p w14:paraId="23633758" w14:textId="77777777" w:rsidR="000D5D82" w:rsidRDefault="000D5D82">
      <w:pPr>
        <w:spacing w:after="60"/>
      </w:pPr>
    </w:p>
    <w:p w14:paraId="304F0123" w14:textId="77777777" w:rsidR="000D5D82" w:rsidRDefault="00000000">
      <w:pPr>
        <w:pStyle w:val="2"/>
      </w:pPr>
      <w:proofErr w:type="gramStart"/>
      <w:r>
        <w:rPr>
          <w:b/>
          <w:bCs/>
          <w:sz w:val="24"/>
          <w:szCs w:val="24"/>
        </w:rPr>
        <w:lastRenderedPageBreak/>
        <w:t>A.10  Reproducibility</w:t>
      </w:r>
      <w:proofErr w:type="gramEnd"/>
    </w:p>
    <w:p w14:paraId="16FF065E" w14:textId="27BBF885" w:rsidR="00542319" w:rsidRDefault="00000000" w:rsidP="00542319">
      <w:pPr>
        <w:spacing w:after="120"/>
      </w:pPr>
      <w:r>
        <w:t>All screening decisions, including intermediate N-counts, were documented prospectively in the 128-item decision log (</w:t>
      </w:r>
      <w:proofErr w:type="spellStart"/>
      <w:r>
        <w:t>eAppendix</w:t>
      </w:r>
      <w:proofErr w:type="spellEnd"/>
      <w:r>
        <w:t xml:space="preserve"> C). Analytical code implementing this screening protocol is available upon request from the corresponding author. The CMS Home Health Compare public use files are accessible at https://data.medicare.gov; the HHA Cost Report files are available through the CMS Provider of Services portal at </w:t>
      </w:r>
      <w:r w:rsidR="00542319" w:rsidRPr="00542319">
        <w:t>https://www.cms.gov</w:t>
      </w:r>
      <w:r>
        <w:t>.</w:t>
      </w:r>
      <w:r w:rsidR="00542319" w:rsidRPr="00542319">
        <w:t xml:space="preserve"> </w:t>
      </w:r>
    </w:p>
    <w:p w14:paraId="61EB7135" w14:textId="03560B60" w:rsidR="000D5D82" w:rsidRDefault="00542319" w:rsidP="00542319">
      <w:pPr>
        <w:spacing w:after="120"/>
      </w:pPr>
      <w:r w:rsidRPr="00542319">
        <w:t>During final reproducibility verification, two agency-years originally excluded through individual diagnosis of physically implausible raw staffing ratios were found not to be captured by any general rule in the cleaning script; a general rule (raw staffing ratio &gt; 1,000 per 100 patients) was codified so that the published script exactly reproduces the final analytic sample of n = 16,828.</w:t>
      </w:r>
    </w:p>
    <w:sectPr w:rsidR="000D5D82" w:rsidSect="00EB4DC5">
      <w:pgSz w:w="12240" w:h="15840" w:code="1"/>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6E232" w14:textId="77777777" w:rsidR="00A3164D" w:rsidRDefault="00A3164D" w:rsidP="007A27F8">
      <w:r>
        <w:separator/>
      </w:r>
    </w:p>
  </w:endnote>
  <w:endnote w:type="continuationSeparator" w:id="0">
    <w:p w14:paraId="6FAB317B" w14:textId="77777777" w:rsidR="00A3164D" w:rsidRDefault="00A3164D" w:rsidP="007A2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28CC5" w14:textId="77777777" w:rsidR="00A3164D" w:rsidRDefault="00A3164D" w:rsidP="007A27F8">
      <w:r>
        <w:separator/>
      </w:r>
    </w:p>
  </w:footnote>
  <w:footnote w:type="continuationSeparator" w:id="0">
    <w:p w14:paraId="24F45802" w14:textId="77777777" w:rsidR="00A3164D" w:rsidRDefault="00A3164D" w:rsidP="007A27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423BE1"/>
    <w:multiLevelType w:val="hybridMultilevel"/>
    <w:tmpl w:val="EC925CB8"/>
    <w:lvl w:ilvl="0" w:tplc="7772D088">
      <w:start w:val="1"/>
      <w:numFmt w:val="bullet"/>
      <w:lvlText w:val="●"/>
      <w:lvlJc w:val="left"/>
      <w:pPr>
        <w:ind w:left="720" w:hanging="360"/>
      </w:pPr>
    </w:lvl>
    <w:lvl w:ilvl="1" w:tplc="AFB8D63A">
      <w:start w:val="1"/>
      <w:numFmt w:val="bullet"/>
      <w:lvlText w:val="○"/>
      <w:lvlJc w:val="left"/>
      <w:pPr>
        <w:ind w:left="1440" w:hanging="360"/>
      </w:pPr>
    </w:lvl>
    <w:lvl w:ilvl="2" w:tplc="0F5231E4">
      <w:start w:val="1"/>
      <w:numFmt w:val="bullet"/>
      <w:lvlText w:val="■"/>
      <w:lvlJc w:val="left"/>
      <w:pPr>
        <w:ind w:left="2160" w:hanging="360"/>
      </w:pPr>
    </w:lvl>
    <w:lvl w:ilvl="3" w:tplc="82207886">
      <w:start w:val="1"/>
      <w:numFmt w:val="bullet"/>
      <w:lvlText w:val="●"/>
      <w:lvlJc w:val="left"/>
      <w:pPr>
        <w:ind w:left="2880" w:hanging="360"/>
      </w:pPr>
    </w:lvl>
    <w:lvl w:ilvl="4" w:tplc="47F03CB2">
      <w:start w:val="1"/>
      <w:numFmt w:val="bullet"/>
      <w:lvlText w:val="○"/>
      <w:lvlJc w:val="left"/>
      <w:pPr>
        <w:ind w:left="3600" w:hanging="360"/>
      </w:pPr>
    </w:lvl>
    <w:lvl w:ilvl="5" w:tplc="E9307E5A">
      <w:start w:val="1"/>
      <w:numFmt w:val="bullet"/>
      <w:lvlText w:val="■"/>
      <w:lvlJc w:val="left"/>
      <w:pPr>
        <w:ind w:left="4320" w:hanging="360"/>
      </w:pPr>
    </w:lvl>
    <w:lvl w:ilvl="6" w:tplc="AD504FD2">
      <w:start w:val="1"/>
      <w:numFmt w:val="bullet"/>
      <w:lvlText w:val="●"/>
      <w:lvlJc w:val="left"/>
      <w:pPr>
        <w:ind w:left="5040" w:hanging="360"/>
      </w:pPr>
    </w:lvl>
    <w:lvl w:ilvl="7" w:tplc="BD783E32">
      <w:start w:val="1"/>
      <w:numFmt w:val="bullet"/>
      <w:lvlText w:val="●"/>
      <w:lvlJc w:val="left"/>
      <w:pPr>
        <w:ind w:left="5760" w:hanging="360"/>
      </w:pPr>
    </w:lvl>
    <w:lvl w:ilvl="8" w:tplc="77289D06">
      <w:start w:val="1"/>
      <w:numFmt w:val="bullet"/>
      <w:lvlText w:val="●"/>
      <w:lvlJc w:val="left"/>
      <w:pPr>
        <w:ind w:left="6480" w:hanging="360"/>
      </w:pPr>
    </w:lvl>
  </w:abstractNum>
  <w:num w:numId="1" w16cid:durableId="68085736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displayBackgroundShape/>
  <w:bordersDoNotSurroundHeader/>
  <w:bordersDoNotSurroundFooter/>
  <w:proofState w:spelling="clean" w:grammar="clean"/>
  <w:defaultTabStop w:val="80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D82"/>
    <w:rsid w:val="000D5D82"/>
    <w:rsid w:val="00146333"/>
    <w:rsid w:val="002279E7"/>
    <w:rsid w:val="002B5E76"/>
    <w:rsid w:val="002C784A"/>
    <w:rsid w:val="002D7447"/>
    <w:rsid w:val="004415AF"/>
    <w:rsid w:val="00504BA4"/>
    <w:rsid w:val="00542319"/>
    <w:rsid w:val="005B2795"/>
    <w:rsid w:val="00634C3A"/>
    <w:rsid w:val="007A27F8"/>
    <w:rsid w:val="007F0418"/>
    <w:rsid w:val="00943CC8"/>
    <w:rsid w:val="00957F38"/>
    <w:rsid w:val="00A3164D"/>
    <w:rsid w:val="00AC5B5F"/>
    <w:rsid w:val="00B418D0"/>
    <w:rsid w:val="00E75FFD"/>
    <w:rsid w:val="00EB4DC5"/>
    <w:rsid w:val="00F5398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2A9E3B"/>
  <w15:docId w15:val="{32884214-27ED-4376-9FEB-B1711B03D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굵은 텍스트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Char"/>
    <w:uiPriority w:val="99"/>
    <w:semiHidden/>
    <w:unhideWhenUsed/>
  </w:style>
  <w:style w:type="character" w:customStyle="1" w:styleId="Char">
    <w:name w:val="각주 텍스트 Char"/>
    <w:link w:val="a7"/>
    <w:uiPriority w:val="99"/>
    <w:semiHidden/>
    <w:unhideWhenUsed/>
    <w:rPr>
      <w:sz w:val="20"/>
      <w:szCs w:val="20"/>
    </w:rPr>
  </w:style>
  <w:style w:type="character" w:styleId="a8">
    <w:name w:val="endnote reference"/>
    <w:uiPriority w:val="99"/>
    <w:semiHidden/>
    <w:unhideWhenUsed/>
    <w:rPr>
      <w:vertAlign w:val="superscript"/>
    </w:rPr>
  </w:style>
  <w:style w:type="paragraph" w:styleId="a9">
    <w:name w:val="endnote text"/>
    <w:link w:val="Char0"/>
    <w:uiPriority w:val="99"/>
    <w:semiHidden/>
    <w:unhideWhenUsed/>
  </w:style>
  <w:style w:type="character" w:customStyle="1" w:styleId="Char0">
    <w:name w:val="미주 텍스트 Char"/>
    <w:link w:val="a9"/>
    <w:uiPriority w:val="99"/>
    <w:semiHidden/>
    <w:unhideWhenUsed/>
    <w:rPr>
      <w:sz w:val="20"/>
      <w:szCs w:val="20"/>
    </w:rPr>
  </w:style>
  <w:style w:type="paragraph" w:styleId="aa">
    <w:name w:val="header"/>
    <w:basedOn w:val="a"/>
    <w:link w:val="Char1"/>
    <w:uiPriority w:val="99"/>
    <w:unhideWhenUsed/>
    <w:rsid w:val="007A27F8"/>
    <w:pPr>
      <w:tabs>
        <w:tab w:val="center" w:pos="4513"/>
        <w:tab w:val="right" w:pos="9026"/>
      </w:tabs>
      <w:snapToGrid w:val="0"/>
    </w:pPr>
  </w:style>
  <w:style w:type="character" w:customStyle="1" w:styleId="Char1">
    <w:name w:val="머리글 Char"/>
    <w:basedOn w:val="a0"/>
    <w:link w:val="aa"/>
    <w:uiPriority w:val="99"/>
    <w:rsid w:val="007A27F8"/>
  </w:style>
  <w:style w:type="paragraph" w:styleId="ab">
    <w:name w:val="footer"/>
    <w:basedOn w:val="a"/>
    <w:link w:val="Char2"/>
    <w:uiPriority w:val="99"/>
    <w:unhideWhenUsed/>
    <w:rsid w:val="007A27F8"/>
    <w:pPr>
      <w:tabs>
        <w:tab w:val="center" w:pos="4513"/>
        <w:tab w:val="right" w:pos="9026"/>
      </w:tabs>
      <w:snapToGrid w:val="0"/>
    </w:pPr>
  </w:style>
  <w:style w:type="character" w:customStyle="1" w:styleId="Char2">
    <w:name w:val="바닥글 Char"/>
    <w:basedOn w:val="a0"/>
    <w:link w:val="ab"/>
    <w:uiPriority w:val="99"/>
    <w:rsid w:val="007A27F8"/>
  </w:style>
  <w:style w:type="character" w:styleId="ac">
    <w:name w:val="Unresolved Mention"/>
    <w:basedOn w:val="a0"/>
    <w:uiPriority w:val="99"/>
    <w:semiHidden/>
    <w:unhideWhenUsed/>
    <w:rsid w:val="005423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1036</Words>
  <Characters>5909</Characters>
  <Application>Microsoft Office Word</Application>
  <DocSecurity>0</DocSecurity>
  <Lines>49</Lines>
  <Paragraphs>13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6932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이서빈</cp:lastModifiedBy>
  <cp:revision>12</cp:revision>
  <dcterms:created xsi:type="dcterms:W3CDTF">2026-07-06T07:56:00Z</dcterms:created>
  <dcterms:modified xsi:type="dcterms:W3CDTF">2026-07-12T21:07:00Z</dcterms:modified>
</cp:coreProperties>
</file>