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48E08" w14:textId="35CED24A" w:rsidR="0064476E" w:rsidRDefault="0064476E" w:rsidP="0064476E">
      <w:pPr>
        <w:spacing w:line="276" w:lineRule="auto"/>
        <w:rPr>
          <w:b/>
          <w:bCs/>
          <w:sz w:val="32"/>
          <w:szCs w:val="32"/>
          <w:lang w:val="en-US"/>
        </w:rPr>
      </w:pPr>
      <w:r w:rsidRPr="00DE6701">
        <w:rPr>
          <w:b/>
          <w:bCs/>
          <w:sz w:val="32"/>
          <w:szCs w:val="32"/>
          <w:lang w:val="en-US"/>
        </w:rPr>
        <w:t>Appendix A: Supplementary informatio</w:t>
      </w:r>
      <w:r w:rsidR="00C16CB9">
        <w:rPr>
          <w:b/>
          <w:bCs/>
          <w:sz w:val="32"/>
          <w:szCs w:val="32"/>
          <w:lang w:val="en-US"/>
        </w:rPr>
        <w:t>n</w:t>
      </w:r>
    </w:p>
    <w:p w14:paraId="6C9D9ED6" w14:textId="77777777" w:rsidR="00E0619A" w:rsidRPr="00E67AC1" w:rsidRDefault="00E0619A" w:rsidP="00E67AC1">
      <w:pPr>
        <w:rPr>
          <w:b/>
          <w:bCs/>
          <w:lang w:val="en-US"/>
        </w:rPr>
      </w:pPr>
    </w:p>
    <w:p w14:paraId="7FE9A0CA" w14:textId="53F542A1" w:rsidR="00E67AC1" w:rsidRPr="00E67AC1" w:rsidRDefault="00E67AC1" w:rsidP="00E67AC1">
      <w:pPr>
        <w:rPr>
          <w:b/>
          <w:bCs/>
          <w:lang w:val="en-US"/>
        </w:rPr>
      </w:pPr>
      <w:r w:rsidRPr="00E67AC1">
        <w:rPr>
          <w:b/>
          <w:bCs/>
          <w:lang w:val="en-US"/>
        </w:rPr>
        <w:t xml:space="preserve">This file includes:  </w:t>
      </w:r>
    </w:p>
    <w:p w14:paraId="689808B5" w14:textId="338F3592" w:rsidR="00E67AC1" w:rsidRPr="006626B9" w:rsidRDefault="006626B9" w:rsidP="00E67AC1">
      <w:pPr>
        <w:pStyle w:val="ListParagraph"/>
        <w:numPr>
          <w:ilvl w:val="0"/>
          <w:numId w:val="3"/>
        </w:numPr>
        <w:rPr>
          <w:b/>
          <w:bCs/>
          <w:lang w:val="en-US"/>
        </w:rPr>
      </w:pPr>
      <w:r w:rsidRPr="006626B9">
        <w:rPr>
          <w:b/>
          <w:bCs/>
          <w:lang w:val="en-US"/>
        </w:rPr>
        <w:t xml:space="preserve">Supplementary </w:t>
      </w:r>
      <w:r w:rsidR="00E67AC1" w:rsidRPr="006626B9">
        <w:rPr>
          <w:b/>
          <w:bCs/>
          <w:lang w:val="en-US"/>
        </w:rPr>
        <w:t xml:space="preserve">Materials and Methods </w:t>
      </w:r>
    </w:p>
    <w:p w14:paraId="64F2B7A8" w14:textId="77777777" w:rsidR="00BB5D5C" w:rsidRDefault="00E67AC1" w:rsidP="00E67AC1">
      <w:pPr>
        <w:pStyle w:val="ListParagraph"/>
        <w:numPr>
          <w:ilvl w:val="0"/>
          <w:numId w:val="3"/>
        </w:numPr>
        <w:rPr>
          <w:b/>
          <w:bCs/>
          <w:lang w:val="en-US"/>
        </w:rPr>
      </w:pPr>
      <w:r w:rsidRPr="006626B9">
        <w:rPr>
          <w:b/>
          <w:bCs/>
          <w:lang w:val="en-US"/>
        </w:rPr>
        <w:t>Fig</w:t>
      </w:r>
      <w:r w:rsidR="008D0231" w:rsidRPr="006626B9">
        <w:rPr>
          <w:b/>
          <w:bCs/>
          <w:lang w:val="en-US"/>
        </w:rPr>
        <w:t>ure</w:t>
      </w:r>
      <w:r w:rsidRPr="006626B9">
        <w:rPr>
          <w:b/>
          <w:bCs/>
          <w:lang w:val="en-US"/>
        </w:rPr>
        <w:t xml:space="preserve">s </w:t>
      </w:r>
    </w:p>
    <w:p w14:paraId="1B2D0710" w14:textId="55CD03AB" w:rsidR="00BB5D5C" w:rsidRPr="00F345BE" w:rsidRDefault="00E67AC1" w:rsidP="00BB5D5C">
      <w:pPr>
        <w:pStyle w:val="ListParagraph"/>
        <w:numPr>
          <w:ilvl w:val="1"/>
          <w:numId w:val="3"/>
        </w:numPr>
        <w:rPr>
          <w:lang w:val="en-US"/>
        </w:rPr>
      </w:pPr>
      <w:r w:rsidRPr="00F345BE">
        <w:rPr>
          <w:lang w:val="en-US"/>
        </w:rPr>
        <w:t>S</w:t>
      </w:r>
      <w:r w:rsidR="006626B9" w:rsidRPr="00F345BE">
        <w:rPr>
          <w:lang w:val="en-US"/>
        </w:rPr>
        <w:t>1</w:t>
      </w:r>
      <w:r w:rsidR="00BB5D5C" w:rsidRPr="00F345BE">
        <w:rPr>
          <w:lang w:val="en-US"/>
        </w:rPr>
        <w:t xml:space="preserve">: Predictor ranking proportions across 10-fold cross-validation </w:t>
      </w:r>
    </w:p>
    <w:p w14:paraId="7DCC1A27" w14:textId="5320CB0E" w:rsidR="00BB5D5C" w:rsidRPr="00F345BE" w:rsidRDefault="006626B9" w:rsidP="00BB5D5C">
      <w:pPr>
        <w:pStyle w:val="ListParagraph"/>
        <w:numPr>
          <w:ilvl w:val="1"/>
          <w:numId w:val="3"/>
        </w:numPr>
        <w:rPr>
          <w:lang w:val="en-US"/>
        </w:rPr>
      </w:pPr>
      <w:r w:rsidRPr="00F345BE">
        <w:rPr>
          <w:lang w:val="en-US"/>
        </w:rPr>
        <w:t>S2</w:t>
      </w:r>
      <w:r w:rsidR="00BB5D5C" w:rsidRPr="00F345BE">
        <w:rPr>
          <w:lang w:val="en-US"/>
        </w:rPr>
        <w:t xml:space="preserve">: </w:t>
      </w:r>
      <w:r w:rsidR="00141521" w:rsidRPr="00141521">
        <w:rPr>
          <w:lang w:val="en-US"/>
        </w:rPr>
        <w:t>Spatial projection of the modeled uncertainty</w:t>
      </w:r>
    </w:p>
    <w:p w14:paraId="1417970F" w14:textId="7AD78C11" w:rsidR="00BB5D5C" w:rsidRPr="00F345BE" w:rsidRDefault="001B0C3B" w:rsidP="00BB5D5C">
      <w:pPr>
        <w:pStyle w:val="ListParagraph"/>
        <w:numPr>
          <w:ilvl w:val="1"/>
          <w:numId w:val="3"/>
        </w:numPr>
        <w:rPr>
          <w:lang w:val="en-US"/>
        </w:rPr>
      </w:pPr>
      <w:r w:rsidRPr="00F345BE">
        <w:rPr>
          <w:lang w:val="en-US"/>
        </w:rPr>
        <w:t>S3</w:t>
      </w:r>
      <w:r w:rsidR="00BB5D5C" w:rsidRPr="00F345BE">
        <w:rPr>
          <w:lang w:val="en-US"/>
        </w:rPr>
        <w:t xml:space="preserve">: </w:t>
      </w:r>
      <w:r w:rsidR="00D953A8">
        <w:rPr>
          <w:lang w:val="en-US"/>
        </w:rPr>
        <w:t>Area of applicability and dissimilarity index</w:t>
      </w:r>
    </w:p>
    <w:p w14:paraId="03D25485" w14:textId="098888E2" w:rsidR="00BB5D5C" w:rsidRPr="00F345BE" w:rsidRDefault="001E2FD0" w:rsidP="00BB5D5C">
      <w:pPr>
        <w:pStyle w:val="ListParagraph"/>
        <w:numPr>
          <w:ilvl w:val="1"/>
          <w:numId w:val="3"/>
        </w:numPr>
        <w:rPr>
          <w:lang w:val="en-US"/>
        </w:rPr>
      </w:pPr>
      <w:r w:rsidRPr="00F345BE">
        <w:rPr>
          <w:lang w:val="en-US"/>
        </w:rPr>
        <w:t>S4</w:t>
      </w:r>
      <w:r w:rsidR="00BB5D5C" w:rsidRPr="00F345BE">
        <w:rPr>
          <w:lang w:val="en-US"/>
        </w:rPr>
        <w:t xml:space="preserve">: </w:t>
      </w:r>
      <w:r w:rsidR="00141521" w:rsidRPr="00141521">
        <w:rPr>
          <w:lang w:val="en-US"/>
        </w:rPr>
        <w:t>Environmental effects</w:t>
      </w:r>
      <w:r w:rsidR="00141521">
        <w:rPr>
          <w:lang w:val="en-US"/>
        </w:rPr>
        <w:t xml:space="preserve"> on t</w:t>
      </w:r>
      <w:r w:rsidR="00141521" w:rsidRPr="00141521">
        <w:rPr>
          <w:vertAlign w:val="subscript"/>
          <w:lang w:val="en-US"/>
        </w:rPr>
        <w:t>50</w:t>
      </w:r>
      <w:r w:rsidR="00141521">
        <w:rPr>
          <w:lang w:val="en-US"/>
        </w:rPr>
        <w:t xml:space="preserve"> and model parameters</w:t>
      </w:r>
    </w:p>
    <w:p w14:paraId="77977172" w14:textId="7791785B" w:rsidR="00E67AC1" w:rsidRPr="00F345BE" w:rsidRDefault="008C4930" w:rsidP="00BB5D5C">
      <w:pPr>
        <w:pStyle w:val="ListParagraph"/>
        <w:numPr>
          <w:ilvl w:val="1"/>
          <w:numId w:val="3"/>
        </w:numPr>
        <w:rPr>
          <w:lang w:val="en-US"/>
        </w:rPr>
      </w:pPr>
      <w:r w:rsidRPr="00F345BE">
        <w:rPr>
          <w:lang w:val="en-US"/>
        </w:rPr>
        <w:t>S</w:t>
      </w:r>
      <w:r w:rsidR="000B1312" w:rsidRPr="00F345BE">
        <w:rPr>
          <w:lang w:val="en-US"/>
        </w:rPr>
        <w:t>5</w:t>
      </w:r>
      <w:r w:rsidR="00BB5D5C" w:rsidRPr="00F345BE">
        <w:rPr>
          <w:lang w:val="en-US"/>
        </w:rPr>
        <w:t xml:space="preserve">: </w:t>
      </w:r>
      <w:r w:rsidR="00956E73" w:rsidRPr="00956E73">
        <w:rPr>
          <w:lang w:val="en-US"/>
        </w:rPr>
        <w:t>Correlation matrix of response variables and the full initial predictor set</w:t>
      </w:r>
    </w:p>
    <w:p w14:paraId="4AA06A0B" w14:textId="10857D81" w:rsidR="00EC7264" w:rsidRPr="00142935" w:rsidRDefault="00EC7264" w:rsidP="00E67AC1">
      <w:pPr>
        <w:pStyle w:val="ListParagraph"/>
        <w:numPr>
          <w:ilvl w:val="0"/>
          <w:numId w:val="3"/>
        </w:numPr>
        <w:rPr>
          <w:lang w:val="en-US"/>
        </w:rPr>
      </w:pPr>
      <w:r>
        <w:rPr>
          <w:b/>
          <w:bCs/>
          <w:lang w:val="en-US"/>
        </w:rPr>
        <w:t>Table S1</w:t>
      </w:r>
      <w:r w:rsidR="00F345BE">
        <w:rPr>
          <w:b/>
          <w:bCs/>
          <w:lang w:val="en-US"/>
        </w:rPr>
        <w:t xml:space="preserve">: </w:t>
      </w:r>
      <w:r w:rsidR="00142935" w:rsidRPr="00142935">
        <w:rPr>
          <w:lang w:val="en-US"/>
        </w:rPr>
        <w:t>Simulated parameter values of the sigmoidal regrowth curve for each of the 32 sites</w:t>
      </w:r>
    </w:p>
    <w:p w14:paraId="1C9A13C4" w14:textId="7FA7B608" w:rsidR="00E67AC1" w:rsidRPr="0019668B" w:rsidRDefault="00E67AC1" w:rsidP="0019668B">
      <w:pPr>
        <w:pStyle w:val="ListParagraph"/>
        <w:numPr>
          <w:ilvl w:val="0"/>
          <w:numId w:val="3"/>
        </w:numPr>
        <w:rPr>
          <w:b/>
          <w:bCs/>
          <w:lang w:val="en-US"/>
        </w:rPr>
      </w:pPr>
      <w:r w:rsidRPr="006626B9">
        <w:rPr>
          <w:b/>
          <w:bCs/>
          <w:lang w:val="en-US"/>
        </w:rPr>
        <w:t>Supplementary References</w:t>
      </w:r>
    </w:p>
    <w:p w14:paraId="0671CD47" w14:textId="40E4067E" w:rsidR="00236932" w:rsidRPr="00A155E2" w:rsidRDefault="002F054E" w:rsidP="0019668B">
      <w:pPr>
        <w:rPr>
          <w:b/>
          <w:bCs/>
          <w:sz w:val="28"/>
          <w:szCs w:val="28"/>
          <w:lang w:val="en-US"/>
        </w:rPr>
      </w:pPr>
      <w:r>
        <w:rPr>
          <w:b/>
          <w:bCs/>
          <w:sz w:val="28"/>
          <w:szCs w:val="28"/>
          <w:lang w:val="en-US"/>
        </w:rPr>
        <w:br w:type="page"/>
      </w:r>
      <w:r w:rsidR="004315C1">
        <w:rPr>
          <w:b/>
          <w:bCs/>
          <w:sz w:val="28"/>
          <w:szCs w:val="28"/>
          <w:lang w:val="en-US"/>
        </w:rPr>
        <w:lastRenderedPageBreak/>
        <w:t xml:space="preserve">Supplementary </w:t>
      </w:r>
      <w:r w:rsidR="00A155E2" w:rsidRPr="00A155E2">
        <w:rPr>
          <w:b/>
          <w:bCs/>
          <w:sz w:val="28"/>
          <w:szCs w:val="28"/>
          <w:lang w:val="en-US"/>
        </w:rPr>
        <w:t xml:space="preserve">Materials and </w:t>
      </w:r>
      <w:r w:rsidR="00C65F4E">
        <w:rPr>
          <w:b/>
          <w:bCs/>
          <w:sz w:val="28"/>
          <w:szCs w:val="28"/>
          <w:lang w:val="en-US"/>
        </w:rPr>
        <w:t>Methods</w:t>
      </w:r>
    </w:p>
    <w:p w14:paraId="58F6C0CE" w14:textId="77777777" w:rsidR="00AE21F2" w:rsidRDefault="00AE21F2" w:rsidP="00434DD5">
      <w:pPr>
        <w:spacing w:line="276" w:lineRule="auto"/>
        <w:jc w:val="both"/>
        <w:rPr>
          <w:rFonts w:cstheme="minorHAnsi"/>
          <w:b/>
          <w:bCs/>
          <w:lang w:val="en-US"/>
        </w:rPr>
      </w:pPr>
    </w:p>
    <w:p w14:paraId="4C5829CB" w14:textId="0247B93F" w:rsidR="00434DD5" w:rsidRPr="00434DD5" w:rsidRDefault="00434DD5" w:rsidP="00434DD5">
      <w:pPr>
        <w:spacing w:line="276" w:lineRule="auto"/>
        <w:jc w:val="both"/>
        <w:rPr>
          <w:rFonts w:cstheme="minorHAnsi"/>
          <w:b/>
          <w:bCs/>
          <w:lang w:val="en-US"/>
        </w:rPr>
      </w:pPr>
      <w:r w:rsidRPr="00434DD5">
        <w:rPr>
          <w:rFonts w:cstheme="minorHAnsi"/>
          <w:b/>
          <w:bCs/>
          <w:lang w:val="en-US"/>
        </w:rPr>
        <w:t>Bayesian modeling of AGC recovery</w:t>
      </w:r>
    </w:p>
    <w:p w14:paraId="1F9606D8" w14:textId="4393A04D" w:rsidR="00434DD5" w:rsidRDefault="00434DD5" w:rsidP="00434DD5">
      <w:pPr>
        <w:spacing w:line="276" w:lineRule="auto"/>
        <w:jc w:val="both"/>
        <w:rPr>
          <w:rFonts w:cstheme="minorHAnsi"/>
          <w:lang w:val="en-US"/>
        </w:rPr>
      </w:pPr>
      <w:r w:rsidRPr="005B29F8">
        <w:rPr>
          <w:rFonts w:cstheme="minorHAnsi"/>
          <w:lang w:val="en-US"/>
        </w:rPr>
        <w:t>All data and statistical analyses were carried out using RStudio</w:t>
      </w:r>
      <w:r w:rsidRPr="005B29F8">
        <w:rPr>
          <w:rFonts w:cstheme="minorHAnsi"/>
          <w:lang w:val="en-US"/>
        </w:rPr>
        <w:fldChar w:fldCharType="begin"/>
      </w:r>
      <w:r w:rsidR="00DD35B8">
        <w:rPr>
          <w:rFonts w:cstheme="minorHAnsi"/>
          <w:lang w:val="en-US"/>
        </w:rPr>
        <w:instrText xml:space="preserve"> ADDIN ZOTERO_ITEM CSL_CITATION {"citationID":"nErCnZT1","properties":{"formattedCitation":"\\super 1\\nosupersub{}","plainCitation":"1","noteIndex":0},"citationItems":[{"id":908,"uris":["http://zotero.org/users/13671732/items/ZSL88V3V"],"itemData":{"id":908,"type":"standard","authority":"RStudio","publisher":"PBC","publisher-place":"Boston, MA","title":"RStudio: Integrated Development for R","URL":"http://www.rstudio.com/","author":[{"family":"RStudio Team","given":""}],"issued":{"date-parts":[["2020"]]}}}],"schema":"https://github.com/citation-style-language/schema/raw/master/csl-citation.json"} </w:instrText>
      </w:r>
      <w:r w:rsidRPr="005B29F8">
        <w:rPr>
          <w:rFonts w:cstheme="minorHAnsi"/>
          <w:lang w:val="en-US"/>
        </w:rPr>
        <w:fldChar w:fldCharType="separate"/>
      </w:r>
      <w:r w:rsidR="00DD35B8" w:rsidRPr="00DD35B8">
        <w:rPr>
          <w:rFonts w:ascii="Calibri" w:hAnsi="Calibri" w:cs="Calibri"/>
          <w:kern w:val="0"/>
          <w:vertAlign w:val="superscript"/>
        </w:rPr>
        <w:t>1</w:t>
      </w:r>
      <w:r w:rsidRPr="005B29F8">
        <w:rPr>
          <w:rFonts w:cstheme="minorHAnsi"/>
          <w:lang w:val="en-US"/>
        </w:rPr>
        <w:fldChar w:fldCharType="end"/>
      </w:r>
      <w:r w:rsidRPr="005B29F8">
        <w:rPr>
          <w:rFonts w:cstheme="minorHAnsi"/>
          <w:lang w:val="en-US"/>
        </w:rPr>
        <w:t xml:space="preserve"> and the Stan programming language</w:t>
      </w:r>
      <w:r w:rsidRPr="005B29F8">
        <w:rPr>
          <w:rFonts w:cstheme="minorHAnsi"/>
          <w:lang w:val="en-US"/>
        </w:rPr>
        <w:fldChar w:fldCharType="begin"/>
      </w:r>
      <w:r w:rsidR="00DD35B8">
        <w:rPr>
          <w:rFonts w:cstheme="minorHAnsi"/>
          <w:lang w:val="en-US"/>
        </w:rPr>
        <w:instrText xml:space="preserve"> ADDIN ZOTERO_ITEM CSL_CITATION {"citationID":"xv9KP168","properties":{"formattedCitation":"\\super 2\\nosupersub{}","plainCitation":"2","noteIndex":0},"citationItems":[{"id":1784,"uris":["http://zotero.org/users/13671732/items/XZRTTGCS"],"itemData":{"id":1784,"type":"book","edition":"2.36","title":"Stan User’s Guide","URL":"https://mc-stan.org","author":[{"literal":"Stan Development Team"}],"issued":{"date-parts":[["2024"]]}}}],"schema":"https://github.com/citation-style-language/schema/raw/master/csl-citation.json"} </w:instrText>
      </w:r>
      <w:r w:rsidRPr="005B29F8">
        <w:rPr>
          <w:rFonts w:cstheme="minorHAnsi"/>
          <w:lang w:val="en-US"/>
        </w:rPr>
        <w:fldChar w:fldCharType="separate"/>
      </w:r>
      <w:r w:rsidR="00DD35B8" w:rsidRPr="00DD35B8">
        <w:rPr>
          <w:rFonts w:ascii="Calibri" w:hAnsi="Calibri" w:cs="Calibri"/>
          <w:kern w:val="0"/>
          <w:vertAlign w:val="superscript"/>
        </w:rPr>
        <w:t>2</w:t>
      </w:r>
      <w:r w:rsidRPr="005B29F8">
        <w:rPr>
          <w:rFonts w:cstheme="minorHAnsi"/>
          <w:lang w:val="en-US"/>
        </w:rPr>
        <w:fldChar w:fldCharType="end"/>
      </w:r>
      <w:r w:rsidRPr="005B29F8">
        <w:rPr>
          <w:rFonts w:cstheme="minorHAnsi"/>
          <w:lang w:val="en-US"/>
        </w:rPr>
        <w:t xml:space="preserve">, through the </w:t>
      </w:r>
      <w:r w:rsidRPr="00053567">
        <w:rPr>
          <w:rFonts w:cstheme="minorHAnsi"/>
          <w:i/>
          <w:iCs/>
          <w:lang w:val="en-US"/>
        </w:rPr>
        <w:t>rstan</w:t>
      </w:r>
      <w:r w:rsidRPr="005B29F8">
        <w:rPr>
          <w:rFonts w:cstheme="minorHAnsi"/>
          <w:lang w:val="en-US"/>
        </w:rPr>
        <w:t xml:space="preserve"> package </w:t>
      </w:r>
      <w:r w:rsidR="00053567">
        <w:rPr>
          <w:rFonts w:cstheme="minorHAnsi"/>
          <w:lang w:val="en-US"/>
        </w:rPr>
        <w:t>(</w:t>
      </w:r>
      <w:r w:rsidRPr="005B29F8">
        <w:rPr>
          <w:rFonts w:cstheme="minorHAnsi"/>
          <w:lang w:val="en-US"/>
        </w:rPr>
        <w:t>v</w:t>
      </w:r>
      <w:r w:rsidR="00053567">
        <w:rPr>
          <w:rFonts w:cstheme="minorHAnsi"/>
          <w:lang w:val="en-US"/>
        </w:rPr>
        <w:t>ersion</w:t>
      </w:r>
      <w:r w:rsidRPr="005B29F8">
        <w:rPr>
          <w:rFonts w:cstheme="minorHAnsi"/>
          <w:lang w:val="en-US"/>
        </w:rPr>
        <w:t xml:space="preserve"> 2.32.7</w:t>
      </w:r>
      <w:r w:rsidR="00053567">
        <w:rPr>
          <w:rFonts w:cstheme="minorHAnsi"/>
          <w:lang w:val="en-US"/>
        </w:rPr>
        <w:t>)</w:t>
      </w:r>
      <w:r w:rsidRPr="005B29F8">
        <w:rPr>
          <w:rFonts w:cstheme="minorHAnsi"/>
          <w:lang w:val="en-US"/>
        </w:rPr>
        <w:fldChar w:fldCharType="begin"/>
      </w:r>
      <w:r w:rsidR="00DD35B8">
        <w:rPr>
          <w:rFonts w:cstheme="minorHAnsi"/>
          <w:lang w:val="en-US"/>
        </w:rPr>
        <w:instrText xml:space="preserve"> ADDIN ZOTERO_ITEM CSL_CITATION {"citationID":"deCx5f1e","properties":{"formattedCitation":"\\super 3\\nosupersub{}","plainCitation":"3","noteIndex":0},"citationItems":[{"id":1785,"uris":["http://zotero.org/users/13671732/items/RH2IBD6T"],"itemData":{"id":1785,"type":"software","abstract":"User-facing R functions are provided to parse, compile, test, estimate, and analyze Stan models by accessing the header-only Stan library provided by the 'StanHeaders' package. The Stan project develops a probabilistic programming language that implements full Bayesian statistical inference via Markov Chain Monte Carlo, rough Bayesian inference via 'variational' approximation, and (optionally penalized) maximum likelihood estimation via optimization. In all three cases, automatic differentiation is used to quickly and accurately evaluate gradients without burdening the user with the need to derive the partial derivatives.","license":"GPL (≥ 3)","source":"R-Packages","title":"rstan: R Interface to Stan","title-short":"rstan","URL":"https://cran.r-project.org/web/packages/rstan/index.html","version":"2.32.7","author":[{"family":"Guo","given":"Jiqiang"},{"family":"Gabry","given":"Jonah"},{"family":"Goodrich","given":"Ben"},{"family":"Johnson","given":"Andrew"},{"family":"Weber","given":"Sebastian"},{"family":"Badr","given":"Hamada S."},{"family":"Lee","given":"Daniel"},{"family":"Sakrejda","given":"Krzysztof"},{"family":"Martin","given":"Modrak"},{"family":"University","given":"Trustees of Columbia"},{"family":"Sklyar  (R/cxxfunplus.R)","given":"Oleg"},{"family":"Team  (R/pairs.R","given":"The R. Core"},{"family":"R/dynGet.R)","given":""},{"family":"Oehlschlaegel-Akiyoshi  (R/pairs.R)","given":"Jens"},{"family":"Maddock  (gamma.hpp)","given":"John"},{"family":"Bristow  (gamma.hpp)","given":"Paul"},{"family":"Agrawal  (gamma.hpp)","given":"Nikhar"},{"family":"Kormanyos  (gamma.hpp)","given":"Christopher"},{"family":"Steve","given":"Bronder"}],"accessed":{"date-parts":[["2025",4,23]]},"issued":{"date-parts":[["2025",3,10]]}}}],"schema":"https://github.com/citation-style-language/schema/raw/master/csl-citation.json"} </w:instrText>
      </w:r>
      <w:r w:rsidRPr="005B29F8">
        <w:rPr>
          <w:rFonts w:cstheme="minorHAnsi"/>
          <w:lang w:val="en-US"/>
        </w:rPr>
        <w:fldChar w:fldCharType="separate"/>
      </w:r>
      <w:r w:rsidR="00DD35B8" w:rsidRPr="00DD35B8">
        <w:rPr>
          <w:rFonts w:ascii="Calibri" w:hAnsi="Calibri" w:cs="Calibri"/>
          <w:kern w:val="0"/>
          <w:vertAlign w:val="superscript"/>
        </w:rPr>
        <w:t>3</w:t>
      </w:r>
      <w:r w:rsidRPr="005B29F8">
        <w:rPr>
          <w:rFonts w:cstheme="minorHAnsi"/>
          <w:lang w:val="en-US"/>
        </w:rPr>
        <w:fldChar w:fldCharType="end"/>
      </w:r>
      <w:r w:rsidRPr="005B29F8">
        <w:rPr>
          <w:rFonts w:cstheme="minorHAnsi"/>
          <w:lang w:val="en-US"/>
        </w:rPr>
        <w:t>. For a given data model and prior distributions, Stan simulates draws from the posterior distribution through the No-U-Turn-Sampler (NUTS), a specific Markov-Chain Monte Carlo (MCMC) algorithm. The use of MCMC enables efficient exploration of the posterior probability space by generating samples that are more likely to fall in regions of high posterior density, thereby improving convergence and reducing computational cost</w:t>
      </w:r>
      <w:r w:rsidRPr="005B29F8">
        <w:rPr>
          <w:rFonts w:cstheme="minorHAnsi"/>
          <w:lang w:val="en-US"/>
        </w:rPr>
        <w:fldChar w:fldCharType="begin"/>
      </w:r>
      <w:r w:rsidR="00DD35B8">
        <w:rPr>
          <w:rFonts w:cstheme="minorHAnsi"/>
          <w:lang w:val="en-US"/>
        </w:rPr>
        <w:instrText xml:space="preserve"> ADDIN ZOTERO_ITEM CSL_CITATION {"citationID":"S6FnMzad","properties":{"formattedCitation":"\\super 2\\nosupersub{}","plainCitation":"2","noteIndex":0},"citationItems":[{"id":1784,"uris":["http://zotero.org/users/13671732/items/XZRTTGCS"],"itemData":{"id":1784,"type":"book","edition":"2.36","title":"Stan User’s Guide","URL":"https://mc-stan.org","author":[{"literal":"Stan Development Team"}],"issued":{"date-parts":[["2024"]]}}}],"schema":"https://github.com/citation-style-language/schema/raw/master/csl-citation.json"} </w:instrText>
      </w:r>
      <w:r w:rsidRPr="005B29F8">
        <w:rPr>
          <w:rFonts w:cstheme="minorHAnsi"/>
          <w:lang w:val="en-US"/>
        </w:rPr>
        <w:fldChar w:fldCharType="separate"/>
      </w:r>
      <w:r w:rsidR="00DD35B8" w:rsidRPr="00DD35B8">
        <w:rPr>
          <w:rFonts w:ascii="Calibri" w:hAnsi="Calibri" w:cs="Calibri"/>
          <w:kern w:val="0"/>
          <w:vertAlign w:val="superscript"/>
        </w:rPr>
        <w:t>2</w:t>
      </w:r>
      <w:r w:rsidRPr="005B29F8">
        <w:rPr>
          <w:rFonts w:cstheme="minorHAnsi"/>
          <w:lang w:val="en-US"/>
        </w:rPr>
        <w:fldChar w:fldCharType="end"/>
      </w:r>
      <w:r w:rsidRPr="005B29F8">
        <w:rPr>
          <w:rFonts w:cstheme="minorHAnsi"/>
          <w:lang w:val="en-US"/>
        </w:rPr>
        <w:t xml:space="preserve">. For all modeled and calculated parameters, 90% credible intervals (CI) were calculated as the lower and upper 5% quantiles of the corresponding draws from the posterior probability distribution. </w:t>
      </w:r>
    </w:p>
    <w:p w14:paraId="06E0F3C9" w14:textId="70203B76" w:rsidR="00434DD5" w:rsidRPr="008D0231" w:rsidRDefault="00434DD5" w:rsidP="00434DD5">
      <w:pPr>
        <w:spacing w:line="276" w:lineRule="auto"/>
        <w:jc w:val="both"/>
        <w:rPr>
          <w:rFonts w:cstheme="minorHAnsi"/>
          <w:i/>
          <w:iCs/>
          <w:lang w:val="en-US"/>
        </w:rPr>
      </w:pPr>
      <w:r w:rsidRPr="008D0231">
        <w:rPr>
          <w:rFonts w:cstheme="minorHAnsi"/>
          <w:i/>
          <w:iCs/>
          <w:lang w:val="en-US"/>
        </w:rPr>
        <w:t xml:space="preserve">Recovery model </w:t>
      </w:r>
    </w:p>
    <w:p w14:paraId="7EF51C7D" w14:textId="59038739" w:rsidR="00434DD5" w:rsidRPr="005B29F8" w:rsidRDefault="00434DD5" w:rsidP="00434DD5">
      <w:pPr>
        <w:spacing w:line="276" w:lineRule="auto"/>
        <w:jc w:val="both"/>
        <w:rPr>
          <w:rFonts w:cstheme="minorHAnsi"/>
          <w:lang w:val="en-US"/>
        </w:rPr>
      </w:pPr>
      <w:r w:rsidRPr="005B29F8">
        <w:rPr>
          <w:rFonts w:cstheme="minorHAnsi"/>
          <w:lang w:val="en-US"/>
        </w:rPr>
        <w:t xml:space="preserve">The recovery of AGC to the OGF reference state was modeled using the following sigmoidal function, inspired by the </w:t>
      </w:r>
      <w:r w:rsidR="00F65CAB" w:rsidRPr="005B29F8">
        <w:rPr>
          <w:rFonts w:cstheme="minorHAnsi"/>
          <w:lang w:val="en-US"/>
        </w:rPr>
        <w:t>Chapman-Richards growth model</w:t>
      </w:r>
      <w:r w:rsidR="00F65CAB" w:rsidRPr="005B29F8">
        <w:rPr>
          <w:rFonts w:cstheme="minorHAnsi"/>
          <w:lang w:val="en-US"/>
        </w:rPr>
        <w:fldChar w:fldCharType="begin"/>
      </w:r>
      <w:r w:rsidR="00DD35B8">
        <w:rPr>
          <w:rFonts w:cstheme="minorHAnsi"/>
          <w:lang w:val="en-US"/>
        </w:rPr>
        <w:instrText xml:space="preserve"> ADDIN ZOTERO_ITEM CSL_CITATION {"citationID":"nURX24ME","properties":{"formattedCitation":"\\super 4,5\\nosupersub{}","plainCitation":"4,5","noteIndex":0},"citationItems":[{"id":1788,"uris":["http://zotero.org/users/13671732/items/38YRA7VV"],"itemData":{"id":1788,"type":"article-journal","abstract":"The application of an extended form of von Bertalanffy's growth function to plant data is considered; the equation has considerable flexibility, but is used only to supply an empirical fit. In order to aid the biological analysis of such growth data as are capable of representation by the function, general rate parameters are deduced which are related in a simple manner to its constants.","container-title":"Journal of Experimental Botany","DOI":"10.1093/jxb/10.2.290","ISSN":"0022-0957","issue":"2","journalAbbreviation":"Journal of Experimental Botany","page":"290-301","title":"A Flexible Growth Function for Empirical Use","volume":"10","author":[{"family":"Richards","given":"F. J."}],"issued":{"date-parts":[["1959",6,1]]}}},{"id":8732,"uris":["http://zotero.org/users/13671732/items/MRLZE4B9"],"itemData":{"id":8732,"type":"article-journal","abstract":"1. Despite their exceptional biodiversity and carbon stocks, more than 80% of tropical forests are disturbed. However, a lot of interrogations remain around the ability of vegetation attributes in tropical forests to recover from the various anthropogenic disturbances coexisting in many tropical landscapes. While these different disturbances are usually studied separately, this work provides, for the first time, a common modelling framework of vegetation attribute recovery in differently disturbed forests. 2. We develop an original Bayesian hierarchical model of recovery trajectories, considering disturbed forests in a common framework, through a disturbance intensity gradient. As a case study, we test our modelling approach on data from two long-term experiments, Tirimbina (Costa Rica) and Paracou (French Guiana), where forest permanent sample plots have been set up following selective logging (63.25 ha), agriculture (4 ha), and clearcutting+fire (6.25 ha). 3. We build a modelling framework that stands out by: (i) its interpretability, with model parameters having a clear ecological meaning; (ii) its robustness, allowing to compare parameter values amongst ecological systems to ensure that predictions are ecologically sound; (iii) its versatility to consider disturbance intensity through post-disturbance changes in a structural variable, either as input data, or as a transformed parameter without requiring pre-disturbance monitoring; (iv) its flexibility to explicitly consider, and test, the effects on forest recovery of various disturbance types, along an intensity gradient, in a single integrative model. 4. First conclusions drawn from our common framework underline the strongest above-ground biomass and diversity recovery rate offered by selective logging, compared to agriculture and clearcutting+fire, as well as the strong effect of disturbance intensity on taxonomic composition recovery. 5. Considering disturbed forests in a common framework might help managers to know which disturbance types need to be firmly avoided, which intensity range makes human activities sustainable in forested environments, and where inexpensive natural regeneration should be favoured over active restoration, such as tree planting. Testing this framework with various monitoring tools to estimate disturbance intensity and model vegetation attribute recovery, i.e., with forest monitoring or remote sensing data, will be the next step to make it widely applicable.","container-title":"Ecological Modelling","DOI":"10.1016/j.ecolmodel.2023.110418","ISSN":"0304-3800","journalAbbreviation":"Ecological Modelling","page":"110418","source":"ScienceDirect","title":"A common framework to model recovery in disturbed tropical forests","volume":"483","author":[{"family":"Maurent","given":"Eliott"},{"family":"Hérault","given":"Bruno"},{"family":"Piponiot","given":"Camille"},{"family":"Derroire","given":"Géraldine"},{"family":"Delgado","given":"Diego"},{"family":"Finegan","given":"Bryan"},{"family":"Kientz","given":"Mélaine Aubry"},{"family":"Amani","given":"Bienvenu H. K."},{"family":"Bieng","given":"Marie Ange Ngo"}],"issued":{"date-parts":[["2023",9,1]]}}}],"schema":"https://github.com/citation-style-language/schema/raw/master/csl-citation.json"} </w:instrText>
      </w:r>
      <w:r w:rsidR="00F65CAB" w:rsidRPr="005B29F8">
        <w:rPr>
          <w:rFonts w:cstheme="minorHAnsi"/>
          <w:lang w:val="en-US"/>
        </w:rPr>
        <w:fldChar w:fldCharType="separate"/>
      </w:r>
      <w:r w:rsidR="00DD35B8" w:rsidRPr="00DD35B8">
        <w:rPr>
          <w:rFonts w:ascii="Calibri" w:hAnsi="Calibri" w:cs="Calibri"/>
          <w:kern w:val="0"/>
          <w:vertAlign w:val="superscript"/>
        </w:rPr>
        <w:t>4,5</w:t>
      </w:r>
      <w:r w:rsidR="00F65CAB" w:rsidRPr="005B29F8">
        <w:rPr>
          <w:rFonts w:cstheme="minorHAnsi"/>
          <w:lang w:val="en-US"/>
        </w:rPr>
        <w:fldChar w:fldCharType="end"/>
      </w:r>
      <w:r w:rsidR="0082402B">
        <w:rPr>
          <w:rFonts w:cstheme="minorHAnsi"/>
          <w:lang w:val="en-US"/>
        </w:rPr>
        <w:t>(equation 1).</w:t>
      </w:r>
    </w:p>
    <w:p w14:paraId="401D9F30" w14:textId="780F311A" w:rsidR="00513EF2" w:rsidRDefault="00A93115" w:rsidP="00513EF2">
      <w:pPr>
        <w:spacing w:line="276" w:lineRule="auto"/>
        <w:jc w:val="right"/>
        <w:rPr>
          <w:rFonts w:cstheme="minorHAnsi"/>
          <w:lang w:val="en-US"/>
        </w:rPr>
      </w:pPr>
      <m:oMath>
        <m:sSub>
          <m:sSubPr>
            <m:ctrlPr>
              <w:rPr>
                <w:rFonts w:ascii="Cambria Math" w:hAnsi="Cambria Math"/>
                <w:i/>
                <w:lang w:val="en-US"/>
              </w:rPr>
            </m:ctrlPr>
          </m:sSubPr>
          <m:e>
            <m:r>
              <w:rPr>
                <w:rFonts w:ascii="Cambria Math" w:hAnsi="Cambria Math"/>
                <w:lang w:val="en-US"/>
              </w:rPr>
              <m:t>µ</m:t>
            </m:r>
          </m:e>
          <m:sub>
            <m:r>
              <w:rPr>
                <w:rFonts w:ascii="Cambria Math" w:hAnsi="Cambria Math"/>
                <w:lang w:val="en-US"/>
              </w:rPr>
              <m:t>X</m:t>
            </m:r>
            <m:r>
              <w:rPr>
                <w:rFonts w:ascii="Cambria Math" w:hAnsi="Cambria Math"/>
                <w:lang w:val="en-US"/>
              </w:rPr>
              <m:t>,</m:t>
            </m:r>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α</m:t>
            </m:r>
          </m:e>
          <m:sub>
            <m:r>
              <w:rPr>
                <w:rFonts w:ascii="Cambria Math" w:hAnsi="Cambria Math"/>
                <w:lang w:val="en-US"/>
              </w:rPr>
              <m:t>X</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ω</m:t>
            </m:r>
          </m:e>
          <m:sub>
            <m:r>
              <w:rPr>
                <w:rFonts w:ascii="Cambria Math" w:hAnsi="Cambria Math"/>
                <w:lang w:val="en-US"/>
              </w:rPr>
              <m:t>X</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α</m:t>
            </m:r>
          </m:e>
          <m:sub>
            <m:r>
              <w:rPr>
                <w:rFonts w:ascii="Cambria Math" w:hAnsi="Cambria Math"/>
                <w:lang w:val="en-US"/>
              </w:rPr>
              <m:t>X</m:t>
            </m:r>
          </m:sub>
        </m:sSub>
        <m:r>
          <w:rPr>
            <w:rFonts w:ascii="Cambria Math" w:hAnsi="Cambria Math"/>
            <w:lang w:val="en-US"/>
          </w:rPr>
          <m:t>)∙</m:t>
        </m:r>
        <m:sSup>
          <m:sSupPr>
            <m:ctrlPr>
              <w:rPr>
                <w:rFonts w:ascii="Cambria Math" w:hAnsi="Cambria Math"/>
                <w:i/>
                <w:lang w:val="en-US"/>
              </w:rPr>
            </m:ctrlPr>
          </m:sSupPr>
          <m:e>
            <m:r>
              <w:rPr>
                <w:rFonts w:ascii="Cambria Math" w:hAnsi="Cambria Math"/>
                <w:lang w:val="en-US"/>
              </w:rPr>
              <m:t>(1-</m:t>
            </m:r>
            <m:func>
              <m:funcPr>
                <m:ctrlPr>
                  <w:rPr>
                    <w:rFonts w:ascii="Cambria Math" w:hAnsi="Cambria Math"/>
                    <w:lang w:val="en-US"/>
                  </w:rPr>
                </m:ctrlPr>
              </m:funcPr>
              <m:fName>
                <m:r>
                  <m:rPr>
                    <m:sty m:val="p"/>
                  </m:rPr>
                  <w:rPr>
                    <w:rFonts w:ascii="Cambria Math" w:hAnsi="Cambria Math"/>
                    <w:lang w:val="en-US"/>
                  </w:rPr>
                  <m:t>exp</m:t>
                </m:r>
                <m:ctrlPr>
                  <w:rPr>
                    <w:rFonts w:ascii="Cambria Math" w:hAnsi="Cambria Math"/>
                    <w:i/>
                    <w:lang w:val="en-US"/>
                  </w:rPr>
                </m:ctrlPr>
              </m:fName>
              <m:e>
                <m:d>
                  <m:dPr>
                    <m:ctrlPr>
                      <w:rPr>
                        <w:rFonts w:ascii="Cambria Math" w:hAnsi="Cambria Math"/>
                        <w:i/>
                        <w:lang w:val="en-US"/>
                      </w:rPr>
                    </m:ctrlPr>
                  </m:dPr>
                  <m:e>
                    <m:r>
                      <w:rPr>
                        <w:rFonts w:ascii="Cambria Math" w:hAnsi="Cambria Math"/>
                        <w:lang w:val="en-US"/>
                      </w:rPr>
                      <m:t>-</m:t>
                    </m:r>
                    <m:sSub>
                      <m:sSubPr>
                        <m:ctrlPr>
                          <w:rPr>
                            <w:rFonts w:ascii="Cambria Math" w:hAnsi="Cambria Math"/>
                            <w:i/>
                            <w:lang w:val="en-US"/>
                          </w:rPr>
                        </m:ctrlPr>
                      </m:sSubPr>
                      <m:e>
                        <m:r>
                          <w:rPr>
                            <w:rFonts w:ascii="Cambria Math" w:hAnsi="Cambria Math"/>
                            <w:lang w:val="en-US"/>
                          </w:rPr>
                          <m:t>λ</m:t>
                        </m:r>
                      </m:e>
                      <m:sub>
                        <m:r>
                          <w:rPr>
                            <w:rFonts w:ascii="Cambria Math" w:hAnsi="Cambria Math"/>
                            <w:lang w:val="en-US"/>
                          </w:rPr>
                          <m:t>X</m:t>
                        </m:r>
                      </m:sub>
                    </m:sSub>
                    <m:r>
                      <w:rPr>
                        <w:rFonts w:ascii="Cambria Math" w:hAnsi="Cambria Math"/>
                        <w:lang w:val="en-US"/>
                      </w:rPr>
                      <m:t xml:space="preserve"> ∙ </m:t>
                    </m:r>
                    <m:r>
                      <w:rPr>
                        <w:rFonts w:ascii="Cambria Math" w:hAnsi="Cambria Math"/>
                        <w:lang w:val="en-US"/>
                      </w:rPr>
                      <m:t>t</m:t>
                    </m:r>
                  </m:e>
                </m:d>
              </m:e>
            </m:func>
            <m:r>
              <w:rPr>
                <w:rFonts w:ascii="Cambria Math" w:hAnsi="Cambria Math"/>
                <w:lang w:val="en-US"/>
              </w:rPr>
              <m:t>)</m:t>
            </m:r>
          </m:e>
          <m:sup>
            <w:bookmarkStart w:id="0" w:name="_Hlk193120960"/>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X</m:t>
                </m:r>
              </m:sub>
            </m:sSub>
            <w:bookmarkEnd w:id="0"/>
          </m:sup>
        </m:sSup>
      </m:oMath>
      <w:r w:rsidR="00513EF2" w:rsidRPr="004E5697">
        <w:rPr>
          <w:rFonts w:eastAsiaTheme="minorEastAsia"/>
          <w:lang w:val="en-US"/>
        </w:rPr>
        <w:t xml:space="preserve"> </w:t>
      </w:r>
      <w:r w:rsidR="002A0C7E">
        <w:rPr>
          <w:rFonts w:eastAsiaTheme="minorEastAsia"/>
          <w:lang w:val="en-US"/>
        </w:rPr>
        <w:tab/>
      </w:r>
      <w:r w:rsidR="00513EF2" w:rsidRPr="004E5697">
        <w:rPr>
          <w:rFonts w:eastAsiaTheme="minorEastAsia"/>
          <w:lang w:val="en-US"/>
        </w:rPr>
        <w:tab/>
      </w:r>
      <w:r w:rsidR="00513EF2" w:rsidRPr="004E5697">
        <w:rPr>
          <w:rFonts w:eastAsiaTheme="minorEastAsia"/>
          <w:lang w:val="en-US"/>
        </w:rPr>
        <w:tab/>
      </w:r>
      <w:r w:rsidR="00513EF2">
        <w:rPr>
          <w:rFonts w:eastAsiaTheme="minorEastAsia"/>
          <w:lang w:val="en-US"/>
        </w:rPr>
        <w:t>(1)</w:t>
      </w:r>
    </w:p>
    <w:p w14:paraId="33D9E05E" w14:textId="5B0A95B1" w:rsidR="00434DD5" w:rsidRPr="009E2D98" w:rsidRDefault="00434DD5" w:rsidP="00434DD5">
      <w:pPr>
        <w:spacing w:line="276" w:lineRule="auto"/>
        <w:jc w:val="both"/>
        <w:rPr>
          <w:rFonts w:eastAsiaTheme="minorEastAsia" w:cstheme="minorHAnsi"/>
          <w:lang w:val="en-US"/>
        </w:rPr>
      </w:pPr>
      <w:r w:rsidRPr="005B29F8">
        <w:rPr>
          <w:rFonts w:eastAsiaTheme="minorEastAsia" w:cstheme="minorHAnsi"/>
          <w:lang w:val="en-US"/>
        </w:rPr>
        <w:t>wit</w:t>
      </w:r>
      <w:r w:rsidRPr="009E2D98">
        <w:rPr>
          <w:rFonts w:eastAsiaTheme="minorEastAsia" w:cstheme="minorHAnsi"/>
          <w:lang w:val="en-US"/>
        </w:rPr>
        <w:t xml:space="preserve">h </w:t>
      </w:r>
      <w:r w:rsidRPr="009E2D98">
        <w:rPr>
          <w:rFonts w:eastAsiaTheme="minorEastAsia" w:cstheme="minorHAnsi"/>
          <w:i/>
          <w:iCs/>
          <w:lang w:val="en-US"/>
        </w:rPr>
        <w:t>µ</w:t>
      </w:r>
      <w:r w:rsidRPr="009E2D98">
        <w:rPr>
          <w:rFonts w:eastAsiaTheme="minorEastAsia" w:cstheme="minorHAnsi"/>
          <w:i/>
          <w:iCs/>
          <w:vertAlign w:val="subscript"/>
          <w:lang w:val="en-US"/>
        </w:rPr>
        <w:t>X,t</w:t>
      </w:r>
      <w:r w:rsidRPr="009E2D98">
        <w:rPr>
          <w:rFonts w:eastAsiaTheme="minorEastAsia" w:cstheme="minorHAnsi"/>
          <w:lang w:val="en-US"/>
        </w:rPr>
        <w:t xml:space="preserve"> </w:t>
      </w:r>
      <w:r w:rsidRPr="005B29F8">
        <w:rPr>
          <w:rFonts w:eastAsiaTheme="minorEastAsia" w:cstheme="minorHAnsi"/>
          <w:lang w:val="en-US"/>
        </w:rPr>
        <w:t>[Mg C ha</w:t>
      </w:r>
      <w:r w:rsidRPr="005B29F8">
        <w:rPr>
          <w:rFonts w:eastAsiaTheme="minorEastAsia" w:cstheme="minorHAnsi"/>
          <w:vertAlign w:val="superscript"/>
          <w:lang w:val="en-US"/>
        </w:rPr>
        <w:t>-1</w:t>
      </w:r>
      <w:r w:rsidRPr="005B29F8">
        <w:rPr>
          <w:rFonts w:eastAsiaTheme="minorEastAsia" w:cstheme="minorHAnsi"/>
          <w:lang w:val="en-US"/>
        </w:rPr>
        <w:t xml:space="preserve">] the AGC </w:t>
      </w:r>
      <w:r w:rsidRPr="009E2D98">
        <w:rPr>
          <w:rFonts w:eastAsiaTheme="minorEastAsia" w:cstheme="minorHAnsi"/>
          <w:lang w:val="en-US"/>
        </w:rPr>
        <w:t xml:space="preserve">recovery at time </w:t>
      </w:r>
      <w:r w:rsidRPr="009E2D98">
        <w:rPr>
          <w:rFonts w:eastAsiaTheme="minorEastAsia" w:cstheme="minorHAnsi"/>
          <w:i/>
          <w:iCs/>
          <w:lang w:val="en-US"/>
        </w:rPr>
        <w:t>t</w:t>
      </w:r>
      <w:r w:rsidRPr="009E2D98">
        <w:rPr>
          <w:rFonts w:eastAsiaTheme="minorEastAsia" w:cstheme="minorHAnsi"/>
          <w:lang w:val="en-US"/>
        </w:rPr>
        <w:t xml:space="preserve"> for a specific site X, </w:t>
      </w:r>
      <w:r w:rsidRPr="009E2D98">
        <w:rPr>
          <w:rFonts w:eastAsiaTheme="minorEastAsia" w:cstheme="minorHAnsi"/>
          <w:i/>
          <w:iCs/>
          <w:lang w:val="en-US"/>
        </w:rPr>
        <w:t>α</w:t>
      </w:r>
      <w:r w:rsidRPr="009E2D98">
        <w:rPr>
          <w:rFonts w:eastAsiaTheme="minorEastAsia" w:cstheme="minorHAnsi"/>
          <w:i/>
          <w:iCs/>
          <w:vertAlign w:val="subscript"/>
          <w:lang w:val="en-US"/>
        </w:rPr>
        <w:t>X</w:t>
      </w:r>
      <w:r w:rsidRPr="009E2D98">
        <w:rPr>
          <w:rFonts w:eastAsiaTheme="minorEastAsia" w:cstheme="minorHAnsi"/>
          <w:lang w:val="en-US"/>
        </w:rPr>
        <w:t xml:space="preserve"> [Mg C ha</w:t>
      </w:r>
      <w:r w:rsidRPr="009E2D98">
        <w:rPr>
          <w:rFonts w:eastAsiaTheme="minorEastAsia" w:cstheme="minorHAnsi"/>
          <w:vertAlign w:val="superscript"/>
          <w:lang w:val="en-US"/>
        </w:rPr>
        <w:t>-1</w:t>
      </w:r>
      <w:r w:rsidRPr="009E2D98">
        <w:rPr>
          <w:rFonts w:eastAsiaTheme="minorEastAsia" w:cstheme="minorHAnsi"/>
          <w:lang w:val="en-US"/>
        </w:rPr>
        <w:t xml:space="preserve">] the site-specific modeled starting value of succession (i.e. the value for </w:t>
      </w:r>
      <w:r w:rsidRPr="009E2D98">
        <w:rPr>
          <w:rFonts w:eastAsiaTheme="minorEastAsia" w:cstheme="minorHAnsi"/>
          <w:i/>
          <w:iCs/>
          <w:lang w:val="en-US"/>
        </w:rPr>
        <w:t>µ</w:t>
      </w:r>
      <w:r w:rsidRPr="009E2D98">
        <w:rPr>
          <w:rFonts w:eastAsiaTheme="minorEastAsia" w:cstheme="minorHAnsi"/>
          <w:i/>
          <w:iCs/>
          <w:vertAlign w:val="subscript"/>
          <w:lang w:val="en-US"/>
        </w:rPr>
        <w:t>X,t</w:t>
      </w:r>
      <w:r w:rsidRPr="009E2D98">
        <w:rPr>
          <w:rFonts w:eastAsiaTheme="minorEastAsia" w:cstheme="minorHAnsi"/>
          <w:lang w:val="en-US"/>
        </w:rPr>
        <w:t xml:space="preserve">(t = 0), which accounts for the standing biomass due to remnant trees), </w:t>
      </w:r>
      <w:r w:rsidRPr="009E2D98">
        <w:rPr>
          <w:rFonts w:eastAsiaTheme="minorEastAsia" w:cstheme="minorHAnsi"/>
          <w:i/>
          <w:iCs/>
          <w:lang w:val="en-US"/>
        </w:rPr>
        <w:t>ω</w:t>
      </w:r>
      <w:r w:rsidRPr="009E2D98">
        <w:rPr>
          <w:rFonts w:eastAsiaTheme="minorEastAsia" w:cstheme="minorHAnsi"/>
          <w:i/>
          <w:iCs/>
          <w:vertAlign w:val="subscript"/>
          <w:lang w:val="en-US"/>
        </w:rPr>
        <w:t>X</w:t>
      </w:r>
      <w:r w:rsidRPr="009E2D98">
        <w:rPr>
          <w:rFonts w:eastAsiaTheme="minorEastAsia" w:cstheme="minorHAnsi"/>
          <w:lang w:val="en-US"/>
        </w:rPr>
        <w:t xml:space="preserve"> [Mg C ha</w:t>
      </w:r>
      <w:r w:rsidRPr="009E2D98">
        <w:rPr>
          <w:rFonts w:eastAsiaTheme="minorEastAsia" w:cstheme="minorHAnsi"/>
          <w:vertAlign w:val="superscript"/>
          <w:lang w:val="en-US"/>
        </w:rPr>
        <w:t>-1</w:t>
      </w:r>
      <w:r w:rsidRPr="009E2D98">
        <w:rPr>
          <w:rFonts w:eastAsiaTheme="minorEastAsia" w:cstheme="minorHAnsi"/>
          <w:lang w:val="en-US"/>
        </w:rPr>
        <w:t xml:space="preserve">] the site-specific modeled asymptotic value (i.e. the OGF situation), </w:t>
      </w:r>
      <w:r w:rsidRPr="009E2D98">
        <w:rPr>
          <w:rFonts w:eastAsiaTheme="minorEastAsia" w:cstheme="minorHAnsi"/>
          <w:i/>
          <w:iCs/>
          <w:lang w:val="en-US"/>
        </w:rPr>
        <w:t>λ</w:t>
      </w:r>
      <w:r w:rsidRPr="009E2D98">
        <w:rPr>
          <w:rFonts w:eastAsiaTheme="minorEastAsia" w:cstheme="minorHAnsi"/>
          <w:i/>
          <w:iCs/>
          <w:vertAlign w:val="subscript"/>
          <w:lang w:val="en-US"/>
        </w:rPr>
        <w:t>X</w:t>
      </w:r>
      <w:r w:rsidRPr="009E2D98">
        <w:rPr>
          <w:rFonts w:eastAsiaTheme="minorEastAsia" w:cstheme="minorHAnsi"/>
          <w:lang w:val="en-US"/>
        </w:rPr>
        <w:t xml:space="preserve"> [year</w:t>
      </w:r>
      <w:r w:rsidRPr="009E2D98">
        <w:rPr>
          <w:rFonts w:eastAsiaTheme="minorEastAsia" w:cstheme="minorHAnsi"/>
          <w:vertAlign w:val="superscript"/>
          <w:lang w:val="en-US"/>
        </w:rPr>
        <w:t>-1</w:t>
      </w:r>
      <w:r w:rsidRPr="009E2D98">
        <w:rPr>
          <w:rFonts w:eastAsiaTheme="minorEastAsia" w:cstheme="minorHAnsi"/>
          <w:lang w:val="en-US"/>
        </w:rPr>
        <w:t xml:space="preserve">] the site-specific intrinsic recovery rate, and </w:t>
      </w:r>
      <w:r w:rsidRPr="009E2D98">
        <w:rPr>
          <w:rFonts w:eastAsiaTheme="minorEastAsia" w:cstheme="minorHAnsi"/>
          <w:i/>
          <w:iCs/>
          <w:lang w:val="en-US"/>
        </w:rPr>
        <w:t>δ</w:t>
      </w:r>
      <w:r w:rsidRPr="009E2D98">
        <w:rPr>
          <w:rFonts w:eastAsiaTheme="minorEastAsia" w:cstheme="minorHAnsi"/>
          <w:i/>
          <w:iCs/>
          <w:vertAlign w:val="subscript"/>
          <w:lang w:val="en-US"/>
        </w:rPr>
        <w:t>X</w:t>
      </w:r>
      <w:r w:rsidRPr="009E2D98">
        <w:rPr>
          <w:rFonts w:eastAsiaTheme="minorEastAsia" w:cstheme="minorHAnsi"/>
          <w:lang w:val="en-US"/>
        </w:rPr>
        <w:t xml:space="preserve"> the instantaneous growth rate in the inflection point of the sigmoidal curve [dimensionless].</w:t>
      </w:r>
    </w:p>
    <w:p w14:paraId="48813AEF" w14:textId="77777777" w:rsidR="00434DD5" w:rsidRPr="005B29F8" w:rsidRDefault="00434DD5" w:rsidP="00434DD5">
      <w:pPr>
        <w:spacing w:line="276" w:lineRule="auto"/>
        <w:jc w:val="both"/>
        <w:rPr>
          <w:rFonts w:eastAsiaTheme="minorEastAsia" w:cstheme="minorHAnsi"/>
          <w:lang w:val="en-US"/>
        </w:rPr>
      </w:pPr>
      <w:r w:rsidRPr="005B29F8">
        <w:rPr>
          <w:rFonts w:eastAsiaTheme="minorEastAsia" w:cstheme="minorHAnsi"/>
          <w:lang w:val="en-US"/>
        </w:rPr>
        <w:t xml:space="preserve">In each iteration, the likelihood of observed data points from both SF and OGF plots - given the parameter values proposed by the Stan algorithm - was evaluated against lognormal distributions as follows: </w:t>
      </w:r>
    </w:p>
    <w:p w14:paraId="7B2A2CB5" w14:textId="3636BE58" w:rsidR="003524FF" w:rsidRPr="00EF2184" w:rsidRDefault="00A93115" w:rsidP="003524FF">
      <w:pPr>
        <w:spacing w:line="276" w:lineRule="auto"/>
        <w:jc w:val="center"/>
        <w:rPr>
          <w:rFonts w:eastAsiaTheme="minorEastAsia"/>
          <w:lang w:val="en-US"/>
        </w:rPr>
      </w:pPr>
      <m:oMathPara>
        <m:oMath>
          <m:sSub>
            <m:sSubPr>
              <m:ctrlPr>
                <w:rPr>
                  <w:rFonts w:ascii="Cambria Math" w:eastAsiaTheme="minorEastAsia" w:hAnsi="Cambria Math"/>
                  <w:b/>
                  <w:bCs/>
                  <w:i/>
                  <w:lang w:val="en-US"/>
                </w:rPr>
              </m:ctrlPr>
            </m:sSubPr>
            <m:e>
              <m:r>
                <m:rPr>
                  <m:sty m:val="bi"/>
                </m:rPr>
                <w:rPr>
                  <w:rFonts w:ascii="Cambria Math" w:eastAsiaTheme="minorEastAsia" w:hAnsi="Cambria Math"/>
                  <w:lang w:val="en-US"/>
                </w:rPr>
                <m:t>AGC</m:t>
              </m:r>
            </m:e>
            <m:sub>
              <m:r>
                <m:rPr>
                  <m:sty m:val="bi"/>
                </m:rPr>
                <w:rPr>
                  <w:rFonts w:ascii="Cambria Math" w:eastAsiaTheme="minorEastAsia" w:hAnsi="Cambria Math"/>
                  <w:lang w:val="en-US"/>
                </w:rPr>
                <m:t>t</m:t>
              </m:r>
            </m:sub>
          </m:sSub>
          <m:r>
            <w:rPr>
              <w:rFonts w:ascii="Cambria Math" w:eastAsiaTheme="minorEastAsia" w:hAnsi="Cambria Math"/>
              <w:lang w:val="en-US"/>
            </w:rPr>
            <m:t xml:space="preserve"> ~ </m:t>
          </m:r>
          <m:r>
            <w:rPr>
              <w:rFonts w:ascii="Cambria Math" w:eastAsiaTheme="minorEastAsia" w:hAnsi="Cambria Math"/>
              <w:lang w:val="en-US"/>
            </w:rPr>
            <m:t>logN</m:t>
          </m:r>
          <m:r>
            <w:rPr>
              <w:rFonts w:ascii="Cambria Math" w:eastAsiaTheme="minorEastAsia" w:hAnsi="Cambria Math"/>
              <w:lang w:val="en-US"/>
            </w:rPr>
            <m:t>(</m:t>
          </m:r>
          <m:sSub>
            <m:sSubPr>
              <m:ctrlPr>
                <w:rPr>
                  <w:rFonts w:ascii="Cambria Math" w:hAnsi="Cambria Math"/>
                  <w:i/>
                  <w:lang w:val="en-US"/>
                </w:rPr>
              </m:ctrlPr>
            </m:sSubPr>
            <m:e>
              <m:r>
                <w:rPr>
                  <w:rFonts w:ascii="Cambria Math" w:hAnsi="Cambria Math"/>
                  <w:lang w:val="en-US"/>
                </w:rPr>
                <m:t>µ</m:t>
              </m:r>
            </m:e>
            <m:sub>
              <m:r>
                <w:rPr>
                  <w:rFonts w:ascii="Cambria Math" w:hAnsi="Cambria Math"/>
                  <w:lang w:val="en-US"/>
                </w:rPr>
                <m:t>X</m:t>
              </m:r>
              <m:r>
                <w:rPr>
                  <w:rFonts w:ascii="Cambria Math" w:hAnsi="Cambria Math"/>
                  <w:lang w:val="en-US"/>
                </w:rPr>
                <m:t>,</m:t>
              </m:r>
              <m:r>
                <w:rPr>
                  <w:rFonts w:ascii="Cambria Math" w:hAnsi="Cambria Math"/>
                  <w:lang w:val="en-US"/>
                </w:rPr>
                <m:t>t</m:t>
              </m:r>
            </m:sub>
          </m:sSub>
          <m:r>
            <w:rPr>
              <w:rFonts w:ascii="Cambria Math" w:hAnsi="Cambria Math"/>
              <w:lang w:val="en-US"/>
            </w:rPr>
            <m:t xml:space="preserve">, </m:t>
          </m:r>
          <m:sSubSup>
            <m:sSubSupPr>
              <m:ctrlPr>
                <w:rPr>
                  <w:rFonts w:ascii="Cambria Math" w:hAnsi="Cambria Math"/>
                  <w:i/>
                  <w:lang w:val="en-US"/>
                </w:rPr>
              </m:ctrlPr>
            </m:sSubSupPr>
            <m:e>
              <m:r>
                <w:rPr>
                  <w:rFonts w:ascii="Cambria Math" w:hAnsi="Cambria Math"/>
                  <w:lang w:val="en-US"/>
                </w:rPr>
                <m:t>σ</m:t>
              </m:r>
            </m:e>
            <m:sub>
              <m:r>
                <w:rPr>
                  <w:rFonts w:ascii="Cambria Math" w:hAnsi="Cambria Math"/>
                  <w:lang w:val="en-US"/>
                </w:rPr>
                <m:t>X</m:t>
              </m:r>
              <m:r>
                <w:rPr>
                  <w:rFonts w:ascii="Cambria Math" w:hAnsi="Cambria Math"/>
                  <w:lang w:val="en-US"/>
                </w:rPr>
                <m:t>,</m:t>
              </m:r>
              <m:r>
                <w:rPr>
                  <w:rFonts w:ascii="Cambria Math" w:hAnsi="Cambria Math"/>
                  <w:lang w:val="en-US"/>
                </w:rPr>
                <m:t>SF</m:t>
              </m:r>
            </m:sub>
            <m:sup>
              <m:r>
                <w:rPr>
                  <w:rFonts w:ascii="Cambria Math" w:hAnsi="Cambria Math"/>
                  <w:lang w:val="en-US"/>
                </w:rPr>
                <m:t>2</m:t>
              </m:r>
            </m:sup>
          </m:sSubSup>
          <m:r>
            <w:rPr>
              <w:rFonts w:ascii="Cambria Math" w:hAnsi="Cambria Math"/>
              <w:lang w:val="en-US"/>
            </w:rPr>
            <m:t>)</m:t>
          </m:r>
        </m:oMath>
      </m:oMathPara>
    </w:p>
    <w:p w14:paraId="20BEB2ED" w14:textId="6C0431D4" w:rsidR="00434DD5" w:rsidRPr="003524FF" w:rsidRDefault="00A93115" w:rsidP="003524FF">
      <w:pPr>
        <w:spacing w:line="276" w:lineRule="auto"/>
        <w:jc w:val="center"/>
        <w:rPr>
          <w:rFonts w:eastAsiaTheme="minorEastAsia"/>
          <w:lang w:val="en-US"/>
        </w:rPr>
      </w:pPr>
      <m:oMathPara>
        <m:oMath>
          <m:sSub>
            <m:sSubPr>
              <m:ctrlPr>
                <w:rPr>
                  <w:rFonts w:ascii="Cambria Math" w:eastAsiaTheme="minorEastAsia" w:hAnsi="Cambria Math"/>
                  <w:b/>
                  <w:bCs/>
                  <w:i/>
                  <w:lang w:val="en-US"/>
                </w:rPr>
              </m:ctrlPr>
            </m:sSubPr>
            <m:e>
              <m:r>
                <m:rPr>
                  <m:sty m:val="bi"/>
                </m:rPr>
                <w:rPr>
                  <w:rFonts w:ascii="Cambria Math" w:eastAsiaTheme="minorEastAsia" w:hAnsi="Cambria Math"/>
                  <w:lang w:val="en-US"/>
                </w:rPr>
                <m:t>AGC</m:t>
              </m:r>
            </m:e>
            <m:sub>
              <m:r>
                <m:rPr>
                  <m:sty m:val="bi"/>
                </m:rPr>
                <w:rPr>
                  <w:rFonts w:ascii="Cambria Math" w:eastAsiaTheme="minorEastAsia" w:hAnsi="Cambria Math"/>
                  <w:lang w:val="en-US"/>
                </w:rPr>
                <m:t>OGF</m:t>
              </m:r>
            </m:sub>
          </m:sSub>
          <m:r>
            <w:rPr>
              <w:rFonts w:ascii="Cambria Math" w:eastAsiaTheme="minorEastAsia" w:hAnsi="Cambria Math"/>
              <w:lang w:val="en-US"/>
            </w:rPr>
            <m:t xml:space="preserve"> ~ </m:t>
          </m:r>
          <m:r>
            <w:rPr>
              <w:rFonts w:ascii="Cambria Math" w:eastAsiaTheme="minorEastAsia" w:hAnsi="Cambria Math"/>
              <w:lang w:val="en-US"/>
            </w:rPr>
            <m:t>logN</m:t>
          </m:r>
          <m:r>
            <w:rPr>
              <w:rFonts w:ascii="Cambria Math" w:eastAsiaTheme="minorEastAsia" w:hAnsi="Cambria Math"/>
              <w:lang w:val="en-US"/>
            </w:rPr>
            <m:t>(</m:t>
          </m:r>
          <m:sSub>
            <m:sSubPr>
              <m:ctrlPr>
                <w:rPr>
                  <w:rFonts w:ascii="Cambria Math" w:hAnsi="Cambria Math"/>
                  <w:i/>
                  <w:lang w:val="en-US"/>
                </w:rPr>
              </m:ctrlPr>
            </m:sSubPr>
            <m:e>
              <m:r>
                <w:rPr>
                  <w:rFonts w:ascii="Cambria Math" w:hAnsi="Cambria Math"/>
                  <w:lang w:val="en-US"/>
                </w:rPr>
                <m:t>µ</m:t>
              </m:r>
            </m:e>
            <m:sub>
              <m:r>
                <w:rPr>
                  <w:rFonts w:ascii="Cambria Math" w:hAnsi="Cambria Math"/>
                  <w:lang w:val="en-US"/>
                </w:rPr>
                <m:t>X</m:t>
              </m:r>
              <m:r>
                <w:rPr>
                  <w:rFonts w:ascii="Cambria Math" w:hAnsi="Cambria Math"/>
                  <w:lang w:val="en-US"/>
                </w:rPr>
                <m:t>,</m:t>
              </m:r>
              <m:r>
                <w:rPr>
                  <w:rFonts w:ascii="Cambria Math" w:hAnsi="Cambria Math"/>
                  <w:lang w:val="en-US"/>
                </w:rPr>
                <m:t>OGF</m:t>
              </m:r>
            </m:sub>
          </m:sSub>
          <m:r>
            <w:rPr>
              <w:rFonts w:ascii="Cambria Math" w:hAnsi="Cambria Math"/>
              <w:lang w:val="en-US"/>
            </w:rPr>
            <m:t xml:space="preserve">, </m:t>
          </m:r>
          <m:sSubSup>
            <m:sSubSupPr>
              <m:ctrlPr>
                <w:rPr>
                  <w:rFonts w:ascii="Cambria Math" w:hAnsi="Cambria Math"/>
                  <w:i/>
                  <w:lang w:val="en-US"/>
                </w:rPr>
              </m:ctrlPr>
            </m:sSubSupPr>
            <m:e>
              <m:r>
                <w:rPr>
                  <w:rFonts w:ascii="Cambria Math" w:hAnsi="Cambria Math"/>
                  <w:lang w:val="en-US"/>
                </w:rPr>
                <m:t>σ</m:t>
              </m:r>
            </m:e>
            <m:sub>
              <m:r>
                <w:rPr>
                  <w:rFonts w:ascii="Cambria Math" w:hAnsi="Cambria Math"/>
                  <w:lang w:val="en-US"/>
                </w:rPr>
                <m:t xml:space="preserve"> </m:t>
              </m:r>
              <m:r>
                <w:rPr>
                  <w:rFonts w:ascii="Cambria Math" w:hAnsi="Cambria Math"/>
                  <w:lang w:val="en-US"/>
                </w:rPr>
                <m:t>X</m:t>
              </m:r>
              <m:r>
                <w:rPr>
                  <w:rFonts w:ascii="Cambria Math" w:hAnsi="Cambria Math"/>
                  <w:lang w:val="en-US"/>
                </w:rPr>
                <m:t>,</m:t>
              </m:r>
              <m:r>
                <w:rPr>
                  <w:rFonts w:ascii="Cambria Math" w:hAnsi="Cambria Math"/>
                  <w:lang w:val="en-US"/>
                </w:rPr>
                <m:t>OGF</m:t>
              </m:r>
            </m:sub>
            <m:sup>
              <m:r>
                <w:rPr>
                  <w:rFonts w:ascii="Cambria Math" w:hAnsi="Cambria Math"/>
                  <w:lang w:val="en-US"/>
                </w:rPr>
                <m:t>2</m:t>
              </m:r>
            </m:sup>
          </m:sSubSup>
          <m:r>
            <w:rPr>
              <w:rFonts w:ascii="Cambria Math" w:hAnsi="Cambria Math"/>
              <w:lang w:val="en-US"/>
            </w:rPr>
            <m:t>)</m:t>
          </m:r>
        </m:oMath>
      </m:oMathPara>
    </w:p>
    <w:p w14:paraId="4EE2E83E" w14:textId="6CFF4626" w:rsidR="00434DD5" w:rsidRPr="000E4BDD" w:rsidRDefault="00434DD5" w:rsidP="00434DD5">
      <w:pPr>
        <w:spacing w:line="276" w:lineRule="auto"/>
        <w:jc w:val="both"/>
        <w:rPr>
          <w:rFonts w:eastAsiaTheme="minorEastAsia" w:cstheme="minorHAnsi"/>
          <w:lang w:val="en-US"/>
        </w:rPr>
      </w:pPr>
      <w:r w:rsidRPr="005B29F8">
        <w:rPr>
          <w:rFonts w:eastAsiaTheme="minorEastAsia" w:cstheme="minorHAnsi"/>
          <w:lang w:val="en-US"/>
        </w:rPr>
        <w:t xml:space="preserve">with </w:t>
      </w:r>
      <w:r w:rsidRPr="005B29F8">
        <w:rPr>
          <w:rFonts w:eastAsiaTheme="minorEastAsia" w:cstheme="minorHAnsi"/>
          <w:b/>
          <w:bCs/>
          <w:i/>
          <w:iCs/>
          <w:lang w:val="en-US"/>
        </w:rPr>
        <w:t>AGC</w:t>
      </w:r>
      <w:r w:rsidRPr="005B29F8">
        <w:rPr>
          <w:rFonts w:eastAsiaTheme="minorEastAsia" w:cstheme="minorHAnsi"/>
          <w:b/>
          <w:bCs/>
          <w:i/>
          <w:iCs/>
          <w:vertAlign w:val="subscript"/>
          <w:lang w:val="en-US"/>
        </w:rPr>
        <w:t>t</w:t>
      </w:r>
      <w:r w:rsidRPr="005B29F8">
        <w:rPr>
          <w:rFonts w:eastAsiaTheme="minorEastAsia" w:cstheme="minorHAnsi"/>
          <w:lang w:val="en-US"/>
        </w:rPr>
        <w:t xml:space="preserve"> the</w:t>
      </w:r>
      <w:r w:rsidR="001609F9">
        <w:rPr>
          <w:rFonts w:eastAsiaTheme="minorEastAsia" w:cstheme="minorHAnsi"/>
          <w:lang w:val="en-US"/>
        </w:rPr>
        <w:t xml:space="preserve"> vector of</w:t>
      </w:r>
      <w:r w:rsidRPr="005B29F8">
        <w:rPr>
          <w:rFonts w:eastAsiaTheme="minorEastAsia" w:cstheme="minorHAnsi"/>
          <w:lang w:val="en-US"/>
        </w:rPr>
        <w:t xml:space="preserve"> observed AGC value</w:t>
      </w:r>
      <w:r w:rsidR="00860F8F">
        <w:rPr>
          <w:rFonts w:eastAsiaTheme="minorEastAsia" w:cstheme="minorHAnsi"/>
          <w:lang w:val="en-US"/>
        </w:rPr>
        <w:t>s</w:t>
      </w:r>
      <w:r w:rsidRPr="005B29F8">
        <w:rPr>
          <w:rFonts w:eastAsiaTheme="minorEastAsia" w:cstheme="minorHAnsi"/>
          <w:lang w:val="en-US"/>
        </w:rPr>
        <w:t xml:space="preserve"> from </w:t>
      </w:r>
      <w:r w:rsidRPr="005B29F8">
        <w:rPr>
          <w:rFonts w:cstheme="minorHAnsi"/>
          <w:lang w:val="en-US"/>
        </w:rPr>
        <w:t>secondary forest</w:t>
      </w:r>
      <w:r w:rsidRPr="005B29F8">
        <w:rPr>
          <w:rFonts w:eastAsiaTheme="minorEastAsia" w:cstheme="minorHAnsi"/>
          <w:lang w:val="en-US"/>
        </w:rPr>
        <w:t xml:space="preserve"> for a given forest age (here indicated as ti</w:t>
      </w:r>
      <w:r w:rsidRPr="000E4BDD">
        <w:rPr>
          <w:rFonts w:eastAsiaTheme="minorEastAsia" w:cstheme="minorHAnsi"/>
          <w:lang w:val="en-US"/>
        </w:rPr>
        <w:t xml:space="preserve">me </w:t>
      </w:r>
      <w:r w:rsidRPr="000E4BDD">
        <w:rPr>
          <w:rFonts w:eastAsiaTheme="minorEastAsia" w:cstheme="minorHAnsi"/>
          <w:i/>
          <w:iCs/>
          <w:lang w:val="en-US"/>
        </w:rPr>
        <w:t>t</w:t>
      </w:r>
      <w:r w:rsidRPr="000E4BDD">
        <w:rPr>
          <w:rFonts w:eastAsiaTheme="minorEastAsia" w:cstheme="minorHAnsi"/>
          <w:lang w:val="en-US"/>
        </w:rPr>
        <w:t xml:space="preserve">), </w:t>
      </w:r>
      <w:r w:rsidRPr="000E4BDD">
        <w:rPr>
          <w:rFonts w:eastAsiaTheme="minorEastAsia" w:cstheme="minorHAnsi"/>
          <w:i/>
          <w:iCs/>
          <w:lang w:val="en-US"/>
        </w:rPr>
        <w:t>µ</w:t>
      </w:r>
      <w:r w:rsidRPr="000E4BDD">
        <w:rPr>
          <w:rFonts w:eastAsiaTheme="minorEastAsia" w:cstheme="minorHAnsi"/>
          <w:i/>
          <w:iCs/>
          <w:vertAlign w:val="subscript"/>
          <w:lang w:val="en-US"/>
        </w:rPr>
        <w:t>X,t</w:t>
      </w:r>
      <w:r w:rsidRPr="000E4BDD">
        <w:rPr>
          <w:rFonts w:eastAsiaTheme="minorEastAsia" w:cstheme="minorHAnsi"/>
          <w:lang w:val="en-US"/>
        </w:rPr>
        <w:t xml:space="preserve"> the modeled AGC for a site </w:t>
      </w:r>
      <w:r w:rsidRPr="000E4BDD">
        <w:rPr>
          <w:rFonts w:eastAsiaTheme="minorEastAsia" w:cstheme="minorHAnsi"/>
          <w:i/>
          <w:iCs/>
          <w:lang w:val="en-US"/>
        </w:rPr>
        <w:t>X</w:t>
      </w:r>
      <w:r w:rsidRPr="000E4BDD">
        <w:rPr>
          <w:rFonts w:eastAsiaTheme="minorEastAsia" w:cstheme="minorHAnsi"/>
          <w:lang w:val="en-US"/>
        </w:rPr>
        <w:t xml:space="preserve"> at time </w:t>
      </w:r>
      <w:r w:rsidRPr="000E4BDD">
        <w:rPr>
          <w:rFonts w:eastAsiaTheme="minorEastAsia" w:cstheme="minorHAnsi"/>
          <w:i/>
          <w:iCs/>
          <w:lang w:val="en-US"/>
        </w:rPr>
        <w:t>t</w:t>
      </w:r>
      <w:r w:rsidRPr="000E4BDD">
        <w:rPr>
          <w:rFonts w:eastAsiaTheme="minorEastAsia" w:cstheme="minorHAnsi"/>
          <w:lang w:val="en-US"/>
        </w:rPr>
        <w:t>,</w:t>
      </w:r>
      <w:r w:rsidRPr="000E4BDD">
        <w:rPr>
          <w:rFonts w:eastAsiaTheme="minorEastAsia" w:cstheme="minorHAnsi"/>
          <w:i/>
          <w:iCs/>
          <w:lang w:val="en-US"/>
        </w:rPr>
        <w:t xml:space="preserve"> σ²</w:t>
      </w:r>
      <w:r w:rsidRPr="000E4BDD">
        <w:rPr>
          <w:rFonts w:eastAsiaTheme="minorEastAsia" w:cstheme="minorHAnsi"/>
          <w:i/>
          <w:iCs/>
          <w:vertAlign w:val="subscript"/>
          <w:lang w:val="en-US"/>
        </w:rPr>
        <w:t>X,SF</w:t>
      </w:r>
      <w:r w:rsidRPr="000E4BDD">
        <w:rPr>
          <w:rFonts w:eastAsiaTheme="minorEastAsia" w:cstheme="minorHAnsi"/>
          <w:lang w:val="en-US"/>
        </w:rPr>
        <w:t xml:space="preserve"> the modeled dispersion of the lognormal law</w:t>
      </w:r>
      <w:r w:rsidRPr="005B29F8">
        <w:rPr>
          <w:rFonts w:eastAsiaTheme="minorEastAsia" w:cstheme="minorHAnsi"/>
          <w:lang w:val="en-US"/>
        </w:rPr>
        <w:t xml:space="preserve"> on the observations from </w:t>
      </w:r>
      <w:r w:rsidRPr="005B29F8">
        <w:rPr>
          <w:rFonts w:cstheme="minorHAnsi"/>
          <w:lang w:val="en-US"/>
        </w:rPr>
        <w:t>secondary forest</w:t>
      </w:r>
      <w:r w:rsidRPr="005B29F8">
        <w:rPr>
          <w:rFonts w:eastAsiaTheme="minorEastAsia" w:cstheme="minorHAnsi"/>
          <w:lang w:val="en-US"/>
        </w:rPr>
        <w:t xml:space="preserve"> plots, </w:t>
      </w:r>
      <w:r w:rsidRPr="005B29F8">
        <w:rPr>
          <w:rFonts w:eastAsiaTheme="minorEastAsia" w:cstheme="minorHAnsi"/>
          <w:b/>
          <w:bCs/>
          <w:i/>
          <w:iCs/>
          <w:lang w:val="en-US"/>
        </w:rPr>
        <w:t>AGC</w:t>
      </w:r>
      <w:r w:rsidRPr="005B29F8">
        <w:rPr>
          <w:rFonts w:eastAsiaTheme="minorEastAsia" w:cstheme="minorHAnsi"/>
          <w:b/>
          <w:bCs/>
          <w:i/>
          <w:iCs/>
          <w:vertAlign w:val="subscript"/>
          <w:lang w:val="en-US"/>
        </w:rPr>
        <w:t>OGF</w:t>
      </w:r>
      <w:r w:rsidRPr="005B29F8">
        <w:rPr>
          <w:rFonts w:eastAsiaTheme="minorEastAsia" w:cstheme="minorHAnsi"/>
          <w:lang w:val="en-US"/>
        </w:rPr>
        <w:t xml:space="preserve"> the </w:t>
      </w:r>
      <w:r w:rsidR="000E4BDD">
        <w:rPr>
          <w:rFonts w:eastAsiaTheme="minorEastAsia" w:cstheme="minorHAnsi"/>
          <w:lang w:val="en-US"/>
        </w:rPr>
        <w:t xml:space="preserve">vector of </w:t>
      </w:r>
      <w:r w:rsidRPr="005B29F8">
        <w:rPr>
          <w:rFonts w:eastAsiaTheme="minorEastAsia" w:cstheme="minorHAnsi"/>
          <w:lang w:val="en-US"/>
        </w:rPr>
        <w:t xml:space="preserve">observed AGC value from OGF across </w:t>
      </w:r>
      <w:r w:rsidRPr="000E4BDD">
        <w:rPr>
          <w:rFonts w:eastAsiaTheme="minorEastAsia" w:cstheme="minorHAnsi"/>
          <w:lang w:val="en-US"/>
        </w:rPr>
        <w:t xml:space="preserve">sites, </w:t>
      </w:r>
      <w:r w:rsidRPr="000E4BDD">
        <w:rPr>
          <w:rFonts w:eastAsiaTheme="minorEastAsia" w:cstheme="minorHAnsi"/>
          <w:i/>
          <w:iCs/>
          <w:lang w:val="en-US"/>
        </w:rPr>
        <w:t>µ</w:t>
      </w:r>
      <w:r w:rsidR="00181A8A">
        <w:rPr>
          <w:rFonts w:eastAsiaTheme="minorEastAsia" w:cstheme="minorHAnsi"/>
          <w:i/>
          <w:iCs/>
          <w:vertAlign w:val="subscript"/>
          <w:lang w:val="en-US"/>
        </w:rPr>
        <w:t>X,O</w:t>
      </w:r>
      <w:r w:rsidRPr="000E4BDD">
        <w:rPr>
          <w:rFonts w:eastAsiaTheme="minorEastAsia" w:cstheme="minorHAnsi"/>
          <w:i/>
          <w:iCs/>
          <w:vertAlign w:val="subscript"/>
          <w:lang w:val="en-US"/>
        </w:rPr>
        <w:t>GF</w:t>
      </w:r>
      <w:r w:rsidRPr="000E4BDD">
        <w:rPr>
          <w:rFonts w:eastAsiaTheme="minorEastAsia" w:cstheme="minorHAnsi"/>
          <w:lang w:val="en-US"/>
        </w:rPr>
        <w:t xml:space="preserve"> the modeled AGC for OGF across sites, and </w:t>
      </w:r>
      <w:r w:rsidRPr="000E4BDD">
        <w:rPr>
          <w:rFonts w:eastAsiaTheme="minorEastAsia" w:cstheme="minorHAnsi"/>
          <w:i/>
          <w:iCs/>
          <w:lang w:val="en-US"/>
        </w:rPr>
        <w:t>σ²</w:t>
      </w:r>
      <w:r w:rsidRPr="000E4BDD">
        <w:rPr>
          <w:rFonts w:eastAsiaTheme="minorEastAsia" w:cstheme="minorHAnsi"/>
          <w:i/>
          <w:iCs/>
          <w:vertAlign w:val="subscript"/>
          <w:lang w:val="en-US"/>
        </w:rPr>
        <w:t>X,OGF</w:t>
      </w:r>
      <w:r w:rsidRPr="000E4BDD">
        <w:rPr>
          <w:rFonts w:eastAsiaTheme="minorEastAsia" w:cstheme="minorHAnsi"/>
          <w:lang w:val="en-US"/>
        </w:rPr>
        <w:t xml:space="preserve"> the modeled dispersion of the lognormal law on the observations from </w:t>
      </w:r>
      <w:r w:rsidRPr="000E4BDD">
        <w:rPr>
          <w:rFonts w:cstheme="minorHAnsi"/>
          <w:lang w:val="en-US"/>
        </w:rPr>
        <w:t>secondary forest</w:t>
      </w:r>
      <w:r w:rsidRPr="000E4BDD">
        <w:rPr>
          <w:rFonts w:eastAsiaTheme="minorEastAsia" w:cstheme="minorHAnsi"/>
          <w:lang w:val="en-US"/>
        </w:rPr>
        <w:t xml:space="preserve"> plots. Since </w:t>
      </w:r>
      <w:r w:rsidRPr="000E4BDD">
        <w:rPr>
          <w:rFonts w:eastAsiaTheme="minorEastAsia" w:cstheme="minorHAnsi"/>
          <w:i/>
          <w:iCs/>
          <w:lang w:val="en-US"/>
        </w:rPr>
        <w:t>µ</w:t>
      </w:r>
      <w:r w:rsidRPr="000E4BDD">
        <w:rPr>
          <w:rFonts w:eastAsiaTheme="minorEastAsia" w:cstheme="minorHAnsi"/>
          <w:i/>
          <w:iCs/>
          <w:vertAlign w:val="subscript"/>
          <w:lang w:val="en-US"/>
        </w:rPr>
        <w:t>X,t</w:t>
      </w:r>
      <w:r w:rsidRPr="000E4BDD">
        <w:rPr>
          <w:rFonts w:eastAsiaTheme="minorEastAsia" w:cstheme="minorHAnsi"/>
          <w:lang w:val="en-US"/>
        </w:rPr>
        <w:t xml:space="preserve"> also contains a modeled outcome for </w:t>
      </w:r>
      <w:r w:rsidRPr="000E4BDD">
        <w:rPr>
          <w:rFonts w:eastAsiaTheme="minorEastAsia" w:cstheme="minorHAnsi"/>
          <w:i/>
          <w:iCs/>
          <w:lang w:val="en-US"/>
        </w:rPr>
        <w:t>ω</w:t>
      </w:r>
      <w:r w:rsidRPr="000E4BDD">
        <w:rPr>
          <w:rFonts w:eastAsiaTheme="minorEastAsia" w:cstheme="minorHAnsi"/>
          <w:i/>
          <w:iCs/>
          <w:vertAlign w:val="subscript"/>
          <w:lang w:val="en-US"/>
        </w:rPr>
        <w:t>X</w:t>
      </w:r>
      <w:r w:rsidRPr="000E4BDD">
        <w:rPr>
          <w:rFonts w:eastAsiaTheme="minorEastAsia" w:cstheme="minorHAnsi"/>
          <w:lang w:val="en-US"/>
        </w:rPr>
        <w:t xml:space="preserve">, OGF reference values could also be estimated in the absence of field-observed OGF data. </w:t>
      </w:r>
    </w:p>
    <w:p w14:paraId="71F46A90" w14:textId="59915260" w:rsidR="00434DD5" w:rsidRPr="00D17D8B" w:rsidRDefault="00434DD5" w:rsidP="00434DD5">
      <w:pPr>
        <w:spacing w:line="276" w:lineRule="auto"/>
        <w:jc w:val="both"/>
        <w:rPr>
          <w:rFonts w:eastAsiaTheme="minorEastAsia" w:cstheme="minorHAnsi"/>
          <w:i/>
          <w:iCs/>
          <w:lang w:val="en-US"/>
        </w:rPr>
      </w:pPr>
      <w:r w:rsidRPr="00D17D8B">
        <w:rPr>
          <w:rFonts w:eastAsiaTheme="minorEastAsia" w:cstheme="minorHAnsi"/>
          <w:i/>
          <w:iCs/>
          <w:lang w:val="en-US"/>
        </w:rPr>
        <w:t>Introduced error on age estimates</w:t>
      </w:r>
    </w:p>
    <w:p w14:paraId="6E4AF446" w14:textId="77777777" w:rsidR="00BD1294" w:rsidRDefault="00434DD5" w:rsidP="006F1209">
      <w:pPr>
        <w:spacing w:line="276" w:lineRule="auto"/>
        <w:jc w:val="both"/>
        <w:rPr>
          <w:rFonts w:eastAsiaTheme="minorEastAsia" w:cstheme="minorHAnsi"/>
          <w:lang w:val="en-US"/>
        </w:rPr>
      </w:pPr>
      <w:r w:rsidRPr="005B29F8">
        <w:rPr>
          <w:rFonts w:eastAsiaTheme="minorEastAsia" w:cstheme="minorHAnsi"/>
          <w:lang w:val="en-US"/>
        </w:rPr>
        <w:t xml:space="preserve">Because age estimates of secondary forest plots derived from interviews with local informants are subject to substantial uncertainty due to inaccurate recall or misinterpretation, observed plot ages were treated as uncertain observations of an underlying true stand age. The true age was modeled as a latent variable drawn from a normal distribution with mean equal to the observed age. The standard deviation of this distribution was parameterized such that 90% of the probability mass is located within ±20% of the observed age. </w:t>
      </w:r>
    </w:p>
    <w:p w14:paraId="16875DAC" w14:textId="0E48FD65" w:rsidR="00434DD5" w:rsidRPr="00D17D8B" w:rsidRDefault="00434DD5" w:rsidP="00D17D8B">
      <w:pPr>
        <w:spacing w:line="276" w:lineRule="auto"/>
        <w:jc w:val="both"/>
        <w:rPr>
          <w:rFonts w:eastAsiaTheme="minorEastAsia" w:cstheme="minorHAnsi"/>
          <w:i/>
          <w:iCs/>
          <w:lang w:val="en-US"/>
        </w:rPr>
      </w:pPr>
      <w:r w:rsidRPr="00D17D8B">
        <w:rPr>
          <w:rFonts w:eastAsiaTheme="minorEastAsia" w:cstheme="minorHAnsi"/>
          <w:i/>
          <w:iCs/>
          <w:lang w:val="en-US"/>
        </w:rPr>
        <w:lastRenderedPageBreak/>
        <w:t>Hyperlaws and priors</w:t>
      </w:r>
    </w:p>
    <w:p w14:paraId="62213C4A" w14:textId="77777777" w:rsidR="00434DD5" w:rsidRPr="005B29F8" w:rsidRDefault="00434DD5" w:rsidP="00434DD5">
      <w:pPr>
        <w:spacing w:line="276" w:lineRule="auto"/>
        <w:jc w:val="both"/>
        <w:rPr>
          <w:rFonts w:eastAsiaTheme="minorEastAsia" w:cstheme="minorHAnsi"/>
          <w:lang w:val="en-US"/>
        </w:rPr>
      </w:pPr>
      <w:r w:rsidRPr="005B29F8">
        <w:rPr>
          <w:rFonts w:eastAsiaTheme="minorEastAsia" w:cstheme="minorHAnsi"/>
          <w:lang w:val="en-US"/>
        </w:rPr>
        <w:t>The model contains two hierarchical levels: site-level parameter estimates (the base level) are evaluated on higher-level lognormal hyperdistributions.</w:t>
      </w:r>
    </w:p>
    <w:p w14:paraId="3012D48D" w14:textId="77777777" w:rsidR="00434DD5" w:rsidRPr="00A66E34" w:rsidRDefault="00434DD5" w:rsidP="00434DD5">
      <w:pPr>
        <w:spacing w:line="276" w:lineRule="auto"/>
        <w:jc w:val="both"/>
        <w:rPr>
          <w:rFonts w:eastAsiaTheme="minorEastAsia" w:cstheme="minorHAnsi"/>
          <w:lang w:val="en-US"/>
        </w:rPr>
      </w:pPr>
      <w:r w:rsidRPr="00A66E34">
        <w:rPr>
          <w:rFonts w:eastAsiaTheme="minorEastAsia" w:cstheme="minorHAnsi"/>
          <w:lang w:val="en-US"/>
        </w:rPr>
        <w:t xml:space="preserve">The site-specific </w:t>
      </w:r>
      <w:r w:rsidRPr="00A66E34">
        <w:rPr>
          <w:rFonts w:eastAsiaTheme="minorEastAsia" w:cstheme="minorHAnsi"/>
          <w:i/>
          <w:iCs/>
          <w:lang w:val="en-US"/>
        </w:rPr>
        <w:t>α</w:t>
      </w:r>
      <w:r w:rsidRPr="00A66E34">
        <w:rPr>
          <w:rFonts w:eastAsiaTheme="minorEastAsia" w:cstheme="minorHAnsi"/>
          <w:i/>
          <w:iCs/>
          <w:vertAlign w:val="subscript"/>
          <w:lang w:val="en-US"/>
        </w:rPr>
        <w:t>X</w:t>
      </w:r>
      <w:r w:rsidRPr="00A66E34">
        <w:rPr>
          <w:rFonts w:eastAsiaTheme="minorEastAsia" w:cstheme="minorHAnsi"/>
          <w:lang w:val="en-US"/>
        </w:rPr>
        <w:t xml:space="preserve">, </w:t>
      </w:r>
      <w:r w:rsidRPr="00A66E34">
        <w:rPr>
          <w:rFonts w:eastAsiaTheme="minorEastAsia" w:cstheme="minorHAnsi"/>
          <w:i/>
          <w:iCs/>
          <w:lang w:val="en-US"/>
        </w:rPr>
        <w:t>λ</w:t>
      </w:r>
      <w:r w:rsidRPr="00A66E34">
        <w:rPr>
          <w:rFonts w:eastAsiaTheme="minorEastAsia" w:cstheme="minorHAnsi"/>
          <w:i/>
          <w:iCs/>
          <w:vertAlign w:val="subscript"/>
          <w:lang w:val="en-US"/>
        </w:rPr>
        <w:t>X</w:t>
      </w:r>
      <w:r w:rsidRPr="00A66E34">
        <w:rPr>
          <w:rFonts w:eastAsiaTheme="minorEastAsia" w:cstheme="minorHAnsi"/>
          <w:lang w:val="en-US"/>
        </w:rPr>
        <w:t xml:space="preserve">, and </w:t>
      </w:r>
      <w:r w:rsidRPr="00A66E34">
        <w:rPr>
          <w:rFonts w:eastAsiaTheme="minorEastAsia" w:cstheme="minorHAnsi"/>
          <w:i/>
          <w:iCs/>
          <w:lang w:val="en-US"/>
        </w:rPr>
        <w:t>δ</w:t>
      </w:r>
      <w:r w:rsidRPr="00A66E34">
        <w:rPr>
          <w:rFonts w:eastAsiaTheme="minorEastAsia" w:cstheme="minorHAnsi"/>
          <w:i/>
          <w:iCs/>
          <w:vertAlign w:val="subscript"/>
          <w:lang w:val="en-US"/>
        </w:rPr>
        <w:t>X</w:t>
      </w:r>
      <w:r w:rsidRPr="00A66E34">
        <w:rPr>
          <w:rFonts w:eastAsiaTheme="minorEastAsia" w:cstheme="minorHAnsi"/>
          <w:lang w:val="en-US"/>
        </w:rPr>
        <w:t xml:space="preserve"> from equation (1) were additionally modeled in a non-centered parametrization (general form):</w:t>
      </w:r>
    </w:p>
    <w:p w14:paraId="5D70EDC0" w14:textId="786A0217" w:rsidR="00434DD5" w:rsidRPr="00A66E34" w:rsidRDefault="00A93115" w:rsidP="00956F69">
      <w:pPr>
        <w:spacing w:line="276" w:lineRule="auto"/>
        <w:jc w:val="center"/>
        <w:rPr>
          <w:rFonts w:eastAsiaTheme="minorEastAsia"/>
          <w:lang w:val="en-US"/>
        </w:rPr>
      </w:pPr>
      <m:oMathPara>
        <m:oMath>
          <m:sSub>
            <m:sSubPr>
              <m:ctrlPr>
                <w:rPr>
                  <w:rFonts w:ascii="Cambria Math" w:eastAsiaTheme="minorEastAsia" w:hAnsi="Cambria Math"/>
                  <w:i/>
                  <w:lang w:val="en-US"/>
                </w:rPr>
              </m:ctrlPr>
            </m:sSubPr>
            <m:e>
              <m:r>
                <w:rPr>
                  <w:rFonts w:ascii="Cambria Math" w:eastAsiaTheme="minorEastAsia" w:hAnsi="Cambria Math"/>
                  <w:lang w:val="en-US"/>
                </w:rPr>
                <m:t>param</m:t>
              </m:r>
            </m:e>
            <m:sub>
              <m:r>
                <w:rPr>
                  <w:rFonts w:ascii="Cambria Math" w:eastAsiaTheme="minorEastAsia" w:hAnsi="Cambria Math"/>
                  <w:lang w:val="en-US"/>
                </w:rPr>
                <m:t>X</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med</m:t>
              </m:r>
            </m:e>
            <m:sub>
              <m:r>
                <w:rPr>
                  <w:rFonts w:ascii="Cambria Math" w:eastAsiaTheme="minorEastAsia" w:hAnsi="Cambria Math"/>
                  <w:lang w:val="en-US"/>
                </w:rPr>
                <m:t>param</m:t>
              </m:r>
              <m:r>
                <w:rPr>
                  <w:rFonts w:ascii="Cambria Math" w:eastAsiaTheme="minorEastAsia" w:hAnsi="Cambria Math"/>
                  <w:lang w:val="en-US"/>
                </w:rPr>
                <m:t>, h</m:t>
              </m:r>
              <m:r>
                <w:rPr>
                  <w:rFonts w:ascii="Cambria Math" w:eastAsiaTheme="minorEastAsia" w:hAnsi="Cambria Math"/>
                  <w:lang w:val="en-US"/>
                </w:rPr>
                <m:t>yper</m:t>
              </m:r>
            </m:sub>
          </m:sSub>
          <m:r>
            <w:rPr>
              <w:rFonts w:ascii="Cambria Math" w:eastAsiaTheme="minorEastAsia" w:hAnsi="Cambria Math"/>
              <w:lang w:val="en-US"/>
            </w:rPr>
            <m:t>∙</m:t>
          </m:r>
          <m:r>
            <m:rPr>
              <m:sty m:val="p"/>
            </m:rPr>
            <w:rPr>
              <w:rFonts w:ascii="Cambria Math" w:eastAsiaTheme="minorEastAsia" w:hAnsi="Cambria Math"/>
              <w:lang w:val="en-US"/>
            </w:rPr>
            <m:t>exp⁡</m:t>
          </m:r>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param</m:t>
              </m:r>
            </m:e>
            <m:sub>
              <m:r>
                <w:rPr>
                  <w:rFonts w:ascii="Cambria Math" w:eastAsiaTheme="minorEastAsia" w:hAnsi="Cambria Math"/>
                  <w:lang w:val="en-US"/>
                </w:rPr>
                <m:t>X</m:t>
              </m:r>
              <m:r>
                <w:rPr>
                  <w:rFonts w:ascii="Cambria Math" w:eastAsiaTheme="minorEastAsia" w:hAnsi="Cambria Math"/>
                  <w:lang w:val="en-US"/>
                </w:rPr>
                <m:t xml:space="preserve">, </m:t>
              </m:r>
              <m:r>
                <w:rPr>
                  <w:rFonts w:ascii="Cambria Math" w:eastAsiaTheme="minorEastAsia" w:hAnsi="Cambria Math"/>
                  <w:lang w:val="en-US"/>
                </w:rPr>
                <m:t>tilde</m:t>
              </m:r>
            </m:sub>
          </m:sSub>
          <m:r>
            <w:rPr>
              <w:rFonts w:ascii="Cambria Math" w:eastAsiaTheme="minorEastAsia" w:hAnsi="Cambria Math"/>
              <w:lang w:val="en-US"/>
            </w:rPr>
            <m:t xml:space="preserve"> ∙ </m:t>
          </m:r>
          <m:sSubSup>
            <m:sSubSupPr>
              <m:ctrlPr>
                <w:rPr>
                  <w:rFonts w:ascii="Cambria Math" w:hAnsi="Cambria Math"/>
                  <w:i/>
                  <w:lang w:val="en-US"/>
                </w:rPr>
              </m:ctrlPr>
            </m:sSubSupPr>
            <m:e>
              <m:r>
                <w:rPr>
                  <w:rFonts w:ascii="Cambria Math" w:hAnsi="Cambria Math"/>
                  <w:lang w:val="en-US"/>
                </w:rPr>
                <m:t>σ</m:t>
              </m:r>
            </m:e>
            <m:sub>
              <m:r>
                <w:rPr>
                  <w:rFonts w:ascii="Cambria Math" w:hAnsi="Cambria Math"/>
                  <w:lang w:val="en-US"/>
                </w:rPr>
                <m:t xml:space="preserve"> </m:t>
              </m:r>
              <m:r>
                <w:rPr>
                  <w:rFonts w:ascii="Cambria Math" w:hAnsi="Cambria Math"/>
                  <w:lang w:val="en-US"/>
                </w:rPr>
                <m:t>param</m:t>
              </m:r>
              <m:r>
                <w:rPr>
                  <w:rFonts w:ascii="Cambria Math" w:hAnsi="Cambria Math"/>
                  <w:lang w:val="en-US"/>
                </w:rPr>
                <m:t>, h</m:t>
              </m:r>
              <m:r>
                <w:rPr>
                  <w:rFonts w:ascii="Cambria Math" w:hAnsi="Cambria Math"/>
                  <w:lang w:val="en-US"/>
                </w:rPr>
                <m:t>yper</m:t>
              </m:r>
            </m:sub>
            <m:sup>
              <m:r>
                <w:rPr>
                  <w:rFonts w:ascii="Cambria Math" w:hAnsi="Cambria Math"/>
                  <w:lang w:val="en-US"/>
                </w:rPr>
                <m:t>2</m:t>
              </m:r>
            </m:sup>
          </m:sSubSup>
          <m:r>
            <w:rPr>
              <w:rFonts w:ascii="Cambria Math" w:eastAsiaTheme="minorEastAsia" w:hAnsi="Cambria Math"/>
              <w:lang w:val="en-US"/>
            </w:rPr>
            <m:t>)</m:t>
          </m:r>
        </m:oMath>
      </m:oMathPara>
    </w:p>
    <w:p w14:paraId="505DD85C" w14:textId="3F74C91E" w:rsidR="00434DD5" w:rsidRPr="00A66E34" w:rsidRDefault="37B215DE" w:rsidP="25B29873">
      <w:pPr>
        <w:spacing w:line="276" w:lineRule="auto"/>
        <w:jc w:val="both"/>
        <w:rPr>
          <w:rFonts w:eastAsiaTheme="minorEastAsia"/>
          <w:lang w:val="en-US"/>
        </w:rPr>
      </w:pPr>
      <w:r w:rsidRPr="25B29873">
        <w:rPr>
          <w:rFonts w:eastAsiaTheme="minorEastAsia"/>
          <w:lang w:val="en-US"/>
        </w:rPr>
        <w:t>w</w:t>
      </w:r>
      <w:r w:rsidR="00434DD5" w:rsidRPr="25B29873">
        <w:rPr>
          <w:rFonts w:eastAsiaTheme="minorEastAsia"/>
          <w:lang w:val="en-US"/>
        </w:rPr>
        <w:t xml:space="preserve">ith </w:t>
      </w:r>
      <w:r w:rsidR="00434DD5" w:rsidRPr="25B29873">
        <w:rPr>
          <w:rFonts w:eastAsiaTheme="minorEastAsia"/>
          <w:i/>
          <w:iCs/>
          <w:lang w:val="en-US"/>
        </w:rPr>
        <w:t>param</w:t>
      </w:r>
      <w:r w:rsidR="00434DD5" w:rsidRPr="25B29873">
        <w:rPr>
          <w:rFonts w:eastAsiaTheme="minorEastAsia"/>
          <w:i/>
          <w:iCs/>
          <w:vertAlign w:val="subscript"/>
          <w:lang w:val="en-US"/>
        </w:rPr>
        <w:t>X</w:t>
      </w:r>
      <w:r w:rsidR="00434DD5" w:rsidRPr="25B29873">
        <w:rPr>
          <w:rFonts w:eastAsiaTheme="minorEastAsia"/>
          <w:lang w:val="en-US"/>
        </w:rPr>
        <w:t xml:space="preserve"> the modeled site-specific or class-level parameter value, </w:t>
      </w:r>
      <w:r w:rsidR="00956F69" w:rsidRPr="25B29873">
        <w:rPr>
          <w:rFonts w:eastAsiaTheme="minorEastAsia"/>
          <w:i/>
          <w:iCs/>
          <w:lang w:val="en-US"/>
        </w:rPr>
        <w:t>med</w:t>
      </w:r>
      <w:r w:rsidR="00434DD5" w:rsidRPr="25B29873">
        <w:rPr>
          <w:rFonts w:eastAsiaTheme="minorEastAsia"/>
          <w:i/>
          <w:iCs/>
          <w:vertAlign w:val="subscript"/>
          <w:lang w:val="en-US"/>
        </w:rPr>
        <w:t>param,hyper</w:t>
      </w:r>
      <w:r w:rsidR="00434DD5" w:rsidRPr="25B29873">
        <w:rPr>
          <w:rFonts w:eastAsiaTheme="minorEastAsia"/>
          <w:lang w:val="en-US"/>
        </w:rPr>
        <w:t xml:space="preserve"> the median of the lognormal hyperlaw on the parameter, </w:t>
      </w:r>
      <w:r w:rsidR="00434DD5" w:rsidRPr="25B29873">
        <w:rPr>
          <w:rFonts w:eastAsiaTheme="minorEastAsia"/>
          <w:i/>
          <w:iCs/>
          <w:lang w:val="en-US"/>
        </w:rPr>
        <w:t>param</w:t>
      </w:r>
      <w:r w:rsidR="00434DD5" w:rsidRPr="25B29873">
        <w:rPr>
          <w:rFonts w:eastAsiaTheme="minorEastAsia"/>
          <w:i/>
          <w:iCs/>
          <w:vertAlign w:val="subscript"/>
          <w:lang w:val="en-US"/>
        </w:rPr>
        <w:t>X,tilde</w:t>
      </w:r>
      <w:r w:rsidR="00434DD5" w:rsidRPr="25B29873">
        <w:rPr>
          <w:rFonts w:eastAsiaTheme="minorEastAsia"/>
          <w:lang w:val="en-US"/>
        </w:rPr>
        <w:t xml:space="preserve"> a standard-normally distributed parameter corresponding to </w:t>
      </w:r>
      <w:r w:rsidR="00434DD5" w:rsidRPr="25B29873">
        <w:rPr>
          <w:rFonts w:eastAsiaTheme="minorEastAsia"/>
          <w:i/>
          <w:iCs/>
          <w:lang w:val="en-US"/>
        </w:rPr>
        <w:t>param</w:t>
      </w:r>
      <w:r w:rsidR="00434DD5" w:rsidRPr="25B29873">
        <w:rPr>
          <w:rFonts w:eastAsiaTheme="minorEastAsia"/>
          <w:i/>
          <w:iCs/>
          <w:vertAlign w:val="subscript"/>
          <w:lang w:val="en-US"/>
        </w:rPr>
        <w:t>X</w:t>
      </w:r>
      <w:r w:rsidR="00434DD5" w:rsidRPr="25B29873">
        <w:rPr>
          <w:rFonts w:eastAsiaTheme="minorEastAsia"/>
          <w:lang w:val="en-US"/>
        </w:rPr>
        <w:t xml:space="preserve">, and </w:t>
      </w:r>
      <w:r w:rsidR="00434DD5" w:rsidRPr="25B29873">
        <w:rPr>
          <w:rFonts w:eastAsiaTheme="minorEastAsia"/>
          <w:i/>
          <w:iCs/>
          <w:lang w:val="en-US"/>
        </w:rPr>
        <w:t>σ²</w:t>
      </w:r>
      <w:r w:rsidR="00434DD5" w:rsidRPr="25B29873">
        <w:rPr>
          <w:rFonts w:eastAsiaTheme="minorEastAsia"/>
          <w:i/>
          <w:iCs/>
          <w:vertAlign w:val="subscript"/>
          <w:lang w:val="en-US"/>
        </w:rPr>
        <w:t>param,hyper</w:t>
      </w:r>
      <w:r w:rsidR="00434DD5" w:rsidRPr="25B29873">
        <w:rPr>
          <w:rFonts w:eastAsiaTheme="minorEastAsia"/>
          <w:lang w:val="en-US"/>
        </w:rPr>
        <w:t xml:space="preserve"> the dispersion of the lognormal hyperlaw on the modeled parameter. All </w:t>
      </w:r>
      <w:r w:rsidR="00434DD5" w:rsidRPr="25B29873">
        <w:rPr>
          <w:rFonts w:eastAsiaTheme="minorEastAsia"/>
          <w:i/>
          <w:iCs/>
          <w:lang w:val="en-US"/>
        </w:rPr>
        <w:t>param</w:t>
      </w:r>
      <w:r w:rsidR="00434DD5" w:rsidRPr="25B29873">
        <w:rPr>
          <w:rFonts w:eastAsiaTheme="minorEastAsia"/>
          <w:i/>
          <w:iCs/>
          <w:vertAlign w:val="subscript"/>
          <w:lang w:val="en-US"/>
        </w:rPr>
        <w:t>X,tilde</w:t>
      </w:r>
      <w:r w:rsidR="00434DD5" w:rsidRPr="25B29873">
        <w:rPr>
          <w:rFonts w:eastAsiaTheme="minorEastAsia"/>
          <w:lang w:val="en-US"/>
        </w:rPr>
        <w:t xml:space="preserve"> were thus evaluated on standard-normal priors.</w:t>
      </w:r>
    </w:p>
    <w:p w14:paraId="3B4213B2" w14:textId="0B3DD824" w:rsidR="00434DD5" w:rsidRPr="005B29F8" w:rsidRDefault="00434DD5" w:rsidP="00434DD5">
      <w:pPr>
        <w:spacing w:after="0" w:line="276" w:lineRule="auto"/>
        <w:jc w:val="both"/>
        <w:rPr>
          <w:rFonts w:eastAsiaTheme="minorEastAsia" w:cstheme="minorHAnsi"/>
          <w:lang w:val="en-US"/>
        </w:rPr>
      </w:pPr>
      <w:r w:rsidRPr="005B29F8">
        <w:rPr>
          <w:rFonts w:eastAsiaTheme="minorEastAsia" w:cstheme="minorHAnsi"/>
          <w:lang w:val="en-US"/>
        </w:rPr>
        <w:t>All dispersion parameters (</w:t>
      </w:r>
      <w:r w:rsidRPr="005B29F8">
        <w:rPr>
          <w:rFonts w:eastAsiaTheme="minorEastAsia" w:cstheme="minorHAnsi"/>
          <w:i/>
          <w:iCs/>
          <w:lang w:val="en-US"/>
        </w:rPr>
        <w:t>σ</w:t>
      </w:r>
      <w:r w:rsidRPr="005B29F8">
        <w:rPr>
          <w:rFonts w:eastAsiaTheme="minorEastAsia" w:cstheme="minorHAnsi"/>
          <w:lang w:val="en-US"/>
        </w:rPr>
        <w:t>) were evaluated on half-normal distributions with µ = 0 and σ = 3. General hyperlaw medians (</w:t>
      </w:r>
      <w:r w:rsidR="00D63524" w:rsidRPr="00D63524">
        <w:rPr>
          <w:rFonts w:eastAsiaTheme="minorEastAsia" w:cstheme="minorHAnsi"/>
          <w:i/>
          <w:iCs/>
          <w:lang w:val="en-US"/>
        </w:rPr>
        <w:t>med</w:t>
      </w:r>
      <w:r w:rsidRPr="005B29F8">
        <w:rPr>
          <w:rFonts w:eastAsiaTheme="minorEastAsia" w:cstheme="minorHAnsi"/>
          <w:i/>
          <w:iCs/>
          <w:vertAlign w:val="subscript"/>
          <w:lang w:val="en-US"/>
        </w:rPr>
        <w:t>param,general</w:t>
      </w:r>
      <w:r w:rsidRPr="005B29F8">
        <w:rPr>
          <w:rFonts w:eastAsiaTheme="minorEastAsia" w:cstheme="minorHAnsi"/>
          <w:lang w:val="en-US"/>
        </w:rPr>
        <w:t xml:space="preserve">) were evaluated on weakly informative exponential priors in the following way:    </w:t>
      </w:r>
    </w:p>
    <w:p w14:paraId="6865708B" w14:textId="7E51574D" w:rsidR="00D63524" w:rsidRPr="00D63524" w:rsidRDefault="00A93115" w:rsidP="00D63524">
      <w:pPr>
        <w:spacing w:line="276" w:lineRule="auto"/>
        <w:jc w:val="right"/>
        <w:rPr>
          <w:rFonts w:eastAsiaTheme="minorEastAsia"/>
          <w:lang w:val="en-US"/>
        </w:rPr>
      </w:pPr>
      <m:oMathPara>
        <m:oMathParaPr>
          <m:jc m:val="center"/>
        </m:oMathParaPr>
        <m:oMath>
          <m:sSub>
            <m:sSubPr>
              <m:ctrlPr>
                <w:rPr>
                  <w:rFonts w:ascii="Cambria Math" w:eastAsiaTheme="minorEastAsia" w:hAnsi="Cambria Math"/>
                  <w:i/>
                  <w:lang w:val="en-US"/>
                </w:rPr>
              </m:ctrlPr>
            </m:sSubPr>
            <m:e>
              <m:r>
                <w:rPr>
                  <w:rFonts w:ascii="Cambria Math" w:eastAsiaTheme="minorEastAsia" w:hAnsi="Cambria Math"/>
                  <w:lang w:val="en-US"/>
                </w:rPr>
                <m:t>µ</m:t>
              </m:r>
            </m:e>
            <m:sub>
              <m:r>
                <w:rPr>
                  <w:rFonts w:ascii="Cambria Math" w:eastAsiaTheme="minorEastAsia" w:hAnsi="Cambria Math"/>
                  <w:lang w:val="en-US"/>
                </w:rPr>
                <m:t>ω</m:t>
              </m:r>
              <m:r>
                <w:rPr>
                  <w:rFonts w:ascii="Cambria Math" w:eastAsiaTheme="minorEastAsia" w:hAnsi="Cambria Math"/>
                  <w:lang w:val="en-US"/>
                </w:rPr>
                <m:t>, h</m:t>
              </m:r>
              <m:r>
                <w:rPr>
                  <w:rFonts w:ascii="Cambria Math" w:eastAsiaTheme="minorEastAsia" w:hAnsi="Cambria Math"/>
                  <w:lang w:val="en-US"/>
                </w:rPr>
                <m:t>yper</m:t>
              </m:r>
            </m:sub>
          </m:sSub>
          <m:r>
            <m:rPr>
              <m:sty m:val="p"/>
            </m:rPr>
            <w:rPr>
              <w:rFonts w:ascii="Cambria Math" w:eastAsiaTheme="minorEastAsia" w:hAnsi="Cambria Math"/>
              <w:lang w:val="en-US"/>
            </w:rPr>
            <m:t xml:space="preserve"> ~ exponential(</m:t>
          </m:r>
          <m:r>
            <w:rPr>
              <w:rFonts w:ascii="Cambria Math" w:hAnsi="Cambria Math"/>
              <w:lang w:val="en-US"/>
            </w:rPr>
            <m:t>λ</m:t>
          </m:r>
          <m:r>
            <w:rPr>
              <w:rFonts w:ascii="Cambria Math" w:hAnsi="Cambria Math"/>
              <w:lang w:val="en-US"/>
            </w:rPr>
            <m:t>=</m:t>
          </m:r>
          <m:r>
            <m:rPr>
              <m:sty m:val="p"/>
            </m:rPr>
            <w:rPr>
              <w:rFonts w:ascii="Cambria Math" w:eastAsiaTheme="minorEastAsia" w:hAnsi="Cambria Math"/>
              <w:lang w:val="en-US"/>
            </w:rPr>
            <m:t>0.001)</m:t>
          </m:r>
        </m:oMath>
      </m:oMathPara>
    </w:p>
    <w:p w14:paraId="169B6635" w14:textId="4B275F9D" w:rsidR="00D63524" w:rsidRPr="00D63524" w:rsidRDefault="00A93115" w:rsidP="00D63524">
      <w:pPr>
        <w:spacing w:line="276" w:lineRule="auto"/>
        <w:jc w:val="right"/>
        <w:rPr>
          <w:rFonts w:eastAsiaTheme="minorEastAsia"/>
          <w:lang w:val="en-US"/>
        </w:rPr>
      </w:pPr>
      <m:oMathPara>
        <m:oMathParaPr>
          <m:jc m:val="center"/>
        </m:oMathParaPr>
        <m:oMath>
          <m:sSub>
            <m:sSubPr>
              <m:ctrlPr>
                <w:rPr>
                  <w:rFonts w:ascii="Cambria Math" w:eastAsiaTheme="minorEastAsia" w:hAnsi="Cambria Math"/>
                  <w:i/>
                  <w:lang w:val="en-US"/>
                </w:rPr>
              </m:ctrlPr>
            </m:sSubPr>
            <m:e>
              <m:r>
                <w:rPr>
                  <w:rFonts w:ascii="Cambria Math" w:eastAsiaTheme="minorEastAsia" w:hAnsi="Cambria Math"/>
                  <w:lang w:val="en-US"/>
                </w:rPr>
                <m:t>µ</m:t>
              </m:r>
            </m:e>
            <m:sub>
              <m:r>
                <w:rPr>
                  <w:rFonts w:ascii="Cambria Math" w:eastAsiaTheme="minorEastAsia" w:hAnsi="Cambria Math"/>
                  <w:lang w:val="en-US"/>
                </w:rPr>
                <m:t>α</m:t>
              </m:r>
              <m:r>
                <w:rPr>
                  <w:rFonts w:ascii="Cambria Math" w:eastAsiaTheme="minorEastAsia" w:hAnsi="Cambria Math"/>
                  <w:lang w:val="en-US"/>
                </w:rPr>
                <m:t>, h</m:t>
              </m:r>
              <m:r>
                <w:rPr>
                  <w:rFonts w:ascii="Cambria Math" w:eastAsiaTheme="minorEastAsia" w:hAnsi="Cambria Math"/>
                  <w:lang w:val="en-US"/>
                </w:rPr>
                <m:t>yper</m:t>
              </m:r>
            </m:sub>
          </m:sSub>
          <m:r>
            <m:rPr>
              <m:sty m:val="p"/>
            </m:rPr>
            <w:rPr>
              <w:rFonts w:ascii="Cambria Math" w:eastAsiaTheme="minorEastAsia" w:hAnsi="Cambria Math"/>
              <w:lang w:val="en-US"/>
            </w:rPr>
            <m:t xml:space="preserve"> ~ exponential(</m:t>
          </m:r>
          <m:r>
            <w:rPr>
              <w:rFonts w:ascii="Cambria Math" w:hAnsi="Cambria Math"/>
              <w:lang w:val="en-US"/>
            </w:rPr>
            <m:t>λ</m:t>
          </m:r>
          <m:r>
            <w:rPr>
              <w:rFonts w:ascii="Cambria Math" w:hAnsi="Cambria Math"/>
              <w:lang w:val="en-US"/>
            </w:rPr>
            <m:t>=</m:t>
          </m:r>
          <m:r>
            <m:rPr>
              <m:sty m:val="p"/>
            </m:rPr>
            <w:rPr>
              <w:rFonts w:ascii="Cambria Math" w:eastAsiaTheme="minorEastAsia" w:hAnsi="Cambria Math"/>
              <w:lang w:val="en-US"/>
            </w:rPr>
            <m:t>0.05)</m:t>
          </m:r>
        </m:oMath>
      </m:oMathPara>
    </w:p>
    <w:p w14:paraId="62ACAD55" w14:textId="04FA212E" w:rsidR="00D63524" w:rsidRPr="00D63524" w:rsidRDefault="00A93115" w:rsidP="00D63524">
      <w:pPr>
        <w:spacing w:line="276" w:lineRule="auto"/>
        <w:jc w:val="right"/>
        <w:rPr>
          <w:rFonts w:eastAsiaTheme="minorEastAsia"/>
          <w:lang w:val="en-US"/>
        </w:rPr>
      </w:pPr>
      <m:oMathPara>
        <m:oMathParaPr>
          <m:jc m:val="center"/>
        </m:oMathParaPr>
        <m:oMath>
          <m:sSub>
            <m:sSubPr>
              <m:ctrlPr>
                <w:rPr>
                  <w:rFonts w:ascii="Cambria Math" w:eastAsiaTheme="minorEastAsia" w:hAnsi="Cambria Math"/>
                  <w:i/>
                  <w:lang w:val="en-US"/>
                </w:rPr>
              </m:ctrlPr>
            </m:sSubPr>
            <m:e>
              <m:r>
                <w:rPr>
                  <w:rFonts w:ascii="Cambria Math" w:eastAsiaTheme="minorEastAsia" w:hAnsi="Cambria Math"/>
                  <w:lang w:val="en-US"/>
                </w:rPr>
                <m:t>µ</m:t>
              </m:r>
            </m:e>
            <m:sub>
              <m:r>
                <w:rPr>
                  <w:rFonts w:ascii="Cambria Math" w:eastAsiaTheme="minorEastAsia" w:hAnsi="Cambria Math"/>
                  <w:lang w:val="en-US"/>
                </w:rPr>
                <m:t>λ</m:t>
              </m:r>
              <m:r>
                <w:rPr>
                  <w:rFonts w:ascii="Cambria Math" w:eastAsiaTheme="minorEastAsia" w:hAnsi="Cambria Math"/>
                  <w:lang w:val="en-US"/>
                </w:rPr>
                <m:t>, h</m:t>
              </m:r>
              <m:r>
                <w:rPr>
                  <w:rFonts w:ascii="Cambria Math" w:eastAsiaTheme="minorEastAsia" w:hAnsi="Cambria Math"/>
                  <w:lang w:val="en-US"/>
                </w:rPr>
                <m:t>yper</m:t>
              </m:r>
            </m:sub>
          </m:sSub>
          <m:r>
            <m:rPr>
              <m:sty m:val="p"/>
            </m:rPr>
            <w:rPr>
              <w:rFonts w:ascii="Cambria Math" w:eastAsiaTheme="minorEastAsia" w:hAnsi="Cambria Math"/>
              <w:lang w:val="en-US"/>
            </w:rPr>
            <m:t xml:space="preserve"> ~ exponential(</m:t>
          </m:r>
          <m:r>
            <w:rPr>
              <w:rFonts w:ascii="Cambria Math" w:hAnsi="Cambria Math"/>
              <w:lang w:val="en-US"/>
            </w:rPr>
            <m:t>λ</m:t>
          </m:r>
          <m:r>
            <w:rPr>
              <w:rFonts w:ascii="Cambria Math" w:hAnsi="Cambria Math"/>
              <w:lang w:val="en-US"/>
            </w:rPr>
            <m:t>=</m:t>
          </m:r>
          <m:r>
            <m:rPr>
              <m:sty m:val="p"/>
            </m:rPr>
            <w:rPr>
              <w:rFonts w:ascii="Cambria Math" w:eastAsiaTheme="minorEastAsia" w:hAnsi="Cambria Math"/>
              <w:lang w:val="en-US"/>
            </w:rPr>
            <m:t>1)</m:t>
          </m:r>
        </m:oMath>
      </m:oMathPara>
    </w:p>
    <w:p w14:paraId="70FA5812" w14:textId="6FDC3CB5" w:rsidR="00434DD5" w:rsidRPr="00D63524" w:rsidRDefault="00A93115" w:rsidP="00D63524">
      <w:pPr>
        <w:spacing w:line="276" w:lineRule="auto"/>
        <w:jc w:val="right"/>
        <w:rPr>
          <w:rFonts w:eastAsiaTheme="minorEastAsia"/>
          <w:lang w:val="en-US"/>
        </w:rPr>
      </w:pPr>
      <m:oMathPara>
        <m:oMathParaPr>
          <m:jc m:val="center"/>
        </m:oMathParaPr>
        <m:oMath>
          <m:sSub>
            <m:sSubPr>
              <m:ctrlPr>
                <w:rPr>
                  <w:rFonts w:ascii="Cambria Math" w:eastAsiaTheme="minorEastAsia" w:hAnsi="Cambria Math"/>
                  <w:i/>
                  <w:lang w:val="en-US"/>
                </w:rPr>
              </m:ctrlPr>
            </m:sSubPr>
            <m:e>
              <m:r>
                <w:rPr>
                  <w:rFonts w:ascii="Cambria Math" w:eastAsiaTheme="minorEastAsia" w:hAnsi="Cambria Math"/>
                  <w:lang w:val="en-US"/>
                </w:rPr>
                <m:t>µ</m:t>
              </m:r>
            </m:e>
            <m:sub>
              <m:r>
                <w:rPr>
                  <w:rFonts w:ascii="Cambria Math" w:eastAsiaTheme="minorEastAsia" w:hAnsi="Cambria Math"/>
                  <w:lang w:val="en-US"/>
                </w:rPr>
                <m:t>δ</m:t>
              </m:r>
              <m:r>
                <w:rPr>
                  <w:rFonts w:ascii="Cambria Math" w:eastAsiaTheme="minorEastAsia" w:hAnsi="Cambria Math"/>
                  <w:lang w:val="en-US"/>
                </w:rPr>
                <m:t>, h</m:t>
              </m:r>
              <m:r>
                <w:rPr>
                  <w:rFonts w:ascii="Cambria Math" w:eastAsiaTheme="minorEastAsia" w:hAnsi="Cambria Math"/>
                  <w:lang w:val="en-US"/>
                </w:rPr>
                <m:t>yper</m:t>
              </m:r>
            </m:sub>
          </m:sSub>
          <m:r>
            <m:rPr>
              <m:sty m:val="p"/>
            </m:rPr>
            <w:rPr>
              <w:rFonts w:ascii="Cambria Math" w:eastAsiaTheme="minorEastAsia" w:hAnsi="Cambria Math"/>
              <w:lang w:val="en-US"/>
            </w:rPr>
            <m:t xml:space="preserve"> ~ exponential(</m:t>
          </m:r>
          <m:r>
            <w:rPr>
              <w:rFonts w:ascii="Cambria Math" w:hAnsi="Cambria Math"/>
              <w:lang w:val="en-US"/>
            </w:rPr>
            <m:t>λ</m:t>
          </m:r>
          <m:r>
            <w:rPr>
              <w:rFonts w:ascii="Cambria Math" w:hAnsi="Cambria Math"/>
              <w:lang w:val="en-US"/>
            </w:rPr>
            <m:t>=</m:t>
          </m:r>
          <m:r>
            <m:rPr>
              <m:sty m:val="p"/>
            </m:rPr>
            <w:rPr>
              <w:rFonts w:ascii="Cambria Math" w:eastAsiaTheme="minorEastAsia" w:hAnsi="Cambria Math"/>
              <w:lang w:val="en-US"/>
            </w:rPr>
            <m:t>0.1)</m:t>
          </m:r>
        </m:oMath>
      </m:oMathPara>
    </w:p>
    <w:p w14:paraId="4F11A486" w14:textId="64265BFE" w:rsidR="00434DD5" w:rsidRPr="005B29F8" w:rsidRDefault="00434DD5" w:rsidP="00434DD5">
      <w:pPr>
        <w:spacing w:line="276" w:lineRule="auto"/>
        <w:jc w:val="both"/>
        <w:rPr>
          <w:rFonts w:eastAsiaTheme="minorEastAsia" w:cstheme="minorHAnsi"/>
          <w:lang w:val="en-US"/>
        </w:rPr>
      </w:pPr>
      <w:r w:rsidRPr="005B29F8">
        <w:rPr>
          <w:rFonts w:eastAsiaTheme="minorEastAsia" w:cstheme="minorHAnsi"/>
          <w:lang w:val="en-US"/>
        </w:rPr>
        <w:t>We used exponential priors along with lower bounds of 10</w:t>
      </w:r>
      <w:r w:rsidRPr="005B29F8">
        <w:rPr>
          <w:rFonts w:eastAsiaTheme="minorEastAsia" w:cstheme="minorHAnsi"/>
          <w:vertAlign w:val="superscript"/>
          <w:lang w:val="en-US"/>
        </w:rPr>
        <w:t>-6</w:t>
      </w:r>
      <w:r w:rsidRPr="005B29F8">
        <w:rPr>
          <w:rFonts w:eastAsiaTheme="minorEastAsia" w:cstheme="minorHAnsi"/>
          <w:lang w:val="en-US"/>
        </w:rPr>
        <w:t xml:space="preserve"> (i.e., a very small positive number) specified in Stan’s parameter declarations to ensure strictly positive estimates for the parameters of interest. Lower bounds were set slightly above zero rather than at zero to improve computational efficiency, as Stan evaluates likelihoods on the log scale and struggles with values near zero. Upper bounds for hyperdistributions medians were set to </w:t>
      </w:r>
      <w:r w:rsidR="002162D6">
        <w:rPr>
          <w:rFonts w:eastAsiaTheme="minorEastAsia" w:cstheme="minorHAnsi"/>
          <w:lang w:val="en-US"/>
        </w:rPr>
        <w:t>5</w:t>
      </w:r>
      <w:r w:rsidRPr="005B29F8">
        <w:rPr>
          <w:rFonts w:eastAsiaTheme="minorEastAsia" w:cstheme="minorHAnsi"/>
          <w:lang w:val="en-US"/>
        </w:rPr>
        <w:t xml:space="preserve">00 for </w:t>
      </w:r>
      <w:r w:rsidR="00726332" w:rsidRPr="00726332">
        <w:rPr>
          <w:rFonts w:eastAsiaTheme="minorEastAsia" w:cstheme="minorHAnsi"/>
          <w:i/>
          <w:iCs/>
          <w:lang w:val="en-US"/>
        </w:rPr>
        <w:t>med</w:t>
      </w:r>
      <w:r w:rsidRPr="005B29F8">
        <w:rPr>
          <w:rFonts w:eastAsiaTheme="minorEastAsia" w:cstheme="minorHAnsi"/>
          <w:i/>
          <w:iCs/>
          <w:vertAlign w:val="subscript"/>
          <w:lang w:val="en-US"/>
        </w:rPr>
        <w:t>α,general</w:t>
      </w:r>
      <w:r w:rsidRPr="005B29F8">
        <w:rPr>
          <w:rFonts w:eastAsiaTheme="minorEastAsia" w:cstheme="minorHAnsi"/>
          <w:lang w:val="en-US"/>
        </w:rPr>
        <w:t xml:space="preserve">, 1 for </w:t>
      </w:r>
      <w:r w:rsidR="00726332" w:rsidRPr="00726332">
        <w:rPr>
          <w:rFonts w:eastAsiaTheme="minorEastAsia" w:cstheme="minorHAnsi"/>
          <w:i/>
          <w:iCs/>
          <w:lang w:val="en-US"/>
        </w:rPr>
        <w:t>med</w:t>
      </w:r>
      <w:r w:rsidRPr="005B29F8">
        <w:rPr>
          <w:rFonts w:eastAsiaTheme="minorEastAsia" w:cstheme="minorHAnsi"/>
          <w:i/>
          <w:iCs/>
          <w:vertAlign w:val="subscript"/>
          <w:lang w:val="en-US"/>
        </w:rPr>
        <w:t>λ,general</w:t>
      </w:r>
      <w:r w:rsidRPr="005B29F8">
        <w:rPr>
          <w:rFonts w:eastAsiaTheme="minorEastAsia" w:cstheme="minorHAnsi"/>
          <w:lang w:val="en-US"/>
        </w:rPr>
        <w:t xml:space="preserve">, and 10 for </w:t>
      </w:r>
      <w:r w:rsidR="00726332" w:rsidRPr="00726332">
        <w:rPr>
          <w:rFonts w:eastAsiaTheme="minorEastAsia" w:cstheme="minorHAnsi"/>
          <w:i/>
          <w:iCs/>
          <w:lang w:val="en-US"/>
        </w:rPr>
        <w:t>med</w:t>
      </w:r>
      <w:r w:rsidRPr="005B29F8">
        <w:rPr>
          <w:rFonts w:eastAsiaTheme="minorEastAsia" w:cstheme="minorHAnsi"/>
          <w:i/>
          <w:iCs/>
          <w:vertAlign w:val="subscript"/>
          <w:lang w:val="en-US"/>
        </w:rPr>
        <w:t>δ,general</w:t>
      </w:r>
      <w:r w:rsidRPr="005B29F8">
        <w:rPr>
          <w:rFonts w:eastAsiaTheme="minorEastAsia" w:cstheme="minorHAnsi"/>
          <w:i/>
          <w:iCs/>
          <w:lang w:val="en-US"/>
        </w:rPr>
        <w:t>,</w:t>
      </w:r>
      <w:r w:rsidRPr="005B29F8">
        <w:rPr>
          <w:rFonts w:eastAsiaTheme="minorEastAsia" w:cstheme="minorHAnsi"/>
          <w:lang w:val="en-US"/>
        </w:rPr>
        <w:t xml:space="preserve"> based on expert knowledge and preliminary model runs. These constraints help prevent </w:t>
      </w:r>
      <w:r w:rsidR="00885142">
        <w:rPr>
          <w:rFonts w:eastAsiaTheme="minorEastAsia" w:cstheme="minorHAnsi"/>
          <w:lang w:val="en-US"/>
        </w:rPr>
        <w:t>extremely</w:t>
      </w:r>
      <w:r w:rsidRPr="005B29F8">
        <w:rPr>
          <w:rFonts w:eastAsiaTheme="minorEastAsia" w:cstheme="minorHAnsi"/>
          <w:lang w:val="en-US"/>
        </w:rPr>
        <w:t xml:space="preserve"> high parameter values, which are therefore rejected when proposed by the Stan algorithm. Importantly, the bounds are </w:t>
      </w:r>
      <w:r w:rsidR="00885142">
        <w:rPr>
          <w:rFonts w:eastAsiaTheme="minorEastAsia" w:cstheme="minorHAnsi"/>
          <w:lang w:val="en-US"/>
        </w:rPr>
        <w:t>still unrealistically wide</w:t>
      </w:r>
      <w:r w:rsidRPr="005B29F8">
        <w:rPr>
          <w:rFonts w:eastAsiaTheme="minorEastAsia" w:cstheme="minorHAnsi"/>
          <w:lang w:val="en-US"/>
        </w:rPr>
        <w:t xml:space="preserve"> to allow the posterior distributions to express their full shape without artificial truncation.</w:t>
      </w:r>
    </w:p>
    <w:p w14:paraId="72E1776D" w14:textId="4C28F67A" w:rsidR="00434DD5" w:rsidRPr="008D0231" w:rsidRDefault="00434DD5" w:rsidP="008D0231">
      <w:pPr>
        <w:spacing w:line="276" w:lineRule="auto"/>
        <w:jc w:val="both"/>
        <w:rPr>
          <w:rFonts w:eastAsiaTheme="minorEastAsia" w:cstheme="minorHAnsi"/>
          <w:i/>
          <w:iCs/>
          <w:lang w:val="en-US"/>
        </w:rPr>
      </w:pPr>
      <w:r w:rsidRPr="008D0231">
        <w:rPr>
          <w:rFonts w:eastAsiaTheme="minorEastAsia" w:cstheme="minorHAnsi"/>
          <w:i/>
          <w:iCs/>
          <w:lang w:val="en-US"/>
        </w:rPr>
        <w:t>Reinforcing the OGF representation</w:t>
      </w:r>
    </w:p>
    <w:p w14:paraId="3764457B" w14:textId="17D03502" w:rsidR="00E53A09" w:rsidRPr="00994B85" w:rsidRDefault="00E53A09" w:rsidP="00E53A09">
      <w:pPr>
        <w:spacing w:line="276" w:lineRule="auto"/>
        <w:jc w:val="both"/>
        <w:rPr>
          <w:rFonts w:eastAsiaTheme="minorEastAsia" w:cstheme="minorHAnsi"/>
          <w:lang w:val="en-US"/>
        </w:rPr>
      </w:pPr>
      <w:r w:rsidRPr="00E53A09">
        <w:rPr>
          <w:rFonts w:eastAsiaTheme="minorEastAsia" w:cstheme="minorHAnsi"/>
          <w:lang w:val="en-US"/>
        </w:rPr>
        <w:t xml:space="preserve">Because observed OGF values </w:t>
      </w:r>
      <w:r w:rsidRPr="00994B85">
        <w:rPr>
          <w:rFonts w:eastAsiaTheme="minorEastAsia" w:cstheme="minorHAnsi"/>
          <w:lang w:val="en-US"/>
        </w:rPr>
        <w:t xml:space="preserve">play a key role in shaping the estimated recovery trajectories and asymptotic biomass—yet are typically based on relatively few reference plots compared to the number of secondary forest plots—we specified informative priors for the parameter </w:t>
      </w:r>
      <w:r w:rsidRPr="00994B85">
        <w:rPr>
          <w:rFonts w:eastAsiaTheme="minorEastAsia" w:cstheme="minorHAnsi"/>
          <w:i/>
          <w:iCs/>
          <w:lang w:val="en-US"/>
        </w:rPr>
        <w:t>ωₓ</w:t>
      </w:r>
      <w:r w:rsidRPr="00994B85">
        <w:rPr>
          <w:rFonts w:eastAsiaTheme="minorEastAsia" w:cstheme="minorHAnsi"/>
          <w:lang w:val="en-US"/>
        </w:rPr>
        <w:t>, representing the asymptotic value of the succession trajectory. These priors were derived from the upper 10th percentile of the European Space Agency’s Climate Change Initiative (CCI) biomass map, after masking out regrowing forest areas, thereby capturing a broader, spatially continuous estimate of potential old-growth biomass conditions.</w:t>
      </w:r>
    </w:p>
    <w:p w14:paraId="2280EC31" w14:textId="7FCEC5EA" w:rsidR="00E53A09" w:rsidRPr="00994B85" w:rsidRDefault="00E53A09" w:rsidP="00E53A09">
      <w:pPr>
        <w:spacing w:line="276" w:lineRule="auto"/>
        <w:jc w:val="both"/>
        <w:rPr>
          <w:rFonts w:eastAsiaTheme="minorEastAsia" w:cstheme="minorHAnsi"/>
          <w:lang w:val="en-US"/>
        </w:rPr>
      </w:pPr>
      <w:r w:rsidRPr="00994B85">
        <w:rPr>
          <w:rFonts w:eastAsiaTheme="minorEastAsia" w:cstheme="minorHAnsi"/>
          <w:lang w:val="en-US"/>
        </w:rPr>
        <w:t xml:space="preserve">Importantly, </w:t>
      </w:r>
      <w:r w:rsidR="0095795A" w:rsidRPr="00994B85">
        <w:rPr>
          <w:rFonts w:eastAsiaTheme="minorEastAsia" w:cstheme="minorHAnsi"/>
          <w:lang w:val="en-US"/>
        </w:rPr>
        <w:t xml:space="preserve">OGF measurements entered a likelihood term for the parameter </w:t>
      </w:r>
      <w:r w:rsidR="0095795A" w:rsidRPr="00994B85">
        <w:rPr>
          <w:rFonts w:eastAsiaTheme="minorEastAsia" w:cstheme="minorHAnsi"/>
          <w:i/>
          <w:iCs/>
          <w:lang w:val="en-US"/>
        </w:rPr>
        <w:t>ωₓ,</w:t>
      </w:r>
      <w:r w:rsidR="0095795A" w:rsidRPr="00994B85">
        <w:rPr>
          <w:rFonts w:eastAsiaTheme="minorEastAsia" w:cstheme="minorHAnsi"/>
          <w:lang w:val="en-US"/>
        </w:rPr>
        <w:t xml:space="preserve"> which was separate from secondary forest plots</w:t>
      </w:r>
      <w:r w:rsidRPr="00994B85">
        <w:rPr>
          <w:rFonts w:eastAsiaTheme="minorEastAsia" w:cstheme="minorHAnsi"/>
          <w:lang w:val="en-US"/>
        </w:rPr>
        <w:t xml:space="preserve">. This approach allows the asymptotic value to be informed both by empirical OGF plot data and by a regionally representative prior, thereby reducing sensitivity to the limited number and potential sampling bias of OGF plots without excluding them from model calibration. </w:t>
      </w:r>
    </w:p>
    <w:p w14:paraId="37DBE60C" w14:textId="11A17C6A" w:rsidR="004D512C" w:rsidRPr="00E53A09" w:rsidRDefault="00E53A09" w:rsidP="00E53A09">
      <w:pPr>
        <w:spacing w:line="276" w:lineRule="auto"/>
        <w:jc w:val="both"/>
        <w:rPr>
          <w:rFonts w:eastAsiaTheme="minorEastAsia" w:cstheme="minorHAnsi"/>
          <w:lang w:val="en-US"/>
        </w:rPr>
      </w:pPr>
      <w:r w:rsidRPr="00E53A09">
        <w:rPr>
          <w:rFonts w:eastAsiaTheme="minorEastAsia" w:cstheme="minorHAnsi"/>
          <w:lang w:val="en-US"/>
        </w:rPr>
        <w:lastRenderedPageBreak/>
        <w:t>Biomass was converted to AGC using a conversion factor of 0.456</w:t>
      </w:r>
      <w:r w:rsidR="001B051F">
        <w:rPr>
          <w:rFonts w:cstheme="minorHAnsi"/>
          <w:lang w:val="en-US"/>
        </w:rPr>
        <w:t>,</w:t>
      </w:r>
      <w:r w:rsidR="001B051F" w:rsidRPr="00DC1611">
        <w:rPr>
          <w:rFonts w:cstheme="minorHAnsi"/>
          <w:lang w:val="en-US"/>
        </w:rPr>
        <w:t xml:space="preserve"> assuming a wood carbon content of 45.6% for tropical angiosperms</w:t>
      </w:r>
      <w:r w:rsidR="001B051F" w:rsidRPr="006F2F49">
        <w:rPr>
          <w:lang w:val="en-US"/>
        </w:rPr>
        <w:fldChar w:fldCharType="begin"/>
      </w:r>
      <w:r w:rsidR="00DD35B8">
        <w:rPr>
          <w:lang w:val="en-US"/>
        </w:rPr>
        <w:instrText xml:space="preserve"> ADDIN ZOTERO_ITEM CSL_CITATION {"citationID":"ZCkW7JCX","properties":{"formattedCitation":"\\super 6\\nosupersub{}","plainCitation":"6","noteIndex":0},"citationItems":[{"id":1869,"uris":["http://zotero.org/users/13671732/items/CD6VKRGI"],"itemData":{"id":1869,"type":"article-journal","abstract":"Wood carbon concentrations play a central role in forest carbon accounting, and are fundamentally linked to the growth strategies of woody plants. Yet there are no comprehensive assessments of wood carbon among trees globally, and coarse approximations of wood carbon (for example, 50%) are employed in virtually all benchmark models and assessments of forest carbon. We consolidated the largest database for any wood chemical trait—2,228 wood carbon observations from 636 species across all forested biomes—to derive robust wood carbon fractions for forest carbon accounting. Carbon fractions show substantial variation among forest biomes, and indicate errors in the existing forest carbon estimates of 4.8%, on average, and most extreme errors of 8.9% in tropical forests. The data also demonstrate that wood carbon concentrations show a phylogenetic signal and are co-evolved with, and negatively related to, wood density, thus representing a key plant trait that links plant functional biology to ecosystem processes worldwide.","container-title":"Nature Geoscience","DOI":"10.1038/s41561-018-0246-x","ISSN":"1752-0908","issue":"12","journalAbbreviation":"Nature Geosci","language":"en","license":"2018 The Author(s), under exclusive licence to Springer Nature Limited","page":"915-920","publisher":"Nature Publishing Group","source":"www.nature.com","title":"Global patterns in wood carbon concentration across the world’s trees and forests","volume":"11","author":[{"family":"Martin","given":"Adam R."},{"family":"Doraisami","given":"Mahendra"},{"family":"Thomas","given":"Sean C."}],"issued":{"date-parts":[["2018",12]]}}}],"schema":"https://github.com/citation-style-language/schema/raw/master/csl-citation.json"} </w:instrText>
      </w:r>
      <w:r w:rsidR="001B051F" w:rsidRPr="006F2F49">
        <w:rPr>
          <w:lang w:val="en-US"/>
        </w:rPr>
        <w:fldChar w:fldCharType="separate"/>
      </w:r>
      <w:r w:rsidR="00DD35B8" w:rsidRPr="00DD35B8">
        <w:rPr>
          <w:rFonts w:ascii="Calibri" w:hAnsi="Calibri" w:cs="Calibri"/>
          <w:kern w:val="0"/>
          <w:vertAlign w:val="superscript"/>
        </w:rPr>
        <w:t>6</w:t>
      </w:r>
      <w:r w:rsidR="001B051F" w:rsidRPr="006F2F49">
        <w:rPr>
          <w:lang w:val="en-US"/>
        </w:rPr>
        <w:fldChar w:fldCharType="end"/>
      </w:r>
      <w:r w:rsidRPr="00E53A09">
        <w:rPr>
          <w:rFonts w:eastAsiaTheme="minorEastAsia" w:cstheme="minorHAnsi"/>
          <w:lang w:val="en-US"/>
        </w:rPr>
        <w:t>. The mean of the normal prior on log(</w:t>
      </w:r>
      <w:r w:rsidRPr="00DD35B8">
        <w:rPr>
          <w:rFonts w:eastAsiaTheme="minorEastAsia" w:cstheme="minorHAnsi"/>
          <w:b/>
          <w:bCs/>
          <w:i/>
          <w:iCs/>
          <w:lang w:val="en-US"/>
        </w:rPr>
        <w:t>ωₓ</w:t>
      </w:r>
      <w:r w:rsidRPr="00E53A09">
        <w:rPr>
          <w:rFonts w:eastAsiaTheme="minorEastAsia" w:cstheme="minorHAnsi"/>
          <w:lang w:val="en-US"/>
        </w:rPr>
        <w:t>) was defined as the mean of the log-transformed AGC values, and the standard deviation was chosen such that, in the corresponding lognormal distribution of ωₓ, 90% of the probability mass lay within ±100% of the mean, allowing substantial flexibility while remaining informative.</w:t>
      </w:r>
    </w:p>
    <w:p w14:paraId="3FC600A2" w14:textId="2EA4136A" w:rsidR="00434DD5" w:rsidRPr="008D0231" w:rsidRDefault="00434DD5" w:rsidP="008D0231">
      <w:pPr>
        <w:spacing w:line="276" w:lineRule="auto"/>
        <w:jc w:val="both"/>
        <w:rPr>
          <w:rFonts w:eastAsiaTheme="minorEastAsia" w:cstheme="minorHAnsi"/>
          <w:i/>
          <w:iCs/>
          <w:lang w:val="en-US"/>
        </w:rPr>
      </w:pPr>
      <w:r w:rsidRPr="008D0231">
        <w:rPr>
          <w:rFonts w:cstheme="minorHAnsi"/>
          <w:i/>
          <w:iCs/>
          <w:lang w:val="en-US"/>
        </w:rPr>
        <w:t>Posterior calculations</w:t>
      </w:r>
    </w:p>
    <w:p w14:paraId="2A1311EE" w14:textId="77777777" w:rsidR="00434DD5" w:rsidRPr="005B29F8" w:rsidRDefault="00434DD5" w:rsidP="00434DD5">
      <w:pPr>
        <w:jc w:val="both"/>
        <w:rPr>
          <w:rFonts w:cstheme="minorHAnsi"/>
          <w:lang w:val="en-US"/>
        </w:rPr>
      </w:pPr>
      <w:r w:rsidRPr="005B29F8">
        <w:rPr>
          <w:rFonts w:cstheme="minorHAnsi"/>
          <w:lang w:val="en-US"/>
        </w:rPr>
        <w:t xml:space="preserve">The following posterior calculations were executed for each iteration in the Stan algorithm, yielding probability distributions for all calculated variables. </w:t>
      </w:r>
    </w:p>
    <w:p w14:paraId="38A3B173" w14:textId="47251D0B" w:rsidR="00434DD5" w:rsidRPr="005B29F8" w:rsidRDefault="00434DD5" w:rsidP="00434DD5">
      <w:pPr>
        <w:jc w:val="both"/>
        <w:rPr>
          <w:rFonts w:eastAsiaTheme="minorEastAsia" w:cstheme="minorHAnsi"/>
          <w:lang w:val="en-US"/>
        </w:rPr>
      </w:pPr>
      <w:r w:rsidRPr="005B29F8">
        <w:rPr>
          <w:rFonts w:eastAsiaTheme="minorEastAsia" w:cstheme="minorHAnsi"/>
          <w:lang w:val="en-US"/>
        </w:rPr>
        <w:t xml:space="preserve">The </w:t>
      </w:r>
      <w:r w:rsidRPr="005B29F8">
        <w:rPr>
          <w:rFonts w:eastAsiaTheme="minorEastAsia" w:cstheme="minorHAnsi"/>
          <w:b/>
          <w:bCs/>
          <w:lang w:val="en-US"/>
        </w:rPr>
        <w:t>time to recovery of X% of the OGF reference AGC stock</w:t>
      </w:r>
      <w:r w:rsidRPr="005B29F8">
        <w:rPr>
          <w:rFonts w:eastAsiaTheme="minorEastAsia" w:cstheme="minorHAnsi"/>
          <w:lang w:val="en-US"/>
        </w:rPr>
        <w:t xml:space="preserve"> </w:t>
      </w:r>
      <w:r w:rsidRPr="00994B85">
        <w:rPr>
          <w:rFonts w:eastAsiaTheme="minorEastAsia" w:cstheme="minorHAnsi"/>
          <w:lang w:val="en-US"/>
        </w:rPr>
        <w:t xml:space="preserve">was derived by dividing both sides of equation (1) by </w:t>
      </w:r>
      <w:r w:rsidRPr="00994B85">
        <w:rPr>
          <w:rFonts w:eastAsiaTheme="minorEastAsia" w:cstheme="minorHAnsi"/>
          <w:i/>
          <w:iCs/>
          <w:lang w:val="en-US"/>
        </w:rPr>
        <w:t>ω</w:t>
      </w:r>
      <w:r w:rsidRPr="00994B85">
        <w:rPr>
          <w:rFonts w:eastAsiaTheme="minorEastAsia" w:cstheme="minorHAnsi"/>
          <w:i/>
          <w:iCs/>
          <w:vertAlign w:val="subscript"/>
          <w:lang w:val="en-US"/>
        </w:rPr>
        <w:t>X</w:t>
      </w:r>
      <w:r w:rsidRPr="00994B85">
        <w:rPr>
          <w:rFonts w:eastAsiaTheme="minorEastAsia" w:cstheme="minorHAnsi"/>
          <w:lang w:val="en-US"/>
        </w:rPr>
        <w:t xml:space="preserve">, resulting in a recovery fraction at time </w:t>
      </w:r>
      <w:r w:rsidRPr="005B29F8">
        <w:rPr>
          <w:rFonts w:eastAsiaTheme="minorEastAsia" w:cstheme="minorHAnsi"/>
          <w:b/>
          <w:bCs/>
          <w:i/>
          <w:iCs/>
          <w:lang w:val="en-US"/>
        </w:rPr>
        <w:t>t</w:t>
      </w:r>
      <w:r w:rsidRPr="005B29F8">
        <w:rPr>
          <w:rFonts w:eastAsiaTheme="minorEastAsia" w:cstheme="minorHAnsi"/>
          <w:lang w:val="en-US"/>
        </w:rPr>
        <w:t>:</w:t>
      </w:r>
      <w:r w:rsidRPr="005B29F8">
        <w:rPr>
          <w:rFonts w:eastAsiaTheme="minorEastAsia" w:cstheme="minorHAnsi"/>
          <w:i/>
          <w:iCs/>
          <w:lang w:val="en-US"/>
        </w:rPr>
        <w:t xml:space="preserve"> </w:t>
      </w:r>
      <w:r w:rsidRPr="005B29F8">
        <w:rPr>
          <w:rFonts w:eastAsiaTheme="minorEastAsia" w:cstheme="minorHAnsi"/>
          <w:b/>
          <w:bCs/>
          <w:i/>
          <w:iCs/>
          <w:lang w:val="en-US"/>
        </w:rPr>
        <w:t>fract = µ</w:t>
      </w:r>
      <w:r w:rsidRPr="005B29F8">
        <w:rPr>
          <w:rFonts w:eastAsiaTheme="minorEastAsia" w:cstheme="minorHAnsi"/>
          <w:b/>
          <w:bCs/>
          <w:i/>
          <w:iCs/>
          <w:vertAlign w:val="subscript"/>
          <w:lang w:val="en-US"/>
        </w:rPr>
        <w:t>X,t</w:t>
      </w:r>
      <w:r w:rsidRPr="005B29F8">
        <w:rPr>
          <w:rFonts w:eastAsiaTheme="minorEastAsia" w:cstheme="minorHAnsi"/>
          <w:b/>
          <w:bCs/>
          <w:i/>
          <w:iCs/>
          <w:lang w:val="en-US"/>
        </w:rPr>
        <w:t xml:space="preserve"> / ω</w:t>
      </w:r>
      <w:r w:rsidRPr="005B29F8">
        <w:rPr>
          <w:rFonts w:eastAsiaTheme="minorEastAsia" w:cstheme="minorHAnsi"/>
          <w:b/>
          <w:bCs/>
          <w:i/>
          <w:iCs/>
          <w:vertAlign w:val="subscript"/>
          <w:lang w:val="en-US"/>
        </w:rPr>
        <w:t>X</w:t>
      </w:r>
      <w:r w:rsidRPr="005B29F8">
        <w:rPr>
          <w:rFonts w:eastAsiaTheme="minorEastAsia" w:cstheme="minorHAnsi"/>
          <w:lang w:val="en-US"/>
        </w:rPr>
        <w:t xml:space="preserve">. This expression was then rearranged to </w:t>
      </w:r>
      <w:r w:rsidRPr="00994B85">
        <w:rPr>
          <w:rFonts w:eastAsiaTheme="minorEastAsia" w:cstheme="minorHAnsi"/>
          <w:lang w:val="en-US"/>
        </w:rPr>
        <w:t xml:space="preserve">solve for </w:t>
      </w:r>
      <w:r w:rsidRPr="00994B85">
        <w:rPr>
          <w:rFonts w:eastAsiaTheme="minorEastAsia" w:cstheme="minorHAnsi"/>
          <w:i/>
          <w:iCs/>
          <w:lang w:val="en-US"/>
        </w:rPr>
        <w:t>t</w:t>
      </w:r>
      <w:r w:rsidRPr="00994B85">
        <w:rPr>
          <w:rFonts w:eastAsiaTheme="minorEastAsia" w:cstheme="minorHAnsi"/>
          <w:lang w:val="en-US"/>
        </w:rPr>
        <w:t xml:space="preserve">, yielding </w:t>
      </w:r>
      <w:r w:rsidRPr="00994B85">
        <w:rPr>
          <w:rFonts w:eastAsiaTheme="minorEastAsia" w:cstheme="minorHAnsi"/>
          <w:i/>
          <w:iCs/>
          <w:lang w:val="en-US"/>
        </w:rPr>
        <w:t>t</w:t>
      </w:r>
      <w:r w:rsidRPr="00994B85">
        <w:rPr>
          <w:rFonts w:eastAsiaTheme="minorEastAsia" w:cstheme="minorHAnsi"/>
          <w:i/>
          <w:iCs/>
          <w:vertAlign w:val="subscript"/>
          <w:lang w:val="en-US"/>
        </w:rPr>
        <w:t>fract</w:t>
      </w:r>
      <w:r w:rsidR="00601B55">
        <w:rPr>
          <w:rFonts w:eastAsiaTheme="minorEastAsia" w:cstheme="minorHAnsi"/>
          <w:lang w:val="en-US"/>
        </w:rPr>
        <w:t xml:space="preserve"> – </w:t>
      </w:r>
      <w:r w:rsidRPr="00994B85">
        <w:rPr>
          <w:rFonts w:eastAsiaTheme="minorEastAsia" w:cstheme="minorHAnsi"/>
          <w:lang w:val="en-US"/>
        </w:rPr>
        <w:t>the</w:t>
      </w:r>
      <w:r w:rsidR="00601B55">
        <w:rPr>
          <w:rFonts w:eastAsiaTheme="minorEastAsia" w:cstheme="minorHAnsi"/>
          <w:lang w:val="en-US"/>
        </w:rPr>
        <w:t xml:space="preserve"> </w:t>
      </w:r>
      <w:r w:rsidRPr="00994B85">
        <w:rPr>
          <w:rFonts w:eastAsiaTheme="minorEastAsia" w:cstheme="minorHAnsi"/>
          <w:lang w:val="en-US"/>
        </w:rPr>
        <w:t>time to</w:t>
      </w:r>
      <w:r w:rsidRPr="005B29F8">
        <w:rPr>
          <w:rFonts w:eastAsiaTheme="minorEastAsia" w:cstheme="minorHAnsi"/>
          <w:lang w:val="en-US"/>
        </w:rPr>
        <w:t xml:space="preserve"> achieve a given recovery fraction:  </w:t>
      </w:r>
    </w:p>
    <w:p w14:paraId="3CFB53CC" w14:textId="29A67A47" w:rsidR="00FE0DA5" w:rsidRPr="00FE0DA5" w:rsidRDefault="00A93115" w:rsidP="00434DD5">
      <w:pPr>
        <w:jc w:val="both"/>
        <w:rPr>
          <w:rFonts w:eastAsiaTheme="minorEastAsia" w:cstheme="minorHAnsi"/>
          <w:lang w:val="en-US"/>
        </w:rPr>
      </w:pPr>
      <m:oMathPara>
        <m:oMathParaPr>
          <m:jc m:val="center"/>
        </m:oMathParaP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fract</m:t>
              </m:r>
            </m:sub>
          </m:sSub>
          <m:r>
            <w:rPr>
              <w:rFonts w:ascii="Cambria Math" w:hAnsi="Cambria Math"/>
              <w:lang w:val="en-US"/>
            </w:rPr>
            <m:t>= -</m:t>
          </m:r>
          <m:f>
            <m:fPr>
              <m:ctrlPr>
                <w:rPr>
                  <w:rFonts w:ascii="Cambria Math" w:hAnsi="Cambria Math"/>
                  <w:i/>
                  <w:lang w:val="en-US"/>
                </w:rPr>
              </m:ctrlPr>
            </m:fPr>
            <m:num>
              <m:r>
                <w:rPr>
                  <w:rFonts w:ascii="Cambria Math" w:hAnsi="Cambria Math"/>
                  <w:lang w:val="en-US"/>
                </w:rPr>
                <m:t>1</m:t>
              </m:r>
            </m:num>
            <m:den>
              <m:sSub>
                <m:sSubPr>
                  <m:ctrlPr>
                    <w:rPr>
                      <w:rFonts w:ascii="Cambria Math" w:hAnsi="Cambria Math"/>
                      <w:i/>
                      <w:lang w:val="en-US"/>
                    </w:rPr>
                  </m:ctrlPr>
                </m:sSubPr>
                <m:e>
                  <m:r>
                    <w:rPr>
                      <w:rFonts w:ascii="Cambria Math" w:hAnsi="Cambria Math"/>
                      <w:lang w:val="en-US"/>
                    </w:rPr>
                    <m:t>λ</m:t>
                  </m:r>
                </m:e>
                <m:sub>
                  <m:r>
                    <w:rPr>
                      <w:rFonts w:ascii="Cambria Math" w:hAnsi="Cambria Math"/>
                      <w:lang w:val="en-US"/>
                    </w:rPr>
                    <m:t>X</m:t>
                  </m:r>
                </m:sub>
              </m:sSub>
            </m:den>
          </m:f>
          <m:r>
            <w:rPr>
              <w:rFonts w:ascii="Cambria Math" w:hAnsi="Cambria Math"/>
              <w:lang w:val="en-US"/>
            </w:rPr>
            <m:t>∙</m:t>
          </m:r>
          <m:r>
            <m:rPr>
              <m:sty m:val="p"/>
            </m:rPr>
            <w:rPr>
              <w:rFonts w:ascii="Cambria Math" w:hAnsi="Cambria Math"/>
              <w:lang w:val="en-US"/>
            </w:rPr>
            <m:t>log</m:t>
          </m:r>
          <m:d>
            <m:dPr>
              <m:ctrlPr>
                <w:rPr>
                  <w:rFonts w:ascii="Cambria Math" w:hAnsi="Cambria Math"/>
                  <w:i/>
                  <w:lang w:val="en-US"/>
                </w:rPr>
              </m:ctrlPr>
            </m:dPr>
            <m:e>
              <m:r>
                <w:rPr>
                  <w:rFonts w:ascii="Cambria Math" w:hAnsi="Cambria Math"/>
                  <w:lang w:val="en-US"/>
                </w:rPr>
                <m:t>1-</m:t>
              </m:r>
              <m:sSup>
                <m:sSupPr>
                  <m:ctrlPr>
                    <w:rPr>
                      <w:rFonts w:ascii="Cambria Math" w:hAnsi="Cambria Math"/>
                      <w:i/>
                      <w:lang w:val="en-US"/>
                    </w:rPr>
                  </m:ctrlPr>
                </m:sSupPr>
                <m:e>
                  <m:d>
                    <m:dPr>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fract</m:t>
                          </m:r>
                          <m:r>
                            <w:rPr>
                              <w:rFonts w:ascii="Cambria Math" w:hAnsi="Cambria Math"/>
                              <w:lang w:val="en-US"/>
                            </w:rPr>
                            <m:t>-</m:t>
                          </m:r>
                          <m:r>
                            <w:rPr>
                              <w:rFonts w:ascii="Cambria Math" w:hAnsi="Cambria Math"/>
                              <w:lang w:val="en-US"/>
                            </w:rPr>
                            <m:t xml:space="preserve"> </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α</m:t>
                                  </m:r>
                                </m:e>
                                <m:sub>
                                  <m:r>
                                    <w:rPr>
                                      <w:rFonts w:ascii="Cambria Math" w:hAnsi="Cambria Math"/>
                                      <w:lang w:val="en-US"/>
                                    </w:rPr>
                                    <m:t>X</m:t>
                                  </m:r>
                                </m:sub>
                              </m:sSub>
                            </m:num>
                            <m:den>
                              <m:sSub>
                                <m:sSubPr>
                                  <m:ctrlPr>
                                    <w:rPr>
                                      <w:rFonts w:ascii="Cambria Math" w:hAnsi="Cambria Math"/>
                                      <w:i/>
                                      <w:lang w:val="en-US"/>
                                    </w:rPr>
                                  </m:ctrlPr>
                                </m:sSubPr>
                                <m:e>
                                  <m:r>
                                    <w:rPr>
                                      <w:rFonts w:ascii="Cambria Math" w:hAnsi="Cambria Math"/>
                                      <w:lang w:val="en-US"/>
                                    </w:rPr>
                                    <m:t>ω</m:t>
                                  </m:r>
                                </m:e>
                                <m:sub>
                                  <m:r>
                                    <w:rPr>
                                      <w:rFonts w:ascii="Cambria Math" w:hAnsi="Cambria Math"/>
                                      <w:lang w:val="en-US"/>
                                    </w:rPr>
                                    <m:t>X</m:t>
                                  </m:r>
                                </m:sub>
                              </m:sSub>
                            </m:den>
                          </m:f>
                        </m:num>
                        <m:den>
                          <m:r>
                            <w:rPr>
                              <w:rFonts w:ascii="Cambria Math" w:hAnsi="Cambria Math"/>
                              <w:lang w:val="en-US"/>
                            </w:rPr>
                            <m:t xml:space="preserve">1- </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α</m:t>
                                  </m:r>
                                </m:e>
                                <m:sub>
                                  <m:r>
                                    <w:rPr>
                                      <w:rFonts w:ascii="Cambria Math" w:hAnsi="Cambria Math"/>
                                      <w:lang w:val="en-US"/>
                                    </w:rPr>
                                    <m:t>X</m:t>
                                  </m:r>
                                </m:sub>
                              </m:sSub>
                            </m:num>
                            <m:den>
                              <m:sSub>
                                <m:sSubPr>
                                  <m:ctrlPr>
                                    <w:rPr>
                                      <w:rFonts w:ascii="Cambria Math" w:hAnsi="Cambria Math"/>
                                      <w:i/>
                                      <w:lang w:val="en-US"/>
                                    </w:rPr>
                                  </m:ctrlPr>
                                </m:sSubPr>
                                <m:e>
                                  <m:r>
                                    <w:rPr>
                                      <w:rFonts w:ascii="Cambria Math" w:hAnsi="Cambria Math"/>
                                      <w:lang w:val="en-US"/>
                                    </w:rPr>
                                    <m:t>ω</m:t>
                                  </m:r>
                                </m:e>
                                <m:sub>
                                  <m:r>
                                    <w:rPr>
                                      <w:rFonts w:ascii="Cambria Math" w:hAnsi="Cambria Math"/>
                                      <w:lang w:val="en-US"/>
                                    </w:rPr>
                                    <m:t>X</m:t>
                                  </m:r>
                                </m:sub>
                              </m:sSub>
                            </m:den>
                          </m:f>
                        </m:den>
                      </m:f>
                    </m:e>
                  </m:d>
                </m:e>
                <m:sup>
                  <m:f>
                    <m:fPr>
                      <m:ctrlPr>
                        <w:rPr>
                          <w:rFonts w:ascii="Cambria Math" w:hAnsi="Cambria Math"/>
                          <w:i/>
                          <w:lang w:val="en-US"/>
                        </w:rPr>
                      </m:ctrlPr>
                    </m:fPr>
                    <m:num>
                      <m:r>
                        <w:rPr>
                          <w:rFonts w:ascii="Cambria Math" w:hAnsi="Cambria Math"/>
                          <w:lang w:val="en-US"/>
                        </w:rPr>
                        <m:t>1</m:t>
                      </m:r>
                    </m:num>
                    <m:den>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X</m:t>
                          </m:r>
                        </m:sub>
                      </m:sSub>
                    </m:den>
                  </m:f>
                </m:sup>
              </m:sSup>
            </m:e>
          </m:d>
        </m:oMath>
      </m:oMathPara>
    </w:p>
    <w:p w14:paraId="4E406F1D" w14:textId="58D6A16A" w:rsidR="00434DD5" w:rsidRPr="00994B85" w:rsidRDefault="00434DD5" w:rsidP="25B29873">
      <w:pPr>
        <w:jc w:val="both"/>
        <w:rPr>
          <w:rFonts w:eastAsiaTheme="minorEastAsia"/>
          <w:lang w:val="en-US"/>
        </w:rPr>
      </w:pPr>
      <w:r w:rsidRPr="25B29873">
        <w:rPr>
          <w:rFonts w:eastAsiaTheme="minorEastAsia"/>
          <w:lang w:val="en-US"/>
        </w:rPr>
        <w:t xml:space="preserve">We simulated </w:t>
      </w:r>
      <w:r w:rsidRPr="25B29873">
        <w:rPr>
          <w:rFonts w:eastAsiaTheme="minorEastAsia"/>
          <w:i/>
          <w:iCs/>
          <w:lang w:val="en-US"/>
        </w:rPr>
        <w:t>t</w:t>
      </w:r>
      <w:r w:rsidRPr="25B29873">
        <w:rPr>
          <w:rFonts w:eastAsiaTheme="minorEastAsia"/>
          <w:i/>
          <w:iCs/>
          <w:vertAlign w:val="subscript"/>
          <w:lang w:val="en-US"/>
        </w:rPr>
        <w:t>fract</w:t>
      </w:r>
      <w:r w:rsidRPr="25B29873">
        <w:rPr>
          <w:rFonts w:eastAsiaTheme="minorEastAsia"/>
          <w:lang w:val="en-US"/>
        </w:rPr>
        <w:t xml:space="preserve"> for recovery fractions ranging from </w:t>
      </w:r>
      <w:r w:rsidRPr="25B29873">
        <w:rPr>
          <w:rFonts w:eastAsiaTheme="minorEastAsia"/>
          <w:i/>
          <w:iCs/>
          <w:lang w:val="en-US"/>
        </w:rPr>
        <w:t>α</w:t>
      </w:r>
      <w:r w:rsidRPr="25B29873">
        <w:rPr>
          <w:rFonts w:eastAsiaTheme="minorEastAsia"/>
          <w:i/>
          <w:iCs/>
          <w:vertAlign w:val="subscript"/>
          <w:lang w:val="en-US"/>
        </w:rPr>
        <w:t>X</w:t>
      </w:r>
      <w:r w:rsidRPr="25B29873">
        <w:rPr>
          <w:rFonts w:eastAsiaTheme="minorEastAsia"/>
          <w:i/>
          <w:iCs/>
          <w:lang w:val="en-US"/>
        </w:rPr>
        <w:t xml:space="preserve"> / ω</w:t>
      </w:r>
      <w:r w:rsidRPr="25B29873">
        <w:rPr>
          <w:rFonts w:eastAsiaTheme="minorEastAsia"/>
          <w:i/>
          <w:iCs/>
          <w:vertAlign w:val="subscript"/>
          <w:lang w:val="en-US"/>
        </w:rPr>
        <w:t>X</w:t>
      </w:r>
      <w:r w:rsidRPr="25B29873">
        <w:rPr>
          <w:rFonts w:eastAsiaTheme="minorEastAsia"/>
          <w:lang w:val="en-US"/>
        </w:rPr>
        <w:t xml:space="preserve"> up to 0.99, as the function is undefined for values below </w:t>
      </w:r>
      <w:bookmarkStart w:id="1" w:name="_Hlk198013045"/>
      <w:r w:rsidRPr="25B29873">
        <w:rPr>
          <w:rFonts w:eastAsiaTheme="minorEastAsia"/>
          <w:i/>
          <w:iCs/>
          <w:lang w:val="en-US"/>
        </w:rPr>
        <w:t>α</w:t>
      </w:r>
      <w:r w:rsidRPr="25B29873">
        <w:rPr>
          <w:rFonts w:eastAsiaTheme="minorEastAsia"/>
          <w:i/>
          <w:iCs/>
          <w:vertAlign w:val="subscript"/>
          <w:lang w:val="en-US"/>
        </w:rPr>
        <w:t>X</w:t>
      </w:r>
      <w:r w:rsidRPr="25B29873">
        <w:rPr>
          <w:rFonts w:eastAsiaTheme="minorEastAsia"/>
          <w:i/>
          <w:iCs/>
          <w:lang w:val="en-US"/>
        </w:rPr>
        <w:t xml:space="preserve"> </w:t>
      </w:r>
      <w:bookmarkEnd w:id="1"/>
      <w:r w:rsidRPr="25B29873">
        <w:rPr>
          <w:rFonts w:eastAsiaTheme="minorEastAsia"/>
          <w:i/>
          <w:iCs/>
          <w:lang w:val="en-US"/>
        </w:rPr>
        <w:t>/ ω</w:t>
      </w:r>
      <w:r w:rsidRPr="25B29873">
        <w:rPr>
          <w:rFonts w:eastAsiaTheme="minorEastAsia"/>
          <w:i/>
          <w:iCs/>
          <w:vertAlign w:val="subscript"/>
          <w:lang w:val="en-US"/>
        </w:rPr>
        <w:t>X</w:t>
      </w:r>
      <w:r w:rsidRPr="25B29873">
        <w:rPr>
          <w:rFonts w:eastAsiaTheme="minorEastAsia"/>
          <w:lang w:val="en-US"/>
        </w:rPr>
        <w:t xml:space="preserve"> or equal to or exceeding 1. This produced a continuous curve describing the time to recovery across the full range of valid fractions. Recovery times are thus based on the modeled asymptotic value of AGC recovery, rather than directly on field-based OGF reference measurements. In the following, only the time to 90% recovery (</w:t>
      </w:r>
      <w:r w:rsidRPr="25B29873">
        <w:rPr>
          <w:rFonts w:eastAsiaTheme="minorEastAsia"/>
          <w:b/>
          <w:bCs/>
          <w:i/>
          <w:iCs/>
          <w:lang w:val="en-US"/>
        </w:rPr>
        <w:t>t</w:t>
      </w:r>
      <w:r w:rsidRPr="25B29873">
        <w:rPr>
          <w:rFonts w:eastAsiaTheme="minorEastAsia"/>
          <w:b/>
          <w:bCs/>
          <w:i/>
          <w:iCs/>
          <w:vertAlign w:val="subscript"/>
          <w:lang w:val="en-US"/>
        </w:rPr>
        <w:t>90</w:t>
      </w:r>
      <w:r w:rsidRPr="25B29873">
        <w:rPr>
          <w:rFonts w:eastAsiaTheme="minorEastAsia"/>
          <w:lang w:val="en-US"/>
        </w:rPr>
        <w:t xml:space="preserve">) is discussed. </w:t>
      </w:r>
    </w:p>
    <w:p w14:paraId="18F37A96" w14:textId="77777777" w:rsidR="00434DD5" w:rsidRPr="005B29F8" w:rsidRDefault="00434DD5" w:rsidP="00434DD5">
      <w:pPr>
        <w:jc w:val="both"/>
        <w:rPr>
          <w:rFonts w:cstheme="minorHAnsi"/>
          <w:lang w:val="en-US"/>
        </w:rPr>
      </w:pPr>
      <w:r w:rsidRPr="005B29F8">
        <w:rPr>
          <w:rFonts w:cstheme="minorHAnsi"/>
          <w:lang w:val="en-US"/>
        </w:rPr>
        <w:t xml:space="preserve">Forest AGC recovery trajectories were simulated for </w:t>
      </w:r>
      <w:r w:rsidRPr="005B29F8">
        <w:rPr>
          <w:rFonts w:cstheme="minorHAnsi"/>
          <w:i/>
          <w:iCs/>
          <w:lang w:val="en-US"/>
        </w:rPr>
        <w:t>t</w:t>
      </w:r>
      <w:r w:rsidRPr="005B29F8">
        <w:rPr>
          <w:rFonts w:cstheme="minorHAnsi"/>
          <w:lang w:val="en-US"/>
        </w:rPr>
        <w:t xml:space="preserve"> going from 1 to 100 years using equation (1), which allows for a truthful visualization of the full sigmoidal curve. This range is typically sufficient to capture the complete shape of the recovery trajectory, including the inflection point and asymptotic phase. </w:t>
      </w:r>
    </w:p>
    <w:p w14:paraId="0ED18604" w14:textId="4170F4D4" w:rsidR="00874703" w:rsidRPr="00874703" w:rsidRDefault="00434DD5" w:rsidP="00874703">
      <w:pPr>
        <w:jc w:val="both"/>
        <w:rPr>
          <w:rFonts w:cstheme="minorHAnsi"/>
          <w:lang w:val="en-US"/>
        </w:rPr>
      </w:pPr>
      <w:r w:rsidRPr="005B29F8">
        <w:rPr>
          <w:rFonts w:cstheme="minorHAnsi"/>
          <w:b/>
          <w:bCs/>
          <w:lang w:val="en-US"/>
        </w:rPr>
        <w:t>Early aboveground carbon accrual during the first 20 years of succession</w:t>
      </w:r>
      <w:r w:rsidRPr="005B29F8">
        <w:rPr>
          <w:rFonts w:cstheme="minorHAnsi"/>
          <w:lang w:val="en-US"/>
        </w:rPr>
        <w:t xml:space="preserve"> (</w:t>
      </w:r>
      <w:r w:rsidR="00FE0DA5">
        <w:rPr>
          <w:rFonts w:cstheme="minorHAnsi"/>
          <w:b/>
          <w:bCs/>
          <w:i/>
          <w:iCs/>
          <w:lang w:val="en-US"/>
        </w:rPr>
        <w:t>CA</w:t>
      </w:r>
      <w:r w:rsidRPr="005B29F8">
        <w:rPr>
          <w:rFonts w:cstheme="minorHAnsi"/>
          <w:b/>
          <w:bCs/>
          <w:i/>
          <w:iCs/>
          <w:vertAlign w:val="subscript"/>
          <w:lang w:val="en-US"/>
        </w:rPr>
        <w:t>20</w:t>
      </w:r>
      <w:r w:rsidRPr="005B29F8">
        <w:rPr>
          <w:rFonts w:cstheme="minorHAnsi"/>
          <w:lang w:val="en-US"/>
        </w:rPr>
        <w:t xml:space="preserve">) was calculated as the difference between modeled </w:t>
      </w:r>
      <w:r w:rsidRPr="005B29F8">
        <w:rPr>
          <w:rFonts w:cstheme="minorHAnsi"/>
          <w:b/>
          <w:bCs/>
          <w:lang w:val="en-US"/>
        </w:rPr>
        <w:t>total AGC at 20 years</w:t>
      </w:r>
      <w:r w:rsidRPr="005B29F8">
        <w:rPr>
          <w:rFonts w:cstheme="minorHAnsi"/>
          <w:lang w:val="en-US"/>
        </w:rPr>
        <w:t xml:space="preserve"> (</w:t>
      </w:r>
      <w:r w:rsidRPr="005B29F8">
        <w:rPr>
          <w:rFonts w:cstheme="minorHAnsi"/>
          <w:b/>
          <w:bCs/>
          <w:i/>
          <w:iCs/>
          <w:lang w:val="en-US"/>
        </w:rPr>
        <w:t>AGC</w:t>
      </w:r>
      <w:r w:rsidRPr="005B29F8">
        <w:rPr>
          <w:rFonts w:cstheme="minorHAnsi"/>
          <w:b/>
          <w:bCs/>
          <w:i/>
          <w:iCs/>
          <w:vertAlign w:val="subscript"/>
          <w:lang w:val="en-US"/>
        </w:rPr>
        <w:t>20</w:t>
      </w:r>
      <w:r w:rsidRPr="005B29F8">
        <w:rPr>
          <w:rFonts w:cstheme="minorHAnsi"/>
          <w:lang w:val="en-US"/>
        </w:rPr>
        <w:t xml:space="preserve">) and the </w:t>
      </w:r>
      <w:r>
        <w:rPr>
          <w:rFonts w:cstheme="minorHAnsi"/>
          <w:lang w:val="en-US"/>
        </w:rPr>
        <w:t xml:space="preserve">site-specific </w:t>
      </w:r>
      <w:r w:rsidRPr="00994B85">
        <w:rPr>
          <w:rFonts w:cstheme="minorHAnsi"/>
          <w:lang w:val="en-US"/>
        </w:rPr>
        <w:t>starting value (</w:t>
      </w:r>
      <w:r w:rsidRPr="00994B85">
        <w:rPr>
          <w:rFonts w:cstheme="minorHAnsi"/>
          <w:i/>
          <w:iCs/>
          <w:lang w:val="en-US"/>
        </w:rPr>
        <w:t>α</w:t>
      </w:r>
      <w:r w:rsidRPr="00994B85">
        <w:rPr>
          <w:rFonts w:cstheme="minorHAnsi"/>
          <w:i/>
          <w:iCs/>
          <w:vertAlign w:val="subscript"/>
          <w:lang w:val="en-US"/>
        </w:rPr>
        <w:t>X</w:t>
      </w:r>
      <w:r w:rsidRPr="00994B85">
        <w:rPr>
          <w:rFonts w:cstheme="minorHAnsi"/>
          <w:lang w:val="en-US"/>
        </w:rPr>
        <w:t xml:space="preserve">). </w:t>
      </w:r>
      <w:r w:rsidR="00874703" w:rsidRPr="00994B85">
        <w:rPr>
          <w:rFonts w:cstheme="minorHAnsi"/>
          <w:lang w:val="en-US"/>
        </w:rPr>
        <w:t>Model fitting was initially performed on the full dataset, including remnant trees. However, exploratory analyses for sites in Liberia, the Republic of Guinea, and Sierra Leone yielded unrealistically high estimates of CA</w:t>
      </w:r>
      <w:r w:rsidR="00874703" w:rsidRPr="00994B85">
        <w:rPr>
          <w:rFonts w:cstheme="minorHAnsi"/>
          <w:vertAlign w:val="subscript"/>
          <w:lang w:val="en-US"/>
        </w:rPr>
        <w:t xml:space="preserve">20 </w:t>
      </w:r>
      <w:r w:rsidR="00874703" w:rsidRPr="00994B85">
        <w:rPr>
          <w:rFonts w:cstheme="minorHAnsi"/>
          <w:lang w:val="en-US"/>
        </w:rPr>
        <w:t>(</w:t>
      </w:r>
      <w:r w:rsidR="00D43C44" w:rsidRPr="00994B85">
        <w:rPr>
          <w:rFonts w:cstheme="minorHAnsi"/>
          <w:lang w:val="en-US"/>
        </w:rPr>
        <w:t xml:space="preserve">exceeding </w:t>
      </w:r>
      <w:r w:rsidR="00E946A8" w:rsidRPr="00994B85">
        <w:rPr>
          <w:rFonts w:cstheme="minorHAnsi"/>
          <w:lang w:val="en-US"/>
        </w:rPr>
        <w:t>100 Mg C ha</w:t>
      </w:r>
      <w:r w:rsidR="00E946A8" w:rsidRPr="00994B85">
        <w:rPr>
          <w:rFonts w:cstheme="minorHAnsi"/>
          <w:vertAlign w:val="superscript"/>
          <w:lang w:val="en-US"/>
        </w:rPr>
        <w:t>-1</w:t>
      </w:r>
      <w:r w:rsidR="00E946A8" w:rsidRPr="00994B85">
        <w:rPr>
          <w:rFonts w:cstheme="minorHAnsi"/>
          <w:lang w:val="en-US"/>
        </w:rPr>
        <w:t xml:space="preserve"> by up to 50-60%</w:t>
      </w:r>
      <w:r w:rsidR="00874703" w:rsidRPr="00994B85">
        <w:rPr>
          <w:rFonts w:cstheme="minorHAnsi"/>
          <w:lang w:val="en-US"/>
        </w:rPr>
        <w:t>), which were driven by near-zero estimates of the initial AGC value</w:t>
      </w:r>
      <w:r w:rsidR="001453A4" w:rsidRPr="00994B85">
        <w:rPr>
          <w:rFonts w:cstheme="minorHAnsi"/>
          <w:lang w:val="en-US"/>
        </w:rPr>
        <w:t xml:space="preserve"> </w:t>
      </w:r>
      <w:r w:rsidR="001453A4" w:rsidRPr="00994B85">
        <w:rPr>
          <w:rFonts w:cstheme="minorHAnsi"/>
          <w:i/>
          <w:iCs/>
          <w:lang w:val="en-US"/>
        </w:rPr>
        <w:t>α</w:t>
      </w:r>
      <w:r w:rsidR="001453A4" w:rsidRPr="00994B85">
        <w:rPr>
          <w:rFonts w:cstheme="minorHAnsi"/>
          <w:i/>
          <w:iCs/>
          <w:vertAlign w:val="subscript"/>
          <w:lang w:val="en-US"/>
        </w:rPr>
        <w:t>X</w:t>
      </w:r>
      <w:r w:rsidR="00874703" w:rsidRPr="00994B85">
        <w:rPr>
          <w:rFonts w:cstheme="minorHAnsi"/>
          <w:lang w:val="en-US"/>
        </w:rPr>
        <w:t>. This artefact arose because large remnant trees were largely absent from the youngest plots (approximately 5 years since disturbance) but became increasingly prevalent in older plots. As a result, their delayed appearance inflated apparent early-stage AGC accumulation</w:t>
      </w:r>
      <w:r w:rsidR="00874703" w:rsidRPr="00874703">
        <w:rPr>
          <w:rFonts w:cstheme="minorHAnsi"/>
          <w:lang w:val="en-US"/>
        </w:rPr>
        <w:t xml:space="preserve"> rates.</w:t>
      </w:r>
      <w:r w:rsidR="00B22351">
        <w:rPr>
          <w:rFonts w:cstheme="minorHAnsi"/>
          <w:lang w:val="en-US"/>
        </w:rPr>
        <w:t xml:space="preserve"> </w:t>
      </w:r>
      <w:r w:rsidR="00874703" w:rsidRPr="00874703">
        <w:rPr>
          <w:rFonts w:cstheme="minorHAnsi"/>
          <w:lang w:val="en-US"/>
        </w:rPr>
        <w:t>Because remnant tree abundance would not be expected to systematically increase with stand age under comparable land-use histories—and given the lack of detailed, plot-level land-use information—we interpret this pattern as a bias in the estimated starting conditions of succession rather than a true ecological signal.</w:t>
      </w:r>
    </w:p>
    <w:p w14:paraId="4FB2982B" w14:textId="2AE54743" w:rsidR="00434DD5" w:rsidRPr="005B29F8" w:rsidRDefault="00874703" w:rsidP="00874703">
      <w:pPr>
        <w:jc w:val="both"/>
        <w:rPr>
          <w:rFonts w:cstheme="minorHAnsi"/>
          <w:lang w:val="en-US"/>
        </w:rPr>
      </w:pPr>
      <w:r w:rsidRPr="00874703">
        <w:rPr>
          <w:rFonts w:cstheme="minorHAnsi"/>
          <w:lang w:val="en-US"/>
        </w:rPr>
        <w:t>To address this issue, remnant trees were identified and excluded based on a maximum diameter growth threshold of 5 cm yr</w:t>
      </w:r>
      <w:r w:rsidR="00B22351" w:rsidRPr="00B22351">
        <w:rPr>
          <w:rFonts w:cstheme="minorHAnsi"/>
          <w:vertAlign w:val="superscript"/>
          <w:lang w:val="en-US"/>
        </w:rPr>
        <w:t>-1</w:t>
      </w:r>
      <w:r w:rsidRPr="00874703">
        <w:rPr>
          <w:rFonts w:cstheme="minorHAnsi"/>
          <w:lang w:val="en-US"/>
        </w:rPr>
        <w:t xml:space="preserve">. At the same time, fast-growing pioneer species (notably </w:t>
      </w:r>
      <w:r w:rsidRPr="00B22351">
        <w:rPr>
          <w:rFonts w:cstheme="minorHAnsi"/>
          <w:i/>
          <w:iCs/>
          <w:lang w:val="en-US"/>
        </w:rPr>
        <w:t>Musanga</w:t>
      </w:r>
      <w:r w:rsidRPr="00874703">
        <w:rPr>
          <w:rFonts w:cstheme="minorHAnsi"/>
          <w:lang w:val="en-US"/>
        </w:rPr>
        <w:t xml:space="preserve"> and </w:t>
      </w:r>
      <w:r w:rsidRPr="00B22351">
        <w:rPr>
          <w:rFonts w:cstheme="minorHAnsi"/>
          <w:i/>
          <w:iCs/>
          <w:lang w:val="en-US"/>
        </w:rPr>
        <w:t>Macaranga</w:t>
      </w:r>
      <w:r w:rsidRPr="00874703">
        <w:rPr>
          <w:rFonts w:cstheme="minorHAnsi"/>
          <w:lang w:val="en-US"/>
        </w:rPr>
        <w:t xml:space="preserve"> spp.) were retained, as these taxa can legitimately achieve such growth rates during early regeneration. This filtering procedure was applied consistently across all sites and plots to ensure comparability and avoid introducing additional biases in model parameter estimation.</w:t>
      </w:r>
      <w:r>
        <w:rPr>
          <w:rFonts w:cstheme="minorHAnsi"/>
          <w:lang w:val="en-US"/>
        </w:rPr>
        <w:t xml:space="preserve"> </w:t>
      </w:r>
      <w:r w:rsidRPr="00874703">
        <w:rPr>
          <w:rFonts w:cstheme="minorHAnsi"/>
          <w:lang w:val="en-US"/>
        </w:rPr>
        <w:t>For the affected sites, CA</w:t>
      </w:r>
      <w:r w:rsidRPr="00874703">
        <w:rPr>
          <w:rFonts w:cstheme="minorHAnsi"/>
          <w:vertAlign w:val="subscript"/>
          <w:lang w:val="en-US"/>
        </w:rPr>
        <w:t>20</w:t>
      </w:r>
      <w:r w:rsidRPr="00874703">
        <w:rPr>
          <w:rFonts w:cstheme="minorHAnsi"/>
          <w:lang w:val="en-US"/>
        </w:rPr>
        <w:t xml:space="preserve"> estimates and corresponding environmental effect-size analyses were therefore derived from the remnant-removed dataset. In contrast, all other trajectory metrics and visualizations were based on the full dataset. Consequently, CA</w:t>
      </w:r>
      <w:r w:rsidRPr="00874703">
        <w:rPr>
          <w:rFonts w:cstheme="minorHAnsi"/>
          <w:vertAlign w:val="subscript"/>
          <w:lang w:val="en-US"/>
        </w:rPr>
        <w:t>20</w:t>
      </w:r>
      <w:r w:rsidRPr="00874703">
        <w:rPr>
          <w:rFonts w:cstheme="minorHAnsi"/>
          <w:lang w:val="en-US"/>
        </w:rPr>
        <w:t xml:space="preserve"> incorporates remnant tree contributions at all sites except </w:t>
      </w:r>
      <w:r w:rsidRPr="00874703">
        <w:rPr>
          <w:rFonts w:cstheme="minorHAnsi"/>
          <w:lang w:val="en-US"/>
        </w:rPr>
        <w:lastRenderedPageBreak/>
        <w:t>those explicitly identified above, providing a more robust and ecologically meaningful estimate of early successional AGC accumulation where necessary, while preserving the full signal elsewhere.</w:t>
      </w:r>
    </w:p>
    <w:p w14:paraId="118494FF" w14:textId="39DD9A5A" w:rsidR="00434DD5" w:rsidRPr="008D0231" w:rsidRDefault="00434DD5" w:rsidP="008D0231">
      <w:pPr>
        <w:spacing w:line="276" w:lineRule="auto"/>
        <w:jc w:val="both"/>
        <w:rPr>
          <w:rFonts w:eastAsiaTheme="minorEastAsia" w:cstheme="minorHAnsi"/>
          <w:i/>
          <w:iCs/>
          <w:lang w:val="en-US"/>
        </w:rPr>
      </w:pPr>
      <w:r w:rsidRPr="008D0231">
        <w:rPr>
          <w:rFonts w:eastAsiaTheme="minorEastAsia" w:cstheme="minorHAnsi"/>
          <w:i/>
          <w:iCs/>
          <w:lang w:val="en-US"/>
        </w:rPr>
        <w:t>Posterior distribution analysis</w:t>
      </w:r>
    </w:p>
    <w:p w14:paraId="60F803BE" w14:textId="2E329182" w:rsidR="000960C7" w:rsidRDefault="00434DD5" w:rsidP="004B1FD5">
      <w:pPr>
        <w:spacing w:line="276" w:lineRule="auto"/>
        <w:jc w:val="both"/>
        <w:rPr>
          <w:rFonts w:eastAsiaTheme="minorEastAsia" w:cstheme="minorHAnsi"/>
          <w:lang w:val="en-US"/>
        </w:rPr>
      </w:pPr>
      <w:r w:rsidRPr="005B29F8">
        <w:rPr>
          <w:rFonts w:eastAsiaTheme="minorEastAsia" w:cstheme="minorHAnsi"/>
          <w:lang w:val="en-US"/>
        </w:rPr>
        <w:t>Model convergence was evaluated by making sure the R-hat statistics for the modeled parameters were always smaller than 1.01, as noted in Stan’s user manual</w:t>
      </w:r>
      <w:r w:rsidRPr="005B29F8">
        <w:rPr>
          <w:rFonts w:eastAsiaTheme="minorEastAsia" w:cstheme="minorHAnsi"/>
          <w:lang w:val="en-US"/>
        </w:rPr>
        <w:fldChar w:fldCharType="begin"/>
      </w:r>
      <w:r w:rsidR="00DD35B8">
        <w:rPr>
          <w:rFonts w:eastAsiaTheme="minorEastAsia" w:cstheme="minorHAnsi"/>
          <w:lang w:val="en-US"/>
        </w:rPr>
        <w:instrText xml:space="preserve"> ADDIN ZOTERO_ITEM CSL_CITATION {"citationID":"2BppS35c","properties":{"formattedCitation":"\\super 2\\nosupersub{}","plainCitation":"2","noteIndex":0},"citationItems":[{"id":1784,"uris":["http://zotero.org/users/13671732/items/XZRTTGCS"],"itemData":{"id":1784,"type":"book","edition":"2.36","title":"Stan User’s Guide","URL":"https://mc-stan.org","author":[{"literal":"Stan Development Team"}],"issued":{"date-parts":[["2024"]]}}}],"schema":"https://github.com/citation-style-language/schema/raw/master/csl-citation.json"} </w:instrText>
      </w:r>
      <w:r w:rsidRPr="005B29F8">
        <w:rPr>
          <w:rFonts w:eastAsiaTheme="minorEastAsia" w:cstheme="minorHAnsi"/>
          <w:lang w:val="en-US"/>
        </w:rPr>
        <w:fldChar w:fldCharType="separate"/>
      </w:r>
      <w:r w:rsidR="00DD35B8" w:rsidRPr="00DD35B8">
        <w:rPr>
          <w:rFonts w:ascii="Calibri" w:hAnsi="Calibri" w:cs="Calibri"/>
          <w:kern w:val="0"/>
          <w:vertAlign w:val="superscript"/>
        </w:rPr>
        <w:t>2</w:t>
      </w:r>
      <w:r w:rsidRPr="005B29F8">
        <w:rPr>
          <w:rFonts w:eastAsiaTheme="minorEastAsia" w:cstheme="minorHAnsi"/>
          <w:lang w:val="en-US"/>
        </w:rPr>
        <w:fldChar w:fldCharType="end"/>
      </w:r>
      <w:r w:rsidRPr="005B29F8">
        <w:rPr>
          <w:rFonts w:eastAsiaTheme="minorEastAsia" w:cstheme="minorHAnsi"/>
          <w:lang w:val="en-US"/>
        </w:rPr>
        <w:t xml:space="preserve">. Additionally, Stan outputs warning messages in case of divergent transitions or low effective sample sizes, and the Markov chains were visually checked using the </w:t>
      </w:r>
      <w:r w:rsidRPr="00053567">
        <w:rPr>
          <w:rFonts w:eastAsiaTheme="minorEastAsia" w:cstheme="minorHAnsi"/>
          <w:i/>
          <w:iCs/>
          <w:lang w:val="en-US"/>
        </w:rPr>
        <w:t>ShinyStan</w:t>
      </w:r>
      <w:r w:rsidRPr="005B29F8">
        <w:rPr>
          <w:rFonts w:eastAsiaTheme="minorEastAsia" w:cstheme="minorHAnsi"/>
          <w:lang w:val="en-US"/>
        </w:rPr>
        <w:t xml:space="preserve"> package </w:t>
      </w:r>
      <w:r w:rsidR="00053567">
        <w:rPr>
          <w:rFonts w:eastAsiaTheme="minorEastAsia" w:cstheme="minorHAnsi"/>
          <w:lang w:val="en-US"/>
        </w:rPr>
        <w:t xml:space="preserve">(version </w:t>
      </w:r>
      <w:r w:rsidR="00955648">
        <w:rPr>
          <w:rFonts w:eastAsiaTheme="minorEastAsia" w:cstheme="minorHAnsi"/>
          <w:lang w:val="en-US"/>
        </w:rPr>
        <w:t>2.6.0</w:t>
      </w:r>
      <w:r w:rsidR="00053567">
        <w:rPr>
          <w:rFonts w:eastAsiaTheme="minorEastAsia" w:cstheme="minorHAnsi"/>
          <w:lang w:val="en-US"/>
        </w:rPr>
        <w:t>)</w:t>
      </w:r>
      <w:r w:rsidRPr="005B29F8">
        <w:rPr>
          <w:rFonts w:eastAsiaTheme="minorEastAsia" w:cstheme="minorHAnsi"/>
          <w:lang w:val="en-US"/>
        </w:rPr>
        <w:fldChar w:fldCharType="begin"/>
      </w:r>
      <w:r w:rsidR="00DD35B8">
        <w:rPr>
          <w:rFonts w:eastAsiaTheme="minorEastAsia" w:cstheme="minorHAnsi"/>
          <w:lang w:val="en-US"/>
        </w:rPr>
        <w:instrText xml:space="preserve"> ADDIN ZOTERO_ITEM CSL_CITATION {"citationID":"97RIjkCH","properties":{"formattedCitation":"\\super 7\\nosupersub{}","plainCitation":"7","noteIndex":0},"citationItems":[{"id":1786,"uris":["http://zotero.org/users/13671732/items/EDXB5796"],"itemData":{"id":1786,"type":"software","abstract":"A graphical user interface for interactive Markov chain Monte Carlo (MCMC) diagnostics and plots and tables helpful for analyzing a posterior sample. The interface is powered by the 'Shiny' web application framework from 'RStudio' and works with the output of MCMC programs written in any programming language (and has extended functionality for 'Stan' models fit using the 'rstan' and 'rstanarm' packages).","license":"GPL (≥ 3)","source":"R-Packages","title":"shinystan: Interactive Visual and Numerical Diagnostics and Posterior Analysis for Bayesian Models","title-short":"shinystan","URL":"https://cran.r-project.org/web/packages/shinystan/index.html","version":"2.6.0","author":[{"family":"Gabry","given":"Jonah"},{"family":"Veen","given":"Duco"},{"family":"Team","given":"Stan Development"},{"family":"Andreae","given":"Michael"},{"family":"Betancourt","given":"Michael"},{"family":"Carpenter","given":"Bob"},{"family":"Gao","given":"Yuanjun"},{"family":"Gelman","given":"Andrew"},{"family":"Goodrich","given":"Ben"},{"family":"Lee","given":"Daniel"},{"family":"Song","given":"Dongying"},{"family":"Trangucci","given":"Rob"}],"accessed":{"date-parts":[["2025",4,23]]},"issued":{"date-parts":[["2022",3,3]]}}}],"schema":"https://github.com/citation-style-language/schema/raw/master/csl-citation.json"} </w:instrText>
      </w:r>
      <w:r w:rsidRPr="005B29F8">
        <w:rPr>
          <w:rFonts w:eastAsiaTheme="minorEastAsia" w:cstheme="minorHAnsi"/>
          <w:lang w:val="en-US"/>
        </w:rPr>
        <w:fldChar w:fldCharType="separate"/>
      </w:r>
      <w:r w:rsidR="00DD35B8" w:rsidRPr="00DD35B8">
        <w:rPr>
          <w:rFonts w:ascii="Calibri" w:hAnsi="Calibri" w:cs="Calibri"/>
          <w:kern w:val="0"/>
          <w:vertAlign w:val="superscript"/>
        </w:rPr>
        <w:t>7</w:t>
      </w:r>
      <w:r w:rsidRPr="005B29F8">
        <w:rPr>
          <w:rFonts w:eastAsiaTheme="minorEastAsia" w:cstheme="minorHAnsi"/>
          <w:lang w:val="en-US"/>
        </w:rPr>
        <w:fldChar w:fldCharType="end"/>
      </w:r>
      <w:r w:rsidRPr="005B29F8">
        <w:rPr>
          <w:rFonts w:eastAsiaTheme="minorEastAsia" w:cstheme="minorHAnsi"/>
          <w:lang w:val="en-US"/>
        </w:rPr>
        <w:t>. Posterior predictive distribution checks were used to visually compare newly simulated observations with the actual data points.</w:t>
      </w:r>
    </w:p>
    <w:p w14:paraId="76517463" w14:textId="652BEB8A" w:rsidR="00065CC1" w:rsidRDefault="00065CC1" w:rsidP="004B1FD5">
      <w:pPr>
        <w:spacing w:line="276" w:lineRule="auto"/>
        <w:jc w:val="both"/>
        <w:rPr>
          <w:rFonts w:eastAsiaTheme="minorEastAsia" w:cstheme="minorHAnsi"/>
          <w:lang w:val="en-US"/>
        </w:rPr>
      </w:pPr>
      <w:r>
        <w:rPr>
          <w:rFonts w:eastAsiaTheme="minorEastAsia" w:cstheme="minorHAnsi"/>
          <w:lang w:val="en-US"/>
        </w:rPr>
        <w:t>The full Stan code used to model the AGC recovery trajectories can be found below.</w:t>
      </w:r>
    </w:p>
    <w:p w14:paraId="18649165" w14:textId="77777777" w:rsidR="000960C7" w:rsidRDefault="000960C7">
      <w:pPr>
        <w:rPr>
          <w:rFonts w:eastAsiaTheme="minorEastAsia" w:cstheme="minorHAnsi"/>
          <w:sz w:val="20"/>
          <w:szCs w:val="20"/>
          <w:lang w:val="en-US"/>
        </w:rPr>
      </w:pPr>
      <w:r>
        <w:rPr>
          <w:rFonts w:eastAsiaTheme="minorEastAsia" w:cstheme="minorHAnsi"/>
          <w:sz w:val="20"/>
          <w:szCs w:val="20"/>
          <w:lang w:val="en-US"/>
        </w:rPr>
        <w:br w:type="page"/>
      </w:r>
    </w:p>
    <w:p w14:paraId="24DA9B29" w14:textId="148DC4BD" w:rsidR="007E4C21" w:rsidRPr="00DE6E2C" w:rsidRDefault="007E4C21" w:rsidP="00601B55">
      <w:pPr>
        <w:shd w:val="clear" w:color="auto" w:fill="F2F2F2" w:themeFill="background1" w:themeFillShade="F2"/>
        <w:tabs>
          <w:tab w:val="left" w:pos="8222"/>
        </w:tabs>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lastRenderedPageBreak/>
        <w:t>data {</w:t>
      </w:r>
      <w:r w:rsidR="00601B55">
        <w:rPr>
          <w:rFonts w:eastAsiaTheme="minorEastAsia" w:cstheme="minorHAnsi"/>
          <w:sz w:val="20"/>
          <w:szCs w:val="20"/>
          <w:lang w:val="en-US"/>
        </w:rPr>
        <w:tab/>
      </w:r>
      <w:r w:rsidR="00601B55" w:rsidRPr="00601B55">
        <w:rPr>
          <w:rFonts w:eastAsiaTheme="minorEastAsia" w:cstheme="minorHAnsi"/>
          <w:b/>
          <w:bCs/>
          <w:sz w:val="20"/>
          <w:szCs w:val="20"/>
          <w:lang w:val="en-US"/>
        </w:rPr>
        <w:t>Stan code</w:t>
      </w:r>
    </w:p>
    <w:p w14:paraId="717F3D06"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int&lt;lower=0, upper=1&gt; prior_only;</w:t>
      </w:r>
    </w:p>
    <w:p w14:paraId="3954F3CF"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int&lt;lower=0&gt; n_obs_rec;</w:t>
      </w:r>
    </w:p>
    <w:p w14:paraId="0B1A23F2"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int&lt;lower=0&gt; n_obs_old;</w:t>
      </w:r>
    </w:p>
    <w:p w14:paraId="04E1A2EE"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int&lt;lower=0&gt; n_reg;</w:t>
      </w:r>
    </w:p>
    <w:p w14:paraId="5F3437C9"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vector[n_obs_rec] A_rec;</w:t>
      </w:r>
    </w:p>
    <w:p w14:paraId="714D041E"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vector[n_obs_old] A_old;</w:t>
      </w:r>
    </w:p>
    <w:p w14:paraId="32A3D488"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vector[n_obs_rec] t_obs;</w:t>
      </w:r>
    </w:p>
    <w:p w14:paraId="521D32F5"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int&lt;lower=1, upper=n_reg&gt; reg_rec[n_obs_rec];</w:t>
      </w:r>
    </w:p>
    <w:p w14:paraId="4538BAC5"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int&lt;lower=1, upper=n_reg&gt; reg_old[n_obs_old];</w:t>
      </w:r>
    </w:p>
    <w:p w14:paraId="2C61E245"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vector[n_reg] prior_logmu_ogf;</w:t>
      </w:r>
    </w:p>
    <w:p w14:paraId="42324E94"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real&lt;lower=0&gt; logdisp_OGF;</w:t>
      </w:r>
    </w:p>
    <w:p w14:paraId="1EFD519E"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real&lt;lower=0&gt; disp_age_help;</w:t>
      </w:r>
    </w:p>
    <w:p w14:paraId="7730E9AB"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w:t>
      </w:r>
    </w:p>
    <w:p w14:paraId="3D500743"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parameters {</w:t>
      </w:r>
    </w:p>
    <w:p w14:paraId="42335C13"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vector&lt;lower=1e-6&gt;[n_reg] sigma_rec_reg;</w:t>
      </w:r>
    </w:p>
    <w:p w14:paraId="47600A5C"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vector&lt;lower=1e-6&gt;[n_reg] sigma_old_reg;</w:t>
      </w:r>
    </w:p>
    <w:p w14:paraId="4A7A53DF"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vector&lt;lower=1e-6&gt;[n_reg] omega_reg;</w:t>
      </w:r>
    </w:p>
    <w:p w14:paraId="51F073CB"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vector[n_reg] alpha_reg_tilde;</w:t>
      </w:r>
    </w:p>
    <w:p w14:paraId="10970E29"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vector[n_reg] lambda_reg_tilde;</w:t>
      </w:r>
    </w:p>
    <w:p w14:paraId="0E070574"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vector[n_reg] delta_reg_tilde;</w:t>
      </w:r>
    </w:p>
    <w:p w14:paraId="3E68DC5A"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real&lt;lower=1e-6, upper=500&gt; mu_alpha;</w:t>
      </w:r>
    </w:p>
    <w:p w14:paraId="57DA3EC9"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real&lt;lower=1e-6, upper=1&gt;   mu_lambda;</w:t>
      </w:r>
    </w:p>
    <w:p w14:paraId="6AA799E8"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real&lt;lower=1e-6, upper=10&gt;  mu_delta;</w:t>
      </w:r>
    </w:p>
    <w:p w14:paraId="3AC840E8"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real&lt;lower=1e-6&gt; sigma_alpha;</w:t>
      </w:r>
    </w:p>
    <w:p w14:paraId="2F6EE624"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real&lt;lower=1e-6&gt; sigma_lambda;</w:t>
      </w:r>
    </w:p>
    <w:p w14:paraId="4C7FAF18"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real&lt;lower=1e-6&gt; sigma_delta;</w:t>
      </w:r>
    </w:p>
    <w:p w14:paraId="596D1883"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vector&lt;lower=1e-6&gt;[n_obs_rec] t_true;</w:t>
      </w:r>
    </w:p>
    <w:p w14:paraId="49524FE7"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w:t>
      </w:r>
    </w:p>
    <w:p w14:paraId="4CEE52B1"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transformed parameters {</w:t>
      </w:r>
    </w:p>
    <w:p w14:paraId="6DE739DF"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vector[n_reg] alpha_reg = mu_alpha * exp(alpha_reg_tilde * sigma_alpha);</w:t>
      </w:r>
    </w:p>
    <w:p w14:paraId="5AA41D97"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vector[n_reg] lambda_reg = mu_lambda * exp(lambda_reg_tilde * sigma_lambda);</w:t>
      </w:r>
    </w:p>
    <w:p w14:paraId="6510142D"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vector[n_reg] delta_reg  = mu_delta  * exp(delta_reg_tilde  * sigma_delta);</w:t>
      </w:r>
    </w:p>
    <w:p w14:paraId="0272DD95" w14:textId="42EBE605"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w:t>
      </w:r>
    </w:p>
    <w:p w14:paraId="0935A5A6" w14:textId="77777777" w:rsidR="00DE6E2C" w:rsidRDefault="00DE6E2C" w:rsidP="000960C7">
      <w:pPr>
        <w:shd w:val="clear" w:color="auto" w:fill="F2F2F2" w:themeFill="background1" w:themeFillShade="F2"/>
        <w:spacing w:line="240" w:lineRule="auto"/>
        <w:jc w:val="both"/>
        <w:rPr>
          <w:rFonts w:eastAsiaTheme="minorEastAsia" w:cstheme="minorHAnsi"/>
          <w:sz w:val="20"/>
          <w:szCs w:val="20"/>
          <w:lang w:val="en-US"/>
        </w:rPr>
      </w:pPr>
    </w:p>
    <w:p w14:paraId="0BAB4AB0" w14:textId="57E8B7CC" w:rsidR="007E4C21" w:rsidRPr="00DE6E2C" w:rsidRDefault="007E4C21" w:rsidP="00601B55">
      <w:pPr>
        <w:shd w:val="clear" w:color="auto" w:fill="F2F2F2" w:themeFill="background1" w:themeFillShade="F2"/>
        <w:tabs>
          <w:tab w:val="left" w:pos="8222"/>
        </w:tabs>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lastRenderedPageBreak/>
        <w:t>model {</w:t>
      </w:r>
      <w:r w:rsidR="00601B55">
        <w:rPr>
          <w:rFonts w:eastAsiaTheme="minorEastAsia" w:cstheme="minorHAnsi"/>
          <w:sz w:val="20"/>
          <w:szCs w:val="20"/>
          <w:lang w:val="en-US"/>
        </w:rPr>
        <w:tab/>
      </w:r>
      <w:r w:rsidR="00601B55" w:rsidRPr="00601B55">
        <w:rPr>
          <w:rFonts w:eastAsiaTheme="minorEastAsia" w:cstheme="minorHAnsi"/>
          <w:b/>
          <w:bCs/>
          <w:sz w:val="20"/>
          <w:szCs w:val="20"/>
          <w:lang w:val="en-US"/>
        </w:rPr>
        <w:t>Stan code</w:t>
      </w:r>
    </w:p>
    <w:p w14:paraId="455D0633"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 Age uncertainty: t_true ~ Normal(t_obs, disp_age_help * t_obs)</w:t>
      </w:r>
    </w:p>
    <w:p w14:paraId="1CC3AF35"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for (i in 1:n_obs_rec)</w:t>
      </w:r>
    </w:p>
    <w:p w14:paraId="22841F57" w14:textId="18B8580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target += normal_lpdf(t_true[i] | t_obs[i], disp_age_help * t_obs[i]);</w:t>
      </w:r>
    </w:p>
    <w:p w14:paraId="41B2FF68"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 Informative lognormal prior on omega_reg (region-specific asymptote)</w:t>
      </w:r>
    </w:p>
    <w:p w14:paraId="0AFD1878"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for (r in 1:n_reg)</w:t>
      </w:r>
    </w:p>
    <w:p w14:paraId="665CD22F" w14:textId="519856FA"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target += normal_lpdf(log(omega_reg[r]) | prior_logmu_ogf[r], logdisp_OGF);</w:t>
      </w:r>
    </w:p>
    <w:p w14:paraId="11F84086"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 Old-growth likelihood</w:t>
      </w:r>
    </w:p>
    <w:p w14:paraId="7BD01A49"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for (i in 1:n_obs_old) {</w:t>
      </w:r>
    </w:p>
    <w:p w14:paraId="798D58E7"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int reg = reg_old[i];</w:t>
      </w:r>
    </w:p>
    <w:p w14:paraId="3E9895D2"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if (!prior_only)</w:t>
      </w:r>
    </w:p>
    <w:p w14:paraId="7EB87586"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A_old[i] ~ lognormal(log(omega_reg[reg]), sigma_old_reg[reg]);</w:t>
      </w:r>
    </w:p>
    <w:p w14:paraId="55128B6F" w14:textId="66C7CEE8"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w:t>
      </w:r>
    </w:p>
    <w:p w14:paraId="437C097A"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 Secondary forest likelihood</w:t>
      </w:r>
    </w:p>
    <w:p w14:paraId="0884533B"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for (i in 1:n_obs_rec) {</w:t>
      </w:r>
    </w:p>
    <w:p w14:paraId="5779C3F7"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int reg = reg_rec[i];</w:t>
      </w:r>
    </w:p>
    <w:p w14:paraId="755FCA25"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real mu = alpha_reg[reg] + (omega_reg[reg] - alpha_reg[reg]) *</w:t>
      </w:r>
    </w:p>
    <w:p w14:paraId="76DAF176"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pow(1 - exp(-lambda_reg[reg] * t_true[i]), delta_reg[reg]);</w:t>
      </w:r>
    </w:p>
    <w:p w14:paraId="486E3E2B"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if (!prior_only)</w:t>
      </w:r>
    </w:p>
    <w:p w14:paraId="4853CCAA"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A_rec[i] ~ lognormal(log(mu), sigma_rec_reg[reg]);</w:t>
      </w:r>
    </w:p>
    <w:p w14:paraId="04B7A786" w14:textId="30B1A7C3"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w:t>
      </w:r>
    </w:p>
    <w:p w14:paraId="14A275EE"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 Priors</w:t>
      </w:r>
    </w:p>
    <w:p w14:paraId="3792F26B"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sigma_rec_reg ~ normal(0, 3);</w:t>
      </w:r>
    </w:p>
    <w:p w14:paraId="1B6ACD3D"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sigma_old_reg ~ normal(0, 3);</w:t>
      </w:r>
    </w:p>
    <w:p w14:paraId="6B5052E2"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alpha_reg_tilde ~ std_normal();</w:t>
      </w:r>
    </w:p>
    <w:p w14:paraId="03888B03"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lambda_reg_tilde ~ std_normal();</w:t>
      </w:r>
    </w:p>
    <w:p w14:paraId="28499C93"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delta_reg_tilde ~ std_normal();</w:t>
      </w:r>
    </w:p>
    <w:p w14:paraId="2B088CDE"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mu_alpha  ~ exponential(0.05);</w:t>
      </w:r>
    </w:p>
    <w:p w14:paraId="0210F5D9"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mu_lambda ~ exponential(1);</w:t>
      </w:r>
    </w:p>
    <w:p w14:paraId="5FB42719"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mu_delta  ~ exponential(0.1);</w:t>
      </w:r>
    </w:p>
    <w:p w14:paraId="1D4CDCCD"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sigma_alpha  ~ normal(0, 3);</w:t>
      </w:r>
    </w:p>
    <w:p w14:paraId="28BF727A"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sigma_lambda ~ normal(0, 3);</w:t>
      </w:r>
    </w:p>
    <w:p w14:paraId="5397692B" w14:textId="77777777" w:rsidR="007E4C21" w:rsidRPr="00DE6E2C" w:rsidRDefault="007E4C21" w:rsidP="000960C7">
      <w:pPr>
        <w:shd w:val="clear" w:color="auto" w:fill="F2F2F2" w:themeFill="background1" w:themeFillShade="F2"/>
        <w:spacing w:line="240" w:lineRule="auto"/>
        <w:jc w:val="both"/>
        <w:rPr>
          <w:rFonts w:eastAsiaTheme="minorEastAsia" w:cstheme="minorHAnsi"/>
          <w:sz w:val="20"/>
          <w:szCs w:val="20"/>
          <w:lang w:val="en-US"/>
        </w:rPr>
      </w:pPr>
      <w:r w:rsidRPr="00DE6E2C">
        <w:rPr>
          <w:rFonts w:eastAsiaTheme="minorEastAsia" w:cstheme="minorHAnsi"/>
          <w:sz w:val="20"/>
          <w:szCs w:val="20"/>
          <w:lang w:val="en-US"/>
        </w:rPr>
        <w:t xml:space="preserve">  sigma_delta  ~ normal(0, 3);</w:t>
      </w:r>
    </w:p>
    <w:p w14:paraId="0CE0E517" w14:textId="72AA6EF5" w:rsidR="004B1FD5" w:rsidRDefault="007E4C21" w:rsidP="000960C7">
      <w:pPr>
        <w:shd w:val="clear" w:color="auto" w:fill="F2F2F2" w:themeFill="background1" w:themeFillShade="F2"/>
        <w:spacing w:line="240" w:lineRule="auto"/>
        <w:jc w:val="both"/>
        <w:rPr>
          <w:rFonts w:eastAsiaTheme="minorEastAsia" w:cstheme="minorHAnsi"/>
          <w:lang w:val="en-US"/>
        </w:rPr>
      </w:pPr>
      <w:r w:rsidRPr="00DE6E2C">
        <w:rPr>
          <w:rFonts w:eastAsiaTheme="minorEastAsia" w:cstheme="minorHAnsi"/>
          <w:sz w:val="20"/>
          <w:szCs w:val="20"/>
          <w:lang w:val="en-US"/>
        </w:rPr>
        <w:t>}</w:t>
      </w:r>
      <w:r w:rsidR="004B1FD5">
        <w:rPr>
          <w:rFonts w:eastAsiaTheme="minorEastAsia" w:cstheme="minorHAnsi"/>
          <w:lang w:val="en-US"/>
        </w:rPr>
        <w:br w:type="page"/>
      </w:r>
    </w:p>
    <w:p w14:paraId="1B54ACF1" w14:textId="2CCC1385" w:rsidR="00434DD5" w:rsidRDefault="00434DD5" w:rsidP="004B1FD5">
      <w:pPr>
        <w:spacing w:line="276" w:lineRule="auto"/>
        <w:jc w:val="both"/>
        <w:rPr>
          <w:rFonts w:cstheme="minorHAnsi"/>
          <w:b/>
          <w:bCs/>
          <w:lang w:val="en-US"/>
        </w:rPr>
      </w:pPr>
      <w:r w:rsidRPr="008D0231">
        <w:rPr>
          <w:rFonts w:cstheme="minorHAnsi"/>
          <w:b/>
          <w:bCs/>
          <w:lang w:val="en-US"/>
        </w:rPr>
        <w:lastRenderedPageBreak/>
        <w:t xml:space="preserve">Environmental effects on </w:t>
      </w:r>
      <w:r w:rsidR="004D0B40">
        <w:rPr>
          <w:rFonts w:cstheme="minorHAnsi"/>
          <w:b/>
          <w:bCs/>
          <w:lang w:val="en-US"/>
        </w:rPr>
        <w:t>CA</w:t>
      </w:r>
      <w:r w:rsidR="004D0B40" w:rsidRPr="004D0B40">
        <w:rPr>
          <w:rFonts w:cstheme="minorHAnsi"/>
          <w:b/>
          <w:bCs/>
          <w:vertAlign w:val="subscript"/>
          <w:lang w:val="en-US"/>
        </w:rPr>
        <w:t>20</w:t>
      </w:r>
      <w:r w:rsidR="004D0B40">
        <w:rPr>
          <w:rFonts w:cstheme="minorHAnsi"/>
          <w:b/>
          <w:bCs/>
          <w:lang w:val="en-US"/>
        </w:rPr>
        <w:t>, t</w:t>
      </w:r>
      <w:r w:rsidR="004D0B40" w:rsidRPr="004D0B40">
        <w:rPr>
          <w:rFonts w:cstheme="minorHAnsi"/>
          <w:b/>
          <w:bCs/>
          <w:vertAlign w:val="subscript"/>
          <w:lang w:val="en-US"/>
        </w:rPr>
        <w:t>90</w:t>
      </w:r>
      <w:r w:rsidR="004D0B40">
        <w:rPr>
          <w:rFonts w:cstheme="minorHAnsi"/>
          <w:b/>
          <w:bCs/>
          <w:lang w:val="en-US"/>
        </w:rPr>
        <w:t>, and AGC</w:t>
      </w:r>
      <w:r w:rsidR="004D0B40" w:rsidRPr="004D0B40">
        <w:rPr>
          <w:rFonts w:cstheme="minorHAnsi"/>
          <w:b/>
          <w:bCs/>
          <w:vertAlign w:val="subscript"/>
          <w:lang w:val="en-US"/>
        </w:rPr>
        <w:t>20</w:t>
      </w:r>
    </w:p>
    <w:p w14:paraId="020B66AA" w14:textId="6A43DC48" w:rsidR="00B02DD0" w:rsidRPr="00C519E9" w:rsidRDefault="00732F34" w:rsidP="00B02DD0">
      <w:pPr>
        <w:spacing w:line="276" w:lineRule="auto"/>
        <w:jc w:val="both"/>
        <w:rPr>
          <w:rFonts w:eastAsiaTheme="minorEastAsia" w:cstheme="minorHAnsi"/>
          <w:i/>
          <w:iCs/>
          <w:lang w:val="en-US"/>
        </w:rPr>
      </w:pPr>
      <w:r>
        <w:rPr>
          <w:rFonts w:eastAsiaTheme="minorEastAsia" w:cstheme="minorHAnsi"/>
          <w:i/>
          <w:iCs/>
          <w:lang w:val="en-US"/>
        </w:rPr>
        <w:t>Initial p</w:t>
      </w:r>
      <w:r w:rsidR="00B02DD0" w:rsidRPr="00C519E9">
        <w:rPr>
          <w:rFonts w:eastAsiaTheme="minorEastAsia" w:cstheme="minorHAnsi"/>
          <w:i/>
          <w:iCs/>
          <w:lang w:val="en-US"/>
        </w:rPr>
        <w:t xml:space="preserve">redictor </w:t>
      </w:r>
      <w:r w:rsidR="00866170">
        <w:rPr>
          <w:rFonts w:eastAsiaTheme="minorEastAsia" w:cstheme="minorHAnsi"/>
          <w:i/>
          <w:iCs/>
          <w:lang w:val="en-US"/>
        </w:rPr>
        <w:t>set</w:t>
      </w:r>
    </w:p>
    <w:p w14:paraId="7B80B1AE" w14:textId="36635F14" w:rsidR="005F6CE8" w:rsidRDefault="00E14ED0" w:rsidP="00662CDA">
      <w:pPr>
        <w:jc w:val="both"/>
        <w:rPr>
          <w:lang w:val="en-US"/>
        </w:rPr>
      </w:pPr>
      <w:r w:rsidRPr="7FBDB12C">
        <w:rPr>
          <w:lang w:val="en-US"/>
        </w:rPr>
        <w:t>The environmental effects on the trajectory properties (</w:t>
      </w:r>
      <w:r w:rsidR="005201C3" w:rsidRPr="7FBDB12C">
        <w:rPr>
          <w:lang w:val="en-US"/>
        </w:rPr>
        <w:t>t</w:t>
      </w:r>
      <w:r w:rsidR="005201C3" w:rsidRPr="7FBDB12C">
        <w:rPr>
          <w:vertAlign w:val="subscript"/>
          <w:lang w:val="en-US"/>
        </w:rPr>
        <w:t>90</w:t>
      </w:r>
      <w:r w:rsidR="005201C3" w:rsidRPr="7FBDB12C">
        <w:rPr>
          <w:lang w:val="en-US"/>
        </w:rPr>
        <w:t xml:space="preserve">, </w:t>
      </w:r>
      <w:r w:rsidRPr="7FBDB12C">
        <w:rPr>
          <w:lang w:val="en-US"/>
        </w:rPr>
        <w:t>CA</w:t>
      </w:r>
      <w:r w:rsidRPr="7FBDB12C">
        <w:rPr>
          <w:vertAlign w:val="subscript"/>
          <w:lang w:val="en-US"/>
        </w:rPr>
        <w:t>20</w:t>
      </w:r>
      <w:r w:rsidRPr="7FBDB12C">
        <w:rPr>
          <w:lang w:val="en-US"/>
        </w:rPr>
        <w:t>, and AGC</w:t>
      </w:r>
      <w:r w:rsidRPr="7FBDB12C">
        <w:rPr>
          <w:vertAlign w:val="subscript"/>
          <w:lang w:val="en-US"/>
        </w:rPr>
        <w:t>20</w:t>
      </w:r>
      <w:r w:rsidRPr="7FBDB12C">
        <w:rPr>
          <w:lang w:val="en-US"/>
        </w:rPr>
        <w:t xml:space="preserve">), estimated using the first Stan model, were assessed using a second model. </w:t>
      </w:r>
      <w:r w:rsidR="00224F79" w:rsidRPr="7FBDB12C">
        <w:rPr>
          <w:lang w:val="en-US"/>
        </w:rPr>
        <w:t xml:space="preserve">As a first step, an initial set of 8 potential predictors was </w:t>
      </w:r>
      <w:r w:rsidR="002E145A" w:rsidRPr="7FBDB12C">
        <w:rPr>
          <w:lang w:val="en-US"/>
        </w:rPr>
        <w:t xml:space="preserve">selected, based on prior beliefs that </w:t>
      </w:r>
      <w:r w:rsidR="00531E25" w:rsidRPr="7FBDB12C">
        <w:rPr>
          <w:lang w:val="en-US"/>
        </w:rPr>
        <w:t>climatic</w:t>
      </w:r>
      <w:r w:rsidR="53888F84" w:rsidRPr="7FBDB12C">
        <w:rPr>
          <w:lang w:val="en-US"/>
        </w:rPr>
        <w:t>, edaphic</w:t>
      </w:r>
      <w:r w:rsidR="00760572">
        <w:rPr>
          <w:lang w:val="en-US"/>
        </w:rPr>
        <w:t>,</w:t>
      </w:r>
      <w:r w:rsidR="00531E25" w:rsidRPr="7FBDB12C">
        <w:rPr>
          <w:lang w:val="en-US"/>
        </w:rPr>
        <w:t xml:space="preserve"> and landscape conditions </w:t>
      </w:r>
      <w:r w:rsidR="00E86FE0" w:rsidRPr="7FBDB12C">
        <w:rPr>
          <w:lang w:val="en-US"/>
        </w:rPr>
        <w:t>may</w:t>
      </w:r>
      <w:r w:rsidR="00531E25" w:rsidRPr="7FBDB12C">
        <w:rPr>
          <w:lang w:val="en-US"/>
        </w:rPr>
        <w:t xml:space="preserve"> govern recovery rates</w:t>
      </w:r>
      <w:r w:rsidR="008D0021" w:rsidRPr="7FBDB12C">
        <w:rPr>
          <w:lang w:val="en-US"/>
        </w:rPr>
        <w:fldChar w:fldCharType="begin"/>
      </w:r>
      <w:r w:rsidR="008D0021" w:rsidRPr="7FBDB12C">
        <w:rPr>
          <w:lang w:val="en-US"/>
        </w:rPr>
        <w:instrText xml:space="preserve"> ADDIN ZOTERO_ITEM CSL_CITATION {"citationID":"dukZHgm0","properties":{"unsorted":false,"formattedCitation":"\\super 8\\uc0\\u8211{}13\\nosupersub{}","plainCitation":"8–13","noteIndex":0},"citationItems":[{"id":673,"uris":["http://zotero.org/users/13671732/items/XD7GNCUM"],"itemData":{"id":673,"type":"article-journal","abstract":"An analysis of above-ground biomass recovery during secondary succession in forest sites and plots, covering the major environmental gradients in the Neotropics.","container-title":"Nature","DOI":"10.1038/nature16512","issue":"7589","page":"211-214","title":"Biomass resilience of Neotropical secondary forests","volume":"530","author":[{"family":"Poorter","given":"Lourens"},{"family":"Bongers","given":"Frans"},{"family":"Aide","given":"T Mitchell"},{"family":"Almeyda Zambrano","given":"Angélica M"},{"family":"Balvanera","given":"Patricia"},{"family":"Becknell","given":"Justin M"},{"family":"Boukili","given":"Vanessa"},{"family":"Brancalion","given":"Pedro H S"},{"family":"Broadbent","given":"Eben N"},{"family":"Chazdon","given":"Robin L"},{"family":"Craven","given":"Dylan"},{"family":"Almeida-Cortez","given":"Jarcilene S","non-dropping-particle":"de"},{"family":"Cabral","given":"George A L"},{"family":"Jong","given":"Ben H J","non-dropping-particle":"de"},{"family":"Denslow","given":"Julie S"},{"family":"Dent","given":"Daisy H"},{"family":"DeWalt","given":"Saara J"},{"family":"Dupuy","given":"Juan M"},{"family":"Durán","given":"Sandra M"},{"family":"Espírito-Santo","given":"Mario M"},{"family":"Fandino","given":"María C"},{"family":"César","given":"Ricardo G"},{"family":"Hall","given":"Jefferson S"},{"family":"Hernandez-Stefanoni","given":"José Luis"},{"family":"Jakovac","given":"Catarina C"},{"family":"Junqueira","given":"André B"},{"family":"Kennard","given":"Deborah"},{"family":"Letcher","given":"Susan G"},{"family":"Licona","given":"Juan-Carlos"},{"family":"Lohbeck","given":"Madelon"},{"family":"Marín-Spiotta","given":"Erika"},{"family":"Martínez-Ramos","given":"Miguel"},{"family":"Massoca","given":"Paulo"},{"family":"Meave","given":"Jorge A"},{"family":"Mesquita","given":"Rita"},{"family":"Mora","given":"Francisco"},{"family":"Muñoz","given":"Rodrigo"},{"family":"Muscarella","given":"Robert"},{"family":"Nunes","given":"Yule R F"},{"family":"Ochoa-Gaona","given":"Susana"},{"family":"Oliveira","given":"Alexandre A","non-dropping-particle":"de"},{"family":"Orihuela-Belmonte","given":"Edith"},{"family":"Peña-Claros","given":"Marielos"},{"family":"Pérez-García","given":"Eduardo A"},{"family":"Piotto","given":"Daniel"},{"family":"Powers","given":"Jennifer S"},{"family":"Rodríguez-Velázquez","given":"Jorge"},{"family":"Romero-Pérez","given":"I Eunice"},{"family":"Ruíz","given":"Jorge"},{"family":"Saldarriaga","given":"Juan G"},{"family":"Sanchez-Azofeifa","given":"Arturo"},{"family":"Schwartz","given":"Naomi B"},{"family":"Steininger","given":"Marc K"},{"family":"Swenson","given":"Nathan G"},{"family":"Toledo","given":"Marisol"},{"family":"Uriarte","given":"Maria"},{"family":"Breugel","given":"Michiel","non-dropping-particle":"van"},{"family":"Wal","given":"Hans","non-dropping-particle":"van der"},{"family":"Veloso","given":"Maria D M"},{"family":"Vester","given":"Hans F M"},{"family":"Vicentini","given":"Alberto"},{"family":"Vieira","given":"Ima C G"},{"family":"Bentos","given":"Tony Vizcarra"},{"family":"Williamson","given":"G Bruce"},{"family":"Rozendaal","given":"Danaë M A"}],"issued":{"date-parts":[["2016"]]}}},{"id":1828,"uris":["http://zotero.org/users/13671732/items/E45XN5JJ"],"itemData":{"id":1828,"type":"article-journal","abstract":"In West Africa, very poorly documented are the recovery trajectories of secondary forests, and even less is known about the origin of the observed variability in recovery rates. To understand the relative importance of local and regional environmental conditions on these trajectories, we inventoried all trees larger than 2.5 cm DBH on 236 plots (0.2 ha), aged from 0 to 45 years plus controls, on eight chronosequences representing the typical regional North-South climatic gradient of West Africa. In a hierarchical Bayesian framework, we modelled recovery trajectories of biodiversity, aboveground biomass and floristic composition and tested the influence of variability in local (plot history, landscape context, remnant trees) and regional (climate and soil) conditions on recovery rates. Our results show that (a) diversity recovers faster than composition and biomass, (b) among the local variables, the number of remnant trees has a positive impact on recovery rates while the duration of agricultural cultivation has a negative impact, and (c) among the regional variables, the high seasonality of precipitation and climate, typical of the dry forests of the northern West African forest zone, leads to faster secondary successions. Our simulation approaches have indicated that poor regional conditions can be counterbalanced by adequate local conditions and vice versa, which argues strongly in favour of a diagnosis that integrates these two aspects in the choice of more or less active technical itineraries for forest restoration.","container-title":"Environmental Research Letters","DOI":"10.1088/1748-9326/ac9b4f","ISSN":"1748-9326","issue":"11","journalAbbreviation":"Environ. Res. Lett.","language":"en","page":"115005","publisher":"IOP Publishing","source":"Institute of Physics","title":"Lessons from a regional analysis of forest recovery trajectories in West Africa","volume":"17","author":[{"family":"Amani","given":"Bienvenu H K"},{"family":"N’Guessan","given":"Anny Estelle"},{"family":"Van der Meersch","given":"Victor"},{"family":"Derroire","given":"Géraldine"},{"family":"Piponiot","given":"Camille"},{"family":"Elogne","given":"Aka G M"},{"family":"Traoré","given":"Karidia"},{"family":"N’Dja","given":"Justin K"},{"family":"Hérault","given":"Bruno"}],"issued":{"date-parts":[["2022",10]]}}},{"id":1193,"uris":["http://zotero.org/users/13671732/items/QAHJY9ME"],"itemData":{"id":1193,"type":"article-journal","abstract":"Despite the potential of secondary tropical forests to store and sequester substantial amounts of carbon, little is known about their above-ground carbon (AGC) stocks and the factors affecting them, especially in West Africa. This information is of key importance if the countries in this region want to achieve their forest restoration and climate mitigation commitments. To fill in this gap, we investigated how environmental and local management (e.g. remnant trees) factors influenced AGC and tree species richness in secondary forests at seven sites across Guinea, Sierra Leone and Liberia. We established 140 plots (20 x 50 m) in fallows &lt;15 years (20 plots per site) and sampled all trees ≥10 cm diameter following standardised protocols. We found that AGC stocks and tree species richness increased with fallow age, but were highly variable across sites driven by both climatic and local management practices. While drought stress negatively affected AGC, remnant trees had a positive effect. AGC recovery rates ranged between 0.72 Mg C ha−1 y−1 (second driest site) and 13.76 Mg C ha−1 y−1 (wettest site). Given its low cost, our findings highlight the potential of passive restoration in secondary forests for carbon sequestration, particularly in wetter landscapes and areas with remnant trees from prior land use.","container-title":"Forest Ecology and Management","DOI":"10.1016/j.foreco.2024.122386","ISSN":"0378-1127","journalAbbreviation":"Forest Ecology and Management","page":"122386","source":"ScienceDirect","title":"Carbon recovery in secondary forests: Insights from three West African countries","title-short":"Carbon recovery in secondary forests","volume":"575","author":[{"family":"Titenwi","given":"Paly N."},{"family":"Sainge","given":"Moses N."},{"family":"Kargbo","given":"Usif"},{"family":"Kamara","given":"Richard A. S."},{"family":"Musa","given":"Alex"},{"family":"Kabba","given":"Timothy M."},{"family":"Buanie","given":"Bockarie K."},{"family":"Njouonkou","given":"Andre L."},{"family":"Aruna","given":"Edward"},{"family":"Sullivan","given":"Martin J. P."},{"family":"Leite","given":"Ana"},{"family":"Cuni-Sanchez","given":"Aida"}],"issued":{"date-parts":[["2025",1,1]]}}},{"id":1986,"uris":["http://zotero.org/users/13671732/items/E6RTS4AW"],"itemData":{"id":1986,"type":"article-journal","abstract":"Disturbed African tropical forests and woodlands have the potential to contribute to climate change mitigation. Therefore, there is a need to understand how carbon stocks of disturbed and recovering tropical forests are determined by environmental conditions and human use. In this case study, we explore how gradients in environmental conditions and human use determine aboveground biomass (AGB) in 1958 national forest inventory (NFI) plots located in forests and woodlands in mainland Tanzania. Plots were divided into recovering forests (areas recovering from deforestation for &lt;25years) and established forests (areas consistently defined as forests for </w:instrText>
      </w:r>
      <w:r w:rsidR="008D0021">
        <w:rPr>
          <w:rFonts w:ascii="Cambria Math" w:hAnsi="Cambria Math" w:cs="Cambria Math"/>
          <w:lang w:val="en-US"/>
        </w:rPr>
        <w:instrText>⩾</w:instrText>
      </w:r>
      <w:r w:rsidR="008D0021" w:rsidRPr="7FBDB12C">
        <w:rPr>
          <w:lang w:val="en-US"/>
        </w:rPr>
        <w:instrText xml:space="preserve">25 years). This division, as well as the detection of year of forest establishment, was obtained through the use of dense satellite time series of forest cover probability. In decreasing order of importance, AGB in recovering forests unexpectedly decreased with water availability, increased with surrounding tree cover and time since establishment, and decreased with elevation, distance to roads, and soil phosphorus content. AGB in established forests unexpectedly decreased with water availability, increased with surrounding tree cover, and soil nitrogen content, and decreased with elevation. AGB in recovering forests increased by 0.4 Mg ha−1yr−1 during the first 20 years following establishment. Our results can serve as the basis of carbon sink estimates in African recovering tropical forests and woodlands, and aid in forest landscape restoration planning.","container-title":"Environmental Research Letters","DOI":"10.1088/1748-9326/abe960","ISSN":"1748-9326","issue":"4","journalAbbreviation":"Environ. Res. Lett.","language":"en","page":"044014","publisher":"IOP Publishing","source":"Institute of Physics","title":"Variation in aboveground biomass in forests and woodlands in Tanzania along gradients in environmental conditions and human use","volume":"16","author":[{"family":"Requena Suarez","given":"Daniela"},{"family":"Rozendaal","given":"Danaë M A"},{"family":"De Sy","given":"Veronique"},{"family":"Gibbs","given":"David A"},{"family":"Harris","given":"Nancy L"},{"family":"Sexton","given":"Joseph O"},{"family":"Feng","given":"Min"},{"family":"Channan","given":"Saurabh"},{"family":"Zahabu","given":"Eliakimu"},{"family":"Silayo","given":"Dos Santos"},{"family":"Pekkarinen","given":"Anssi"},{"family":"Martius","given":"Christopher"},{"family":"Herold","given":"Martin"}],"issued":{"date-parts":[["2021",3]]}}},{"id":9169,"uris":["http://zotero.org/users/13671732/items/XA5K3HSL"],"itemData":{"id":9169,"type":"article-journal","abstract":"To conserve biodiversity and combat climate change it is vital to restore forest ecosystems. Natural forest regrowth is a nature-based solution to restore forests, but it has rarely been evaluated how this is affected by the combination of previous land use intensity and surrounding forest cover, and how this varies between the two main tropical forest types; dry and wet forests. Thirty-three plots were established on abandoned agricultural fields in a dry (13 plots) and wet (20 plots) tropical forest in Mexico and monitored 3 years for the following tree community attributes: structure, diversity, regeneration mode, potential symbioses with N fixing bacteria and mycorrhizal fungi. Previous land use intensity was described using interviews, and landscape forest cover and fragmentation within a 1000 m radius surrounding the plots were quantified using satellite images. Variable importance analyses indicated that land use intensity was more important than forest cover and fragmentation for the state of the tree community attributes after 3 years. This suggests that previous land use impacts the start of succession and leaves important legacies on the vegetation. Land use intensity, forest cover and fragmentation were equally important in determining the change in tree community attributes over time, indicating that both management practices and dispersal shape subsequently community assembly. A higher land use intensity decreases tree richness recovery, while size of the largest forest patch decreases tree density and connectivity of these patches increases tree density. The dry forest had a faster increase in tree density recovery compared to the wet forest through a high initial resprouting capacity and abiotically dispersed trees. Synthesis and applications: Both a higher land use intensity and fragmented forest landscape decreases the speed of forest recovery, indicating that human actions and landscape transformation shape the course of succession. Restoration in fragmented forest landscapes through natural regeneration is more suitable in areas with low previous land use intensity, higher forest connectivity and abiotically dispersed species. Effective restoration should therefore consider both land use history and landscape forest cover and be tailored to local socio-ecological conditions.","container-title":"Journal of Applied Ecology","DOI":"10.1111/1365-2664.14754","ISSN":"1365-2664","issue":"10","language":"en","license":"© 2024 The Author(s). Journal of Applied Ecology published by John Wiley &amp; Sons Ltd on behalf of British Ecological Society.","note":"_eprint: https://besjournals.onlinelibrary.wiley.com/doi/pdf/10.1111/1365-2664.14754","page":"2365-2381","source":"Wiley Online Library","title":"Land use history and landscape forest cover determine tropical forest recovery","volume":"61","author":[{"family":"Hordijk","given":"Iris"},{"family":"Poorter","given":"Lourens"},{"family":"Meave","given":"Jorge A."},{"family":"Bongers","given":"Frans"},{"family":"Sande","given":"Masha T.","non-dropping-particle":"van der"},{"family":"López Mendoza","given":"Rey David"},{"family":"Jamangapé Romero","given":"Pascual"},{"family":"Jong","given":"Johan","non-dropping-particle":"de"},{"family":"Martínez-Ramos","given":"Miguel"}],"issued":{"date-parts":[["2024"]]}}},{"id":9155,"uris":["http://zotero.org/users/13671732/items/GAFLTRNE"],"itemData":{"id":9155,"type":"article-journal","abstract":"Identifying linkages between biodiversity loss and climate change is required for understanding the scope of these interconnected challenges and developing approaches to address them. One crucial yet underexplored aspect is the influence of seed-dispersing animals on forest carbon storage. Here, we show that 81% of tropical trees rely on animals for seed dispersal and that disruption of this process, due to declines in animal diversity and movement, significantly hampers the carbon accumulation potential of regrowing tropical forests. Using a synthesis of animal biodiversity, movement, and seed dispersal data covering thousands of animal species, we developed an index of seed dispersal disruption and modeled its relationship to carbon accumulation observed across 3,026 tropical regrowth plots. Naturally regrowing areas with lowest seed dispersal disruption had aboveground carbon accumulation rates four times higher than those with most severe disruption. Across areas identified as locations suitable for reforestation, current levels of seed dispersal disruption yield a 57% average reduction in local carbon accumulation potential. Tropical regrowth forests currently represent the largest land-based carbon sink; ongoing animal biodiversity losses diminish their ability to recover naturally from disturbances and therefore threaten their climate mitigation potential. These results advance understanding of animal biodiversity’s impact on carbon dynamics and emphasize the need to address biodiversity loss and climate change together.","container-title":"Proceedings of the National Academy of Sciences","DOI":"10.1073/pnas.2500951122","issue":"30","page":"e2500951122","publisher":"Proceedings of the National Academy of Sciences","source":"pnas.org (Atypon)","title":"Seed dispersal disruption limits tropical forest regrowth","volume":"122","author":[{"family":"Fricke","given":"Evan C."},{"family":"Cook-Patton","given":"Susan C."},{"family":"Harvey","given":"Charles F."},{"family":"Terrer","given":"César"}],"issued":{"date-parts":[["2025",7,29]]}}}],"schema":"https://github.com/citation-style-language/schema/raw/master/csl-citation.json"} </w:instrText>
      </w:r>
      <w:r w:rsidR="008D0021" w:rsidRPr="7FBDB12C">
        <w:rPr>
          <w:lang w:val="en-US"/>
        </w:rPr>
        <w:fldChar w:fldCharType="separate"/>
      </w:r>
      <w:r w:rsidR="008D0021" w:rsidRPr="008D0021">
        <w:rPr>
          <w:rFonts w:ascii="Calibri" w:hAnsi="Calibri" w:cs="Calibri"/>
          <w:kern w:val="0"/>
          <w:vertAlign w:val="superscript"/>
        </w:rPr>
        <w:t>8–13</w:t>
      </w:r>
      <w:r w:rsidR="008D0021" w:rsidRPr="7FBDB12C">
        <w:rPr>
          <w:lang w:val="en-US"/>
        </w:rPr>
        <w:fldChar w:fldCharType="end"/>
      </w:r>
      <w:r w:rsidR="00A35386">
        <w:rPr>
          <w:lang w:val="en-US"/>
        </w:rPr>
        <w:t>.</w:t>
      </w:r>
      <w:r w:rsidR="00A1293E" w:rsidRPr="7FBDB12C">
        <w:rPr>
          <w:lang w:val="en-US"/>
        </w:rPr>
        <w:t xml:space="preserve"> </w:t>
      </w:r>
      <w:r w:rsidR="00B15338" w:rsidRPr="006A2E28">
        <w:rPr>
          <w:lang w:val="en-US"/>
        </w:rPr>
        <w:t xml:space="preserve">The included climatic variables were: mean </w:t>
      </w:r>
      <w:r w:rsidR="00777DD3" w:rsidRPr="006A2E28">
        <w:rPr>
          <w:lang w:val="en-US"/>
        </w:rPr>
        <w:t xml:space="preserve">annual </w:t>
      </w:r>
      <w:r w:rsidR="00B15338" w:rsidRPr="006A2E28">
        <w:rPr>
          <w:lang w:val="en-US"/>
        </w:rPr>
        <w:t>temperature (M</w:t>
      </w:r>
      <w:r w:rsidR="00777DD3">
        <w:rPr>
          <w:lang w:val="en-US"/>
        </w:rPr>
        <w:t>A</w:t>
      </w:r>
      <w:r w:rsidR="00B15338" w:rsidRPr="006A2E28">
        <w:rPr>
          <w:lang w:val="en-US"/>
        </w:rPr>
        <w:t>T), temperature seasonality (</w:t>
      </w:r>
      <w:r w:rsidR="00127AEF">
        <w:rPr>
          <w:lang w:val="en-US"/>
        </w:rPr>
        <w:t xml:space="preserve">TS; </w:t>
      </w:r>
      <w:r w:rsidR="00B15338" w:rsidRPr="006A2E28">
        <w:rPr>
          <w:lang w:val="en-US"/>
        </w:rPr>
        <w:t xml:space="preserve">i.e., the standard deviation of mean monthly temperatures), </w:t>
      </w:r>
      <w:r w:rsidR="00777DD3">
        <w:rPr>
          <w:lang w:val="en-US"/>
        </w:rPr>
        <w:t xml:space="preserve">mean </w:t>
      </w:r>
      <w:r w:rsidR="00B15338" w:rsidRPr="006A2E28">
        <w:rPr>
          <w:lang w:val="en-US"/>
        </w:rPr>
        <w:t>annual precipitation (</w:t>
      </w:r>
      <w:r w:rsidR="00777DD3">
        <w:rPr>
          <w:lang w:val="en-US"/>
        </w:rPr>
        <w:t>M</w:t>
      </w:r>
      <w:r w:rsidR="00B15338" w:rsidRPr="006A2E28">
        <w:rPr>
          <w:lang w:val="en-US"/>
        </w:rPr>
        <w:t xml:space="preserve">AP), </w:t>
      </w:r>
      <w:r w:rsidR="00654494">
        <w:rPr>
          <w:lang w:val="en-US"/>
        </w:rPr>
        <w:t xml:space="preserve">and </w:t>
      </w:r>
      <w:r w:rsidR="00213473">
        <w:rPr>
          <w:lang w:val="en-US"/>
        </w:rPr>
        <w:t xml:space="preserve">the absolute value of the </w:t>
      </w:r>
      <w:r w:rsidR="00B15338" w:rsidRPr="006A2E28">
        <w:rPr>
          <w:lang w:val="en-US"/>
        </w:rPr>
        <w:t>maximum cumulative water deficit (MCWD</w:t>
      </w:r>
      <w:r w:rsidR="00F85807">
        <w:rPr>
          <w:lang w:val="en-US"/>
        </w:rPr>
        <w:t xml:space="preserve">; </w:t>
      </w:r>
      <w:r w:rsidR="00284A84" w:rsidRPr="00284A84">
        <w:rPr>
          <w:lang w:val="en-US"/>
        </w:rPr>
        <w:t xml:space="preserve">calculated as the minimum value of the cumulative monthly water balance </w:t>
      </w:r>
      <w:r w:rsidR="00284A84">
        <w:rPr>
          <w:lang w:val="en-US"/>
        </w:rPr>
        <w:t>[</w:t>
      </w:r>
      <w:r w:rsidR="00284A84" w:rsidRPr="00284A84">
        <w:rPr>
          <w:lang w:val="en-US"/>
        </w:rPr>
        <w:t>precipitation minus potential evapotranspiration</w:t>
      </w:r>
      <w:r w:rsidR="00284A84">
        <w:rPr>
          <w:lang w:val="en-US"/>
        </w:rPr>
        <w:t>]</w:t>
      </w:r>
      <w:r w:rsidR="00284A84" w:rsidRPr="00284A84">
        <w:rPr>
          <w:lang w:val="en-US"/>
        </w:rPr>
        <w:t xml:space="preserve"> reached during a year</w:t>
      </w:r>
      <w:r w:rsidR="00B15338" w:rsidRPr="006A2E28">
        <w:rPr>
          <w:lang w:val="en-US"/>
        </w:rPr>
        <w:t>). All indices were extracted or computed from the historical WorldClim bioclimatic variables database (averaged over 1970 – 2000) at 30’’ resolution</w:t>
      </w:r>
      <w:r w:rsidR="00B15338" w:rsidRPr="006A2E28">
        <w:rPr>
          <w:lang w:val="en-US"/>
        </w:rPr>
        <w:fldChar w:fldCharType="begin"/>
      </w:r>
      <w:r w:rsidR="00654494">
        <w:rPr>
          <w:lang w:val="en-US"/>
        </w:rPr>
        <w:instrText xml:space="preserve"> ADDIN ZOTERO_ITEM CSL_CITATION {"citationID":"nvD7niWf","properties":{"formattedCitation":"\\super 14\\nosupersub{}","plainCitation":"14","noteIndex":0},"citationItems":[{"id":1766,"uris":["http://zotero.org/users/13671732/items/UXHKBELB"],"itemData":{"id":1766,"type":"article-journal","abstract":"We created a new dataset of spatially interpolated monthly climate data for global land areas at a very high spatial resolution (approximately 1 km2). We included monthly temperature (minimum, maximum and average), precipitation, solar radiation, vapour pressure and wind speed, aggregated across a target temporal range of 1970–2000, using data from between 9000 and 60 000 weather stations. Weather station data were interpolated using thin-plate splines with covariates including elevation, distance to the coast and three satellite-derived covariates: maximum and minimum land surface temperature as well as cloud cover, obtained with the MODIS satellite platform. Interpolation was done for 23 regions of varying size depending on station density. Satellite data improved prediction accuracy for temperature variables 5–15% (0.07–0.17 °C), particularly for areas with a low station density, although prediction error remained high in such regions for all climate variables. Contributions of satellite covariates were mostly negligible for the other variables, although their importance varied by region. In contrast to the common approach to use a single model formulation for the entire world, we constructed the final product by selecting the best performing model for each region and variable. Global cross-validation correlations were ≥ 0.99 for temperature and humidity, 0.86 for precipitation and 0.76 for wind speed. The fact that most of our climate surface estimates were only marginally improved by use of satellite covariates highlights the importance having a dense, high-quality network of climate station data.","container-title":"International Journal of Climatology","DOI":"10.1002/joc.5086","ISSN":"1097-0088","issue":"12","language":"en","license":"© 2017 Royal Meteorological Society","note":"_eprint: https://onlinelibrary.wiley.com/doi/pdf/10.1002/joc.5086","page":"4302-4315","source":"Wiley Online Library","title":"WorldClim 2: new 1-km spatial resolution climate surfaces for global land areas","title-short":"WorldClim 2","volume":"37","author":[{"family":"Fick","given":"Stephen E."},{"family":"Hijmans","given":"Robert J."}],"issued":{"date-parts":[["2017"]]}}}],"schema":"https://github.com/citation-style-language/schema/raw/master/csl-citation.json"} </w:instrText>
      </w:r>
      <w:r w:rsidR="00B15338" w:rsidRPr="006A2E28">
        <w:rPr>
          <w:lang w:val="en-US"/>
        </w:rPr>
        <w:fldChar w:fldCharType="separate"/>
      </w:r>
      <w:r w:rsidR="00654494" w:rsidRPr="00654494">
        <w:rPr>
          <w:rFonts w:ascii="Calibri" w:hAnsi="Calibri" w:cs="Calibri"/>
          <w:kern w:val="0"/>
          <w:vertAlign w:val="superscript"/>
        </w:rPr>
        <w:t>14</w:t>
      </w:r>
      <w:r w:rsidR="00B15338" w:rsidRPr="006A2E28">
        <w:rPr>
          <w:lang w:val="en-US"/>
        </w:rPr>
        <w:fldChar w:fldCharType="end"/>
      </w:r>
      <w:r w:rsidR="00B15338" w:rsidRPr="006A2E28">
        <w:rPr>
          <w:lang w:val="en-US"/>
        </w:rPr>
        <w:t xml:space="preserve">. </w:t>
      </w:r>
      <w:r w:rsidR="005F6CE8">
        <w:rPr>
          <w:lang w:val="en-US"/>
        </w:rPr>
        <w:t>T</w:t>
      </w:r>
      <w:r w:rsidR="00B15338" w:rsidRPr="006A2E28">
        <w:rPr>
          <w:lang w:val="en-US"/>
        </w:rPr>
        <w:t>he landscape context was characterized using the 30-m resolution global tree cover map for the year 2000</w:t>
      </w:r>
      <w:r w:rsidR="00B15338" w:rsidRPr="006A2E28">
        <w:rPr>
          <w:lang w:val="en-US"/>
        </w:rPr>
        <w:fldChar w:fldCharType="begin"/>
      </w:r>
      <w:r w:rsidR="005D3703">
        <w:rPr>
          <w:lang w:val="en-US"/>
        </w:rPr>
        <w:instrText xml:space="preserve"> ADDIN ZOTERO_ITEM CSL_CITATION {"citationID":"6bbpLYc9","properties":{"formattedCitation":"\\super 15\\nosupersub{}","plainCitation":"15","noteIndex":0},"citationItems":[{"id":377,"uris":["http://zotero.org/users/13671732/items/ALA4GECX","http://zotero.org/users/13671732/items/BQANGALG"],"itemData":{"id":377,"type":"article-journal","abstract":"Forests worldwide are in a state of flux, with accelerating losses in some regions and gains in others. Hansen et al. (p. 850) examined global Landsat data at a 30-meter spatial resolution to characterize forest extent, loss, and gain from 2000 to 2012. Globally, 2.3 million square kilometers of forest were lost during the 12-year study period and 0.8 million square kilometers of new forest were gained. The tropics exhibited both the greatest losses and the greatest gains (through regrowth and plantation), with losses outstripping gains. Quantification of global forest change has been lacking despite the recognized importance of forest ecosystem services. In this study, Earth observation satellite data were used to map global forest loss (2.3 million square kilometers) and gain (0.8 million square kilometers) from 2000 to 2012 at a spatial resolution of 30 meters. The tropics were the only climate domain to exhibit a trend, with forest loss increasing by 2101 square kilometers per year. Brazil’s well-documented reduction in deforestation was offset by increasing forest loss in Indonesia, Malaysia, Paraguay, Bolivia, Zambia, Angola, and elsewhere. Intensive forestry practiced within subtropical forests resulted in the highest rates of forest change globally. Boreal forest loss due largely to fire and forestry was second to that in the tropics in absolute and proportional terms. These results depict a globally consistent and locally relevant record of forest change.","container-title":"Science","DOI":"10.1126/science.1244693","issue":"6160","page":"850 LP-853","title":"High-Resolution Global Maps of 21st-Century Forest Cover Change","volume":"342","author":[{"family":"Hansen","given":"M C"},{"family":"Potapov","given":"P V"},{"family":"Moore","given":"R"},{"family":"Hancher","given":"M"},{"family":"Turubanova","given":"S A"},{"family":"Tyukavina","given":"A"},{"family":"Thau","given":"D"},{"family":"Stehman","given":"S V"},{"family":"Goetz","given":"S J"},{"family":"Loveland","given":"T R"},{"family":"Kommareddy","given":"A"},{"family":"Egorov","given":"A"},{"family":"Chini","given":"L"},{"family":"Justice","given":"C O"},{"family":"Townshend","given":"J R G"}],"issued":{"date-parts":[["2013",11]]}}}],"schema":"https://github.com/citation-style-language/schema/raw/master/csl-citation.json"} </w:instrText>
      </w:r>
      <w:r w:rsidR="00B15338" w:rsidRPr="006A2E28">
        <w:rPr>
          <w:lang w:val="en-US"/>
        </w:rPr>
        <w:fldChar w:fldCharType="separate"/>
      </w:r>
      <w:r w:rsidR="005D3703" w:rsidRPr="005D3703">
        <w:rPr>
          <w:rFonts w:ascii="Calibri" w:hAnsi="Calibri" w:cs="Calibri"/>
          <w:kern w:val="0"/>
          <w:vertAlign w:val="superscript"/>
        </w:rPr>
        <w:t>15</w:t>
      </w:r>
      <w:r w:rsidR="00B15338" w:rsidRPr="006A2E28">
        <w:rPr>
          <w:lang w:val="en-US"/>
        </w:rPr>
        <w:fldChar w:fldCharType="end"/>
      </w:r>
      <w:r w:rsidR="00B15338" w:rsidRPr="006A2E28">
        <w:rPr>
          <w:lang w:val="en-US"/>
        </w:rPr>
        <w:t>, corrected for oil palm plantations</w:t>
      </w:r>
      <w:r w:rsidR="00B15338" w:rsidRPr="006A2E28">
        <w:rPr>
          <w:lang w:val="en-US"/>
        </w:rPr>
        <w:fldChar w:fldCharType="begin"/>
      </w:r>
      <w:r w:rsidR="005D3703">
        <w:rPr>
          <w:lang w:val="en-US"/>
        </w:rPr>
        <w:instrText xml:space="preserve"> ADDIN ZOTERO_ITEM CSL_CITATION {"citationID":"j36nP82b","properties":{"formattedCitation":"\\super 16\\nosupersub{}","plainCitation":"16","noteIndex":0},"citationItems":[{"id":1782,"uris":["http://zotero.org/users/13671732/items/U3VZXFMW"],"itemData":{"id":1782,"type":"article-journal","abstract":"Oil palm is a controversial crop, primarily because it is associated with negative environmental impacts such as tropical deforestation. Mapping the crop and its characteristics, such as age, is crucial for informing public and policy discussions regarding these impacts. Oil palm has received substantial mapping efforts, but accurate and up-to-date oil palm maps of both extent and age are essential for monitoring impacts and informing concomitant debate. Here, we present a 10 m resolution global map of industrial and smallholder oil palm, developed using Sentinel-1 data for the years 2016–2021 and a deep learning model based on convolutional neural networks. In addition, we used Landsat-5, Landsat-7, and Landsat-8 to estimate the planting year from 1990 to 2021 at a 30 m spatial resolution. The planting year indicates the year of establishment of the current (as of 2021) oil palm plantation by means of either newly planted or replanted oil palm in an existing oil palm plantation. We validated the oil palm extent layer using 18 812 randomly distributed reference points. The accuracy of the planting-year layer was assessed using field data collected from 5831 industrial parcels and 1012 smallholder plantations distributed throughout the global oil palm growing area. We found oil palm plantations covering a total mapped area of 23.98 Mha, and our area estimates are 16.82 ± 0.19 Mha of industrial oil palm and 7.37 ± 0.25 Mha of smallholder oil palm worldwide. The producer's and user's accuracy are 91.0 ± 2.5 % and 91.8 ± 1.2 % for industrial plantations and 71.4 ± 0.7 % and 72.4 ± 1.8 % for smallholders; these values represent an improvement compared to a previous global oil palm dataset, particularly in terms of omission of oil palm. The overall mean error between the estimated planting year and the field data was −0.24 years, and the root-mean-square error was 2.65 years, but the agreement was lower for smallholders. Mapping the extent and planting year of smallholder plantations remains challenging, particularly for wild and sparsely planted oil palm, and future mapping efforts should focus on these specific types of plantations. The average oil palm plantation age was 14.1 years, and the area of oil palm over 20 years old was 6.28 Mha. Given that oil palm plantations are typically replanted after 25 years, our findings indicate that this area will require replanting within the coming decade, starting from 2021. Our dataset provides valuable input for optimal land use planning to meet the growing global demand for vegetable oils. The global oil palm extent layer for the year 2021 and the planting-year layer from 1990 to 2021 can be found at https://doi.org/10.5281/zenodo.13379129 (Descals, 2024a).","container-title":"Earth System Science Data","DOI":"10.5194/essd-16-5111-2024","ISSN":"1866-3508","issue":"11","language":"English","page":"5111-5129","publisher":"Copernicus GmbH","source":"Copernicus Online Journals","title":"Global mapping of oil palm planting year from 1990 to 2021","volume":"16","author":[{"family":"Descals","given":"Adrià"},{"family":"Gaveau","given":"David L. A."},{"family":"Wich","given":"Serge"},{"family":"Szantoi","given":"Zoltan"},{"family":"Meijaard","given":"Erik"}],"issued":{"date-parts":[["2024",11,6]]}}}],"schema":"https://github.com/citation-style-language/schema/raw/master/csl-citation.json"} </w:instrText>
      </w:r>
      <w:r w:rsidR="00B15338" w:rsidRPr="006A2E28">
        <w:rPr>
          <w:lang w:val="en-US"/>
        </w:rPr>
        <w:fldChar w:fldCharType="separate"/>
      </w:r>
      <w:r w:rsidR="005D3703" w:rsidRPr="005D3703">
        <w:rPr>
          <w:rFonts w:ascii="Calibri" w:hAnsi="Calibri" w:cs="Calibri"/>
          <w:kern w:val="0"/>
          <w:vertAlign w:val="superscript"/>
        </w:rPr>
        <w:t>16</w:t>
      </w:r>
      <w:r w:rsidR="00B15338" w:rsidRPr="006A2E28">
        <w:rPr>
          <w:lang w:val="en-US"/>
        </w:rPr>
        <w:fldChar w:fldCharType="end"/>
      </w:r>
      <w:r w:rsidR="00B15338" w:rsidRPr="006A2E28">
        <w:rPr>
          <w:lang w:val="en-US"/>
        </w:rPr>
        <w:t xml:space="preserve">. We derived </w:t>
      </w:r>
      <w:r w:rsidR="00F04601">
        <w:rPr>
          <w:lang w:val="en-US"/>
        </w:rPr>
        <w:t xml:space="preserve">the following three </w:t>
      </w:r>
      <w:r w:rsidR="00B15338" w:rsidRPr="006A2E28">
        <w:rPr>
          <w:lang w:val="en-US"/>
        </w:rPr>
        <w:t>metrics</w:t>
      </w:r>
      <w:r w:rsidR="00F04601">
        <w:rPr>
          <w:lang w:val="en-US"/>
        </w:rPr>
        <w:t>:</w:t>
      </w:r>
      <w:r w:rsidR="00B15338" w:rsidRPr="006A2E28">
        <w:rPr>
          <w:lang w:val="en-US"/>
        </w:rPr>
        <w:t xml:space="preserve"> mean forest cover</w:t>
      </w:r>
      <w:r w:rsidR="00F42860">
        <w:rPr>
          <w:lang w:val="en-US"/>
        </w:rPr>
        <w:t xml:space="preserve"> (MFC)</w:t>
      </w:r>
      <w:r w:rsidR="00B15338" w:rsidRPr="006A2E28">
        <w:rPr>
          <w:lang w:val="en-US"/>
        </w:rPr>
        <w:t>, contagion</w:t>
      </w:r>
      <w:r w:rsidR="00AE1207">
        <w:rPr>
          <w:lang w:val="en-US"/>
        </w:rPr>
        <w:t xml:space="preserve"> (CONT)</w:t>
      </w:r>
      <w:r w:rsidR="00B15338" w:rsidRPr="006A2E28">
        <w:rPr>
          <w:lang w:val="en-US"/>
        </w:rPr>
        <w:t xml:space="preserve">, and minimal distance to a </w:t>
      </w:r>
      <w:r w:rsidR="005F6CE8">
        <w:rPr>
          <w:lang w:val="en-US"/>
        </w:rPr>
        <w:t>30%</w:t>
      </w:r>
      <w:r w:rsidR="00B15338" w:rsidRPr="006A2E28">
        <w:rPr>
          <w:lang w:val="en-US"/>
        </w:rPr>
        <w:t xml:space="preserve"> forest-cover threshold</w:t>
      </w:r>
      <w:r w:rsidR="00AE1207">
        <w:rPr>
          <w:lang w:val="en-US"/>
        </w:rPr>
        <w:t xml:space="preserve"> (D30)</w:t>
      </w:r>
      <w:r w:rsidR="00B15338" w:rsidRPr="006A2E28">
        <w:rPr>
          <w:lang w:val="en-US"/>
        </w:rPr>
        <w:t xml:space="preserve">. </w:t>
      </w:r>
      <w:r w:rsidR="00B60EFC">
        <w:rPr>
          <w:lang w:val="en-US"/>
        </w:rPr>
        <w:t>M</w:t>
      </w:r>
      <w:r w:rsidR="00B15338" w:rsidRPr="006A2E28">
        <w:rPr>
          <w:lang w:val="en-US"/>
        </w:rPr>
        <w:t>ean forest cover and contagion were calculated within a 500 m radius as a representative scale to capture local landscape structure relevant to seed dispersal and edge effects</w:t>
      </w:r>
      <w:r w:rsidR="006D2E5B">
        <w:rPr>
          <w:lang w:val="en-US"/>
        </w:rPr>
        <w:t>,</w:t>
      </w:r>
      <w:r w:rsidR="00B15338" w:rsidRPr="006A2E28">
        <w:rPr>
          <w:lang w:val="en-US"/>
        </w:rPr>
        <w:t xml:space="preserve"> while remaining comparable across sites</w:t>
      </w:r>
      <w:r w:rsidR="00B15338" w:rsidRPr="006A2E28">
        <w:rPr>
          <w:lang w:val="en-US"/>
        </w:rPr>
        <w:fldChar w:fldCharType="begin"/>
      </w:r>
      <w:r w:rsidR="00654494">
        <w:rPr>
          <w:lang w:val="en-US"/>
        </w:rPr>
        <w:instrText xml:space="preserve"> ADDIN ZOTERO_ITEM CSL_CITATION {"citationID":"5Jm1YlLE","properties":{"formattedCitation":"\\super 13\\nosupersub{}","plainCitation":"13","noteIndex":0},"citationItems":[{"id":9155,"uris":["http://zotero.org/users/13671732/items/GAFLTRNE"],"itemData":{"id":9155,"type":"article-journal","abstract":"Identifying linkages between biodiversity loss and climate change is required for understanding the scope of these interconnected challenges and developing approaches to address them. One crucial yet underexplored aspect is the influence of seed-dispersing animals on forest carbon storage. Here, we show that 81% of tropical trees rely on animals for seed dispersal and that disruption of this process, due to declines in animal diversity and movement, significantly hampers the carbon accumulation potential of regrowing tropical forests. Using a synthesis of animal biodiversity, movement, and seed dispersal data covering thousands of animal species, we developed an index of seed dispersal disruption and modeled its relationship to carbon accumulation observed across 3,026 tropical regrowth plots. Naturally regrowing areas with lowest seed dispersal disruption had aboveground carbon accumulation rates four times higher than those with most severe disruption. Across areas identified as locations suitable for reforestation, current levels of seed dispersal disruption yield a 57% average reduction in local carbon accumulation potential. Tropical regrowth forests currently represent the largest land-based carbon sink; ongoing animal biodiversity losses diminish their ability to recover naturally from disturbances and therefore threaten their climate mitigation potential. These results advance understanding of animal biodiversity’s impact on carbon dynamics and emphasize the need to address biodiversity loss and climate change together.","container-title":"Proceedings of the National Academy of Sciences","DOI":"10.1073/pnas.2500951122","issue":"30","page":"e2500951122","publisher":"Proceedings of the National Academy of Sciences","source":"pnas.org (Atypon)","title":"Seed dispersal disruption limits tropical forest regrowth","volume":"122","author":[{"family":"Fricke","given":"Evan C."},{"family":"Cook-Patton","given":"Susan C."},{"family":"Harvey","given":"Charles F."},{"family":"Terrer","given":"César"}],"issued":{"date-parts":[["2025",7,29]]}}}],"schema":"https://github.com/citation-style-language/schema/raw/master/csl-citation.json"} </w:instrText>
      </w:r>
      <w:r w:rsidR="00B15338" w:rsidRPr="006A2E28">
        <w:rPr>
          <w:lang w:val="en-US"/>
        </w:rPr>
        <w:fldChar w:fldCharType="separate"/>
      </w:r>
      <w:r w:rsidR="00654494" w:rsidRPr="00654494">
        <w:rPr>
          <w:rFonts w:ascii="Calibri" w:hAnsi="Calibri" w:cs="Calibri"/>
          <w:kern w:val="0"/>
          <w:vertAlign w:val="superscript"/>
        </w:rPr>
        <w:t>13</w:t>
      </w:r>
      <w:r w:rsidR="00B15338" w:rsidRPr="006A2E28">
        <w:rPr>
          <w:lang w:val="en-US"/>
        </w:rPr>
        <w:fldChar w:fldCharType="end"/>
      </w:r>
      <w:r w:rsidR="00B15338" w:rsidRPr="006A2E28">
        <w:rPr>
          <w:lang w:val="en-US"/>
        </w:rPr>
        <w:t>. Contagion quantifies the spatial aggregation of forest cover within a given buffer, with higher values indicating a more clumped and spatially continuous forest pattern and lower values reflecting a more fragmented landscape. It was computed</w:t>
      </w:r>
      <w:r w:rsidR="00B15338" w:rsidRPr="006A2E28">
        <w:rPr>
          <w:lang w:val="en-US"/>
        </w:rPr>
        <w:fldChar w:fldCharType="begin"/>
      </w:r>
      <w:r w:rsidR="005D3703">
        <w:rPr>
          <w:lang w:val="en-US"/>
        </w:rPr>
        <w:instrText xml:space="preserve"> ADDIN ZOTERO_ITEM CSL_CITATION {"citationID":"iEUK9v2T","properties":{"formattedCitation":"\\super 17\\nosupersub{}","plainCitation":"17","noteIndex":0},"citationItems":[{"id":8941,"uris":["http://zotero.org/users/13671732/items/QPUUBBQX"],"itemData":{"id":8941,"type":"article-journal","abstract":"Quantifying landscape characteristics and linking them to ecological processes is one of the central goals of landscape ecology. Landscape metrics are a widely used tool for the analysis of patch-based, discrete land-cover classes. Existing software to calculate landscape metrics has several constraints, such as being limited to a single platform, not being open-source or involving a complicated integration into large workflows. We present landscapemetrics, an open-source R package that overcomes many constraints of existing landscape metric software. The package includes an extensive collection of commonly used landscape metrics in a tidy workflow. To facilitate the integration into large workflows, landscapemetrics is based on a well-established spatial framework in R. This allows pre-processing of land-cover maps or further statistical analysis without importing and exporting the data from and to different software environments. Additionally, the package provides many utility functions to visualize, extract, and sample landscape metrics. Lastly, we provide building-blocks to motivate the development and integration of new metrics in the future. We demonstrate the usage and advantages of landscapemetrics by analysing the influence of different sampling schemes on the estimation of landscape metrics. In so doing, we demonstrate the many advantages of the package, especially its easy integration into large workflows. These new developments should help with the integration of landscape analysis in ecological research, given that ecologists are increasingly using R for the statistical analysis, modelling and visualization of spatial data.","container-title":"Ecography","DOI":"10.1111/ecog.04617","ISSN":"1600-0587","issue":"10","language":"en","license":"© 2019 The Authors. Ecography © 2019 Nordic Society Oikos","note":"_eprint: https://nsojournals.onlinelibrary.wiley.com/doi/pdf/10.1111/ecog.04617","page":"1648-1657","source":"Wiley Online Library","title":"landscapemetrics: an open-source R tool to calculate landscape metrics","title-short":"landscapemetrics","volume":"42","author":[{"family":"Hesselbarth","given":"Maximilian H. K."},{"family":"Sciaini","given":"Marco"},{"family":"With","given":"Kimberly A."},{"family":"Wiegand","given":"Kerstin"},{"family":"Nowosad","given":"Jakub"}],"issued":{"date-parts":[["2019"]]}}}],"schema":"https://github.com/citation-style-language/schema/raw/master/csl-citation.json"} </w:instrText>
      </w:r>
      <w:r w:rsidR="00B15338" w:rsidRPr="006A2E28">
        <w:rPr>
          <w:lang w:val="en-US"/>
        </w:rPr>
        <w:fldChar w:fldCharType="separate"/>
      </w:r>
      <w:r w:rsidR="005D3703" w:rsidRPr="005D3703">
        <w:rPr>
          <w:rFonts w:ascii="Calibri" w:hAnsi="Calibri" w:cs="Calibri"/>
          <w:kern w:val="0"/>
          <w:vertAlign w:val="superscript"/>
        </w:rPr>
        <w:t>17</w:t>
      </w:r>
      <w:r w:rsidR="00B15338" w:rsidRPr="006A2E28">
        <w:rPr>
          <w:lang w:val="en-US"/>
        </w:rPr>
        <w:fldChar w:fldCharType="end"/>
      </w:r>
      <w:r w:rsidR="00B15338" w:rsidRPr="006A2E28">
        <w:rPr>
          <w:lang w:val="en-US"/>
        </w:rPr>
        <w:t xml:space="preserve"> from the tree cover raster by first classifying pixel values into 10 discrete classes of 10% tree cover increments (0–10%, 10–20%, …, 90–100%), then counting how often neighboring pixels (using 8-neighbor connectivity) share the same class, and finally summarizing this spatial adjacency pattern using a Shannon entropy–based index normalized to its theoretical maximum, expressing contagion as a percentage. </w:t>
      </w:r>
      <w:r w:rsidR="002776ED">
        <w:rPr>
          <w:lang w:val="en-US"/>
        </w:rPr>
        <w:t>Lastly</w:t>
      </w:r>
      <w:r w:rsidR="00B60EFC">
        <w:rPr>
          <w:lang w:val="en-US"/>
        </w:rPr>
        <w:t>, t</w:t>
      </w:r>
      <w:r w:rsidR="00B15338" w:rsidRPr="006A2E28">
        <w:rPr>
          <w:lang w:val="en-US"/>
        </w:rPr>
        <w:t xml:space="preserve">he distance metric quantified the shortest distance from each plot to the nearest pixel with at least 30% tree cover. This threshold was selected because it is also applicable in particularly sparse forest landscapes such as miombo woodlands. </w:t>
      </w:r>
      <w:r w:rsidR="002776ED">
        <w:rPr>
          <w:lang w:val="en-US"/>
        </w:rPr>
        <w:t>Finally</w:t>
      </w:r>
      <w:r w:rsidR="001B6E91" w:rsidRPr="7FBDB12C">
        <w:rPr>
          <w:lang w:val="en-US"/>
        </w:rPr>
        <w:t>,</w:t>
      </w:r>
      <w:r w:rsidR="00830C9B" w:rsidRPr="7FBDB12C">
        <w:rPr>
          <w:lang w:val="en-US"/>
        </w:rPr>
        <w:t xml:space="preserve"> while </w:t>
      </w:r>
      <w:r w:rsidR="00760572">
        <w:rPr>
          <w:lang w:val="en-US"/>
        </w:rPr>
        <w:t>high-resolution</w:t>
      </w:r>
      <w:r w:rsidR="005D3703" w:rsidRPr="7FBDB12C">
        <w:rPr>
          <w:lang w:val="en-US"/>
        </w:rPr>
        <w:t xml:space="preserve"> </w:t>
      </w:r>
      <w:r w:rsidR="0023378D" w:rsidRPr="7FBDB12C">
        <w:rPr>
          <w:lang w:val="en-US"/>
        </w:rPr>
        <w:t>data from</w:t>
      </w:r>
      <w:r w:rsidR="00830C9B" w:rsidRPr="7FBDB12C">
        <w:rPr>
          <w:lang w:val="en-US"/>
        </w:rPr>
        <w:t xml:space="preserve"> local soil </w:t>
      </w:r>
      <w:r w:rsidR="0023378D" w:rsidRPr="7FBDB12C">
        <w:rPr>
          <w:lang w:val="en-US"/>
        </w:rPr>
        <w:t>analyses</w:t>
      </w:r>
      <w:r w:rsidR="00830C9B" w:rsidRPr="7FBDB12C">
        <w:rPr>
          <w:lang w:val="en-US"/>
        </w:rPr>
        <w:t xml:space="preserve"> are sparse</w:t>
      </w:r>
      <w:r w:rsidR="0023378D" w:rsidRPr="7FBDB12C">
        <w:rPr>
          <w:lang w:val="en-US"/>
        </w:rPr>
        <w:t xml:space="preserve">, the potential influence of edaphic conditions on </w:t>
      </w:r>
      <w:r w:rsidR="00370865" w:rsidRPr="7FBDB12C">
        <w:rPr>
          <w:lang w:val="en-US"/>
        </w:rPr>
        <w:t>secondary forest recovery should not be</w:t>
      </w:r>
      <w:r w:rsidR="00662CDA" w:rsidRPr="7FBDB12C">
        <w:rPr>
          <w:lang w:val="en-US"/>
        </w:rPr>
        <w:t xml:space="preserve"> </w:t>
      </w:r>
      <w:r w:rsidR="00370865" w:rsidRPr="7FBDB12C">
        <w:rPr>
          <w:lang w:val="en-US"/>
        </w:rPr>
        <w:t>neglected</w:t>
      </w:r>
      <w:r w:rsidR="005D3703" w:rsidRPr="7FBDB12C">
        <w:rPr>
          <w:lang w:val="en-US"/>
        </w:rPr>
        <w:fldChar w:fldCharType="begin"/>
      </w:r>
      <w:r w:rsidR="005D3703" w:rsidRPr="7FBDB12C">
        <w:rPr>
          <w:lang w:val="en-US"/>
        </w:rPr>
        <w:instrText xml:space="preserve"> ADDIN ZOTERO_ITEM CSL_CITATION {"citationID":"xJ75GY1R","properties":{"unsorted":false,"formattedCitation":"\\super 18\\uc0\\u8211{}21\\nosupersub{}","plainCitation":"18–21","noteIndex":0},"citationItems":[{"id":388,"uris":["http://zotero.org/users/13671732/items/WEZXZP48"],"itemData":{"id":388,"type":"article-journal","abstract":"Secondary tropical forests that are in a state of regeneration following clearing for agriculture are now more abundant than primary forests. Yet, despite their large spatial extent and important role in the global carbon (C) cycle, secondary tropical forests are understudied, which challenges our ability to predict how tropical landscapes will respond to future disturbance and global change. We summarize research advances on alterations to C and nutrient dynamics during reforestation and how these are influenced by ecosystem state factors. During forest succession, aboveground biomass stocks and litter fluxes increase in a predictable way, but patterns in soil C dynamics are highly variable. The heterogeneous response of nutrients to reforestation is influenced by multiple factors, including losses incurred during prior land use and management. In contrast to primary tropical forests, where productivity is often limited by rock-derived nutrients, secondary forest growth may be more limited by nutrients from the atmosphere. Future research should identify which nutrients constrain forest regrowth.","container-title":"Annual Review of Ecology, Evolution, and Systematics","DOI":"10.1146/annurev-ecolsys-110316-022944","issue":"1","page":"497-519","publisher":"Annual Reviews","title":"Ecosystem Processes and Biogeochemical Cycles in Secondary Tropical Forest Succession","volume":"48","author":[{"family":"Powers","given":"Jennifer S"},{"family":"Marín-Spiotta","given":"Erika"}],"issued":{"date-parts":[["2017",11]]}}},{"id":798,"uris":["http://zotero.org/users/13671732/items/CJ64294J"],"itemData":{"id":798,"type":"article-journal","abstract":"Secondary forests constitute an increasingly important component of tropical forests worldwide. Although cycling of essential nutrients affects recovery trajectories of secondary forests, the effect of nutrient limitation on forest regrowth is poorly constrained. Here we use three lines of evidence from secondary forest succession sequences in central Africa to identify potential nutrient limitation in regrowing forests. First, we show that atmospheric phosphorus supply exceeds demand along forest succession, whereas forests rely on soil stocks to meet their base cation demands. Second, soil nutrient metrics indicate that available phosphorus increases along the succession, whereas available cations decrease. Finally, fine root, foliar and litter stoichiometry show that tissue calcium concentrations decline relative to those of nitrogen and phosphorus during succession. Taken together, these observations suggest that calcium becomes an increasingly scarce resource in central African forests during secondary succession. Furthermore, ecosystem calcium storage shifts from soil to woody biomass over succession, making it a vulnerable nutrient in the wake of land-use change scenarios that involve woody biomass export. Our results thus call for a broadened focus on elements other than nitrogen and phosphorus regarding tropical forest biogeochemical cycles and identify calcium as a scarce and potentially limiting nutrient in an increasingly disturbed and dynamic tropical forest landscape.","container-title":"Nature Ecology &amp; Evolution","DOI":"10.1038/s41559-022-01810-2","issue":"8","page":"1122-1131","title":"Increasing calcium scarcity along Afrotropical forest succession","volume":"6","author":[{"family":"Bauters","given":"Marijn"},{"family":"Janssens","given":"Ivan A"},{"family":"Wasner","given":"Daniel"},{"family":"Doetterl","given":"Sebastian"},{"family":"Vermeir","given":"Pieter"},{"family":"Griepentrog","given":"Marco"},{"family":"Drake","given":"Travis W"},{"family":"Six","given":"Johan"},{"family":"Barthel","given":"Matti"},{"family":"Baumgartner","given":"Simon"},{"family":"Van Oost","given":"Kristof"},{"family":"Makelele","given":"Isaac A"},{"family":"Ewango","given":"Corneille"},{"family":"Verheyen","given":"Kris"},{"family":"Boeckx","given":"Pascal"}],"issued":{"date-parts":[["2022"]]}}},{"id":9172,"uris":["http://zotero.org/users/13671732/items/JH8AWC66"],"itemData":{"id":9172,"type":"article-journal","abstract":"Young tropical secondary forests play an important role in the local and global carbon cycles because of their large area and rapid biomass accumulation rates. This study examines how environmental conditions and forest attributes shape biomass compartments and the productivity of young tropical secondary forests. We compared 36 young secondary forest stands that differed in the time since agricultural land abandonment (2.3–3.6 years) from dry and wet regions in Ghana. We quantified biomass stocks in living and dead stems, roots, and soil, and aboveground biomass and litter productivity. We used structural equation models to evaluate how macroclimate, soil nutrients (N, P), and forest attributes (structure, diversity, and functional composition) affect ecosystem functioning. After three years of succession, tropical wet forests stored on average 115 t biomass ha−1 (the sum of aboveground living and dead biomass, belowground fine root biomass, and soil organic matter), and dry forests stored 99 t ha−1. These values represent 31% (in the wet forest) and 39% (in the dry forest) of the biomass compared with neighboring old-growth forests. The majority of forest ecosystem biomass was stored in the soil (70%) and aboveground living vegetation (25%). Macroclimate strongly shaped forest attributes, which in turn determined biomass stocks and productivity. Soil phosphorus strongly increased litter production and soil organic matter, confirming that it is a limiting element in tropical ecosystems. Tree density and species diversity increased forest biomass stocks, suggesting crown packing and complementary resource use enhance forest functioning. A more conservative trait composition (high wood density) increased biomass stocks but reduced productivity, indicating that quantity, identity, and quality of species affect ecosystem functioning.","container-title":"Ecology","DOI":"10.1002/ecy.4488","ISSN":"1939-9170","issue":"1","language":"en","license":"© 2024 The Author(s). Ecology published by Wiley Periodicals LLC on behalf of The Ecological Society of America.","note":"_eprint: https://esajournals.onlinelibrary.wiley.com/doi/pdf/10.1002/ecy.4488","page":"e4488","source":"Wiley Online Library","title":"Drivers of biomass stocks and productivity of tropical secondary forests","volume":"106","author":[{"family":"Matsuo","given":"Tomonari"},{"family":"Poorter","given":"Lourens"},{"family":"Sande","given":"Masha T.","non-dropping-particle":"van der"},{"family":"Mohammed Abdul","given":"Salim"},{"family":"Koyiba","given":"Dieudonne Wedaga"},{"family":"Opoku","given":"Justice"},{"family":"Wit","given":"Bas","non-dropping-particle":"de"},{"family":"Kuzee","given":"Tijs"},{"family":"Amissah","given":"Lucy"}],"issued":{"date-parts":[["2025"]]}}},{"id":1927,"uris":["http://zotero.org/users/13671732/items/77QYN6YX"],"itemData":{"id":1927,"type":"article-journal","abstract":"Secondary forests are increasingly important components of human-modified landscapes in the tropics. Successional pathways, however, can vary enormously across and within landscapes, with divergent regrowth rates, vegetation structure and species composition. While climatic and edaphic conditions drive variations across regions, land-use history plays a central role in driving alternative successional pathways within human-modified landscapes. How land use affects succession depends on its intensity, spatial extent, frequency, duration and management practices, and is mediated by a complex combination of mechanisms acting on different ecosystem components and at different spatial and temporal scales. We review the literature aiming to provide a comprehensive understanding of the mechanisms underlying the long-lasting effects of land use on tropical forest succession and to discuss its implications for forest restoration. We organize it following a framework based on the hierarchical model of succession and ecological filtering theory. This review shows that our knowledge is mostly derived from studies in Neotropical forests regenerating after abandonment of shifting cultivation or pasture systems. Vegetation is the ecological component assessed most often. Little is known regarding how the recovery of belowground processes and microbiota communities is affected by previous land-use history. In published studies, land-use history has been mostly characterized by type, without discrimination of intensity, extent, duration or frequency. We compile and discuss the metrics used to describe land-use history, aiming to facilitate future studies. The literature shows that (i) species availability to succession is affected by transformations in the landscape that affect dispersal, and by management practices and seed predation, which affect the composition and diversity of propagules on site. Once a species successfully reaches an abandoned field, its establishment and performance are dependent on resistance to management practices, tolerance to (modified) soil conditions, herbivory, competition with weeds and invasive species, and facilitation by remnant trees. (ii) Structural and compositional divergences at early stages of succession remain for decades, suggesting that early communities play an important role in governing further ecosystem functioning and processes during succession. Management interventions at early stages could help enhance recovery rates and manipulate successional pathways. (iii) The combination of local and landscape conditions defines the limitations to succession and therefore the potential for natural regeneration to restore ecosystem properties effectively. The knowledge summarized here could enable the identification of conditions in which natural regeneration could efficiently promote forest restoration, and where specific management practices are required to foster succession. Finally, characterization of the landscape context and previous land-use history is essential to understand the limitations to succession and therefore to define cost-effective restoration strategies. Advancing knowledge on these two aspects is key for finding generalizable relations that will increase the predictability of succession and the efficiency of forest restoration under different landscape contexts.","container-title":"Biological Reviews","DOI":"10.1111/brv.12694","ISSN":"1469-185X","issue":"4","language":"en","license":"© 2021 The Authors. Biological Reviews published by John Wiley &amp; Sons Ltd on behalf of Cambridge Philosophical Society.","note":"_eprint: https://onlinelibrary.wiley.com/doi/pdf/10.1111/brv.12694","page":"1114-1134","source":"Wiley Online Library","title":"The role of land-use history in driving successional pathways and its implications for the restoration of tropical forests","volume":"96","author":[{"family":"Jakovac","given":"Catarina C."},{"family":"Junqueira","given":"André B."},{"family":"Crouzeilles","given":"Renato"},{"family":"Peña-Claros","given":"Marielos"},{"family":"Mesquita","given":"Rita C. G."},{"family":"Bongers","given":"Frans"}],"issued":{"date-parts":[["2021"]]}}}],"schema":"https://github.com/citation-style-language/schema/raw/master/csl-citation.json"} </w:instrText>
      </w:r>
      <w:r w:rsidR="005D3703" w:rsidRPr="7FBDB12C">
        <w:rPr>
          <w:lang w:val="en-US"/>
        </w:rPr>
        <w:fldChar w:fldCharType="separate"/>
      </w:r>
      <w:r w:rsidR="005D3703" w:rsidRPr="005D3703">
        <w:rPr>
          <w:rFonts w:ascii="Calibri" w:hAnsi="Calibri" w:cs="Calibri"/>
          <w:kern w:val="0"/>
          <w:vertAlign w:val="superscript"/>
        </w:rPr>
        <w:t>18–21</w:t>
      </w:r>
      <w:r w:rsidR="005D3703" w:rsidRPr="7FBDB12C">
        <w:rPr>
          <w:lang w:val="en-US"/>
        </w:rPr>
        <w:fldChar w:fldCharType="end"/>
      </w:r>
      <w:r w:rsidR="00370865" w:rsidRPr="7FBDB12C">
        <w:rPr>
          <w:lang w:val="en-US"/>
        </w:rPr>
        <w:t xml:space="preserve">. </w:t>
      </w:r>
      <w:r w:rsidR="00911E97" w:rsidRPr="7FBDB12C">
        <w:rPr>
          <w:lang w:val="en-US"/>
        </w:rPr>
        <w:t>Therefore</w:t>
      </w:r>
      <w:r w:rsidR="00370865" w:rsidRPr="7FBDB12C">
        <w:rPr>
          <w:lang w:val="en-US"/>
        </w:rPr>
        <w:t>, we included soil pH-H</w:t>
      </w:r>
      <w:r w:rsidR="00370865" w:rsidRPr="7FBDB12C">
        <w:rPr>
          <w:vertAlign w:val="subscript"/>
          <w:lang w:val="en-US"/>
        </w:rPr>
        <w:t>2</w:t>
      </w:r>
      <w:r w:rsidR="00370865" w:rsidRPr="7FBDB12C">
        <w:rPr>
          <w:lang w:val="en-US"/>
        </w:rPr>
        <w:t xml:space="preserve">O </w:t>
      </w:r>
      <w:r w:rsidR="00662CDA" w:rsidRPr="7FBDB12C">
        <w:rPr>
          <w:lang w:val="en-US"/>
        </w:rPr>
        <w:t xml:space="preserve">of </w:t>
      </w:r>
      <w:r w:rsidR="00662CDA" w:rsidRPr="006A2E28">
        <w:rPr>
          <w:lang w:val="en-US"/>
        </w:rPr>
        <w:t>the upper 0–20 cm soil layer</w:t>
      </w:r>
      <w:r w:rsidR="00662CDA">
        <w:rPr>
          <w:lang w:val="en-US"/>
        </w:rPr>
        <w:t xml:space="preserve"> as a </w:t>
      </w:r>
      <w:r w:rsidR="00D72CDD">
        <w:rPr>
          <w:lang w:val="en-US"/>
        </w:rPr>
        <w:t>‘</w:t>
      </w:r>
      <w:r w:rsidR="00662CDA">
        <w:rPr>
          <w:lang w:val="en-US"/>
        </w:rPr>
        <w:t xml:space="preserve">master </w:t>
      </w:r>
      <w:r w:rsidR="00D72CDD">
        <w:rPr>
          <w:lang w:val="en-US"/>
        </w:rPr>
        <w:t>soil</w:t>
      </w:r>
      <w:r w:rsidR="00662CDA">
        <w:rPr>
          <w:lang w:val="en-US"/>
        </w:rPr>
        <w:t xml:space="preserve"> variable</w:t>
      </w:r>
      <w:r w:rsidR="002776ED">
        <w:rPr>
          <w:lang w:val="en-US"/>
        </w:rPr>
        <w:t>,</w:t>
      </w:r>
      <w:r w:rsidR="00D72CDD">
        <w:rPr>
          <w:lang w:val="en-US"/>
        </w:rPr>
        <w:t>’</w:t>
      </w:r>
      <w:r w:rsidR="004C662D">
        <w:rPr>
          <w:lang w:val="en-US"/>
        </w:rPr>
        <w:fldChar w:fldCharType="begin"/>
      </w:r>
      <w:r w:rsidR="004C662D">
        <w:rPr>
          <w:lang w:val="en-US"/>
        </w:rPr>
        <w:instrText xml:space="preserve"> ADDIN ZOTERO_ITEM CSL_CITATION {"citationID":"drJtfRi3","properties":{"unsorted":false,"formattedCitation":"\\super 22\\nosupersub{}","plainCitation":"22","noteIndex":0},"citationItems":[{"id":9175,"uris":["http://zotero.org/users/13671732/items/CIIJ8Y22"],"itemData":{"id":9175,"type":"article-journal","abstract":"In the natural environment, soil pH has an enormous influence on soil biogeochemical processes. Soil pH is, therefore, described as the “master soil variable” that influences myriads of soil biological, chemical, and physical properties and processes that affect plant growth and biomass yield. This paper discusses how soil pH affects processes that are interlinked with the biological, geological, and chemical aspects of the soil environment as well as how these processes, through anthropogenic interventions, induce changes in soil pH. Unlike traditional discussions on the various causes of soil pH, particularly soil acidification, this paper focuses on relationships and effects as far as soil biogeochemistry is concerned. Firstly, the effects of soil pH on substance availability, mobility, and soil biological processes are discussed followed by the biogenic regulation of soil pH. It is concluded that soil pH can broadly be applied in two broad areas, i.e., nutrient cycling and plant nutrition and soil remediation (bioremediation and physicochemical remediation).","container-title":"Applied and Environmental Soil Science","DOI":"10.1155/2019/5794869","ISSN":"1687-7675","issue":"1","language":"en","license":"Copyright © 2019 Dora Neina.","note":"_eprint: https://onlinelibrary.wiley.com/doi/pdf/10.1155/2019/5794869","page":"5794869","source":"Wiley Online Library","title":"The Role of Soil pH in Plant Nutrition and Soil Remediation","volume":"2019","author":[{"family":"Neina","given":"Dora"}],"issued":{"date-parts":[["2019"]]}}}],"schema":"https://github.com/citation-style-language/schema/raw/master/csl-citation.json"} </w:instrText>
      </w:r>
      <w:r w:rsidR="004C662D">
        <w:rPr>
          <w:lang w:val="en-US"/>
        </w:rPr>
        <w:fldChar w:fldCharType="separate"/>
      </w:r>
      <w:r w:rsidR="004C662D" w:rsidRPr="004C662D">
        <w:rPr>
          <w:rFonts w:ascii="Calibri" w:hAnsi="Calibri" w:cs="Calibri"/>
          <w:kern w:val="0"/>
          <w:vertAlign w:val="superscript"/>
        </w:rPr>
        <w:t>22</w:t>
      </w:r>
      <w:r w:rsidR="004C662D">
        <w:rPr>
          <w:lang w:val="en-US"/>
        </w:rPr>
        <w:fldChar w:fldCharType="end"/>
      </w:r>
      <w:r w:rsidR="00662CDA">
        <w:rPr>
          <w:lang w:val="en-US"/>
        </w:rPr>
        <w:t xml:space="preserve"> e</w:t>
      </w:r>
      <w:r w:rsidR="005F6CE8" w:rsidRPr="006A2E28">
        <w:rPr>
          <w:lang w:val="en-US"/>
        </w:rPr>
        <w:t>xtracted from 30 m spatial resolution maps</w:t>
      </w:r>
      <w:r w:rsidR="005F6CE8" w:rsidRPr="006A2E28">
        <w:rPr>
          <w:lang w:val="en-US"/>
        </w:rPr>
        <w:fldChar w:fldCharType="begin"/>
      </w:r>
      <w:r w:rsidR="004C662D">
        <w:rPr>
          <w:lang w:val="en-US"/>
        </w:rPr>
        <w:instrText xml:space="preserve"> ADDIN ZOTERO_ITEM CSL_CITATION {"citationID":"DFFUcmmj","properties":{"formattedCitation":"\\super 23\\nosupersub{}","plainCitation":"23","noteIndex":0},"citationItems":[{"id":1210,"uris":["http://zotero.org/users/13671732/items/Q3HWGT4D"],"itemData":{"id":1210,"type":"article-journal","abstract":"Soil property and class maps for the continent of Africa were so far only available at very generalised scales, with many countries not mapped at all. Thanks to an increasing quantity and availability of soil samples collected at field point locations by various government and/or NGO funded projects, it is now possible to produce detailed pan-African maps of soil nutrients, including micro-nutrients at fine spatial resolutions. In this paper we describe production of a 30 m resolution Soil Information System of the African continent using, to date, the most comprehensive compilation of soil samples ($$N \\approx 150,000$$) and Earth Observation data. We produced predictions for soil pH, organic carbon (C) and total nitrogen (N), total carbon, effective Cation Exchange Capacity (eCEC), extractable—phosphorus (P), potassium (K), calcium (Ca), magnesium (Mg), sulfur (S), sodium (Na), iron (Fe), zinc (Zn)—silt, clay and sand, stone content, bulk density and depth to bedrock, at three depths (0, 20 and 50 cm) and using 2-scale 3D Ensemble Machine Learning framework implemented in the mlr (Machine Learning in R) package. As covariate layers we used 250 m resolution (MODIS, PROBA-V and SM2RAIN products), and 30 m resolution (Sentinel-2, Landsat and DTM derivatives) images. Our fivefold spatial Cross-Validation results showed varying accuracy levels ranging from the best performing soil pH (CCC = 0.900) to more poorly predictable extractable phosphorus (CCC = 0.654) and sulphur (CCC = 0.708) and depth to bedrock. Sentinel-2 bands SWIR (B11, B12), NIR (B09, B8A), Landsat SWIR bands, and vertical depth derived from 30 m resolution DTM, were the overall most important 30 m resolution covariates. Climatic data images—SM2RAIN, bioclimatic variables and MODIS Land Surface Temperature—however, remained as the overall most important variables for predicting soil chemical variables at continental scale. This publicly available 30-m Soil Information System of Africa aims at supporting numerous applications, including soil and fertilizer policies and investments, agronomic advice to close yield gaps, environmental programs, or targeting of nutrition interventions.","container-title":"Scientific Reports","DOI":"10.1038/s41598-021-85639-y","ISSN":"2045-2322","issue":"1","journalAbbreviation":"Sci Rep","language":"en","license":"2021 The Author(s)","page":"6130","publisher":"Nature Publishing Group","source":"www.nature.com","title":"African soil properties and nutrients mapped at 30 m spatial resolution using two-scale ensemble machine learning","volume":"11","author":[{"family":"Hengl","given":"Tomislav"},{"family":"Miller","given":"Matthew A. E."},{"family":"Križan","given":"Josip"},{"family":"Shepherd","given":"Keith D."},{"family":"Sila","given":"Andrew"},{"family":"Kilibarda","given":"Milan"},{"family":"Antonijević","given":"Ognjen"},{"family":"Glušica","given":"Luka"},{"family":"Dobermann","given":"Achim"},{"family":"Haefele","given":"Stephan M."},{"family":"McGrath","given":"Steve P."},{"family":"Acquah","given":"Gifty E."},{"family":"Collinson","given":"Jamie"},{"family":"Parente","given":"Leandro"},{"family":"Sheykhmousa","given":"Mohammadreza"},{"family":"Saito","given":"Kazuki"},{"family":"Johnson","given":"Jean-Martial"},{"family":"Chamberlin","given":"Jordan"},{"family":"Silatsa","given":"Francis B. T."},{"family":"Yemefack","given":"Martin"},{"family":"Wendt","given":"John"},{"family":"MacMillan","given":"Robert A."},{"family":"Wheeler","given":"Ichsani"},{"family":"Crouch","given":"Jonathan"}],"issued":{"date-parts":[["2021",3,17]]}}}],"schema":"https://github.com/citation-style-language/schema/raw/master/csl-citation.json"} </w:instrText>
      </w:r>
      <w:r w:rsidR="005F6CE8" w:rsidRPr="006A2E28">
        <w:rPr>
          <w:lang w:val="en-US"/>
        </w:rPr>
        <w:fldChar w:fldCharType="separate"/>
      </w:r>
      <w:r w:rsidR="004C662D" w:rsidRPr="004C662D">
        <w:rPr>
          <w:rFonts w:ascii="Calibri" w:hAnsi="Calibri" w:cs="Calibri"/>
          <w:kern w:val="0"/>
          <w:vertAlign w:val="superscript"/>
        </w:rPr>
        <w:t>23</w:t>
      </w:r>
      <w:r w:rsidR="005F6CE8" w:rsidRPr="006A2E28">
        <w:rPr>
          <w:lang w:val="en-US"/>
        </w:rPr>
        <w:fldChar w:fldCharType="end"/>
      </w:r>
      <w:r w:rsidR="005F6CE8" w:rsidRPr="006A2E28">
        <w:rPr>
          <w:lang w:val="en-US"/>
        </w:rPr>
        <w:t xml:space="preserve">. </w:t>
      </w:r>
    </w:p>
    <w:p w14:paraId="6C22858D" w14:textId="036A53A2" w:rsidR="00866170" w:rsidRDefault="00866170" w:rsidP="00662CDA">
      <w:pPr>
        <w:jc w:val="both"/>
        <w:rPr>
          <w:rFonts w:eastAsiaTheme="minorEastAsia" w:cstheme="minorHAnsi"/>
          <w:i/>
          <w:iCs/>
          <w:lang w:val="en-US"/>
        </w:rPr>
      </w:pPr>
      <w:r w:rsidRPr="00C519E9">
        <w:rPr>
          <w:rFonts w:eastAsiaTheme="minorEastAsia" w:cstheme="minorHAnsi"/>
          <w:i/>
          <w:iCs/>
          <w:lang w:val="en-US"/>
        </w:rPr>
        <w:t>Predictor selection</w:t>
      </w:r>
    </w:p>
    <w:p w14:paraId="0851979D" w14:textId="68C02AEC" w:rsidR="0017208E" w:rsidRDefault="00470D57" w:rsidP="00470D57">
      <w:pPr>
        <w:spacing w:line="276" w:lineRule="auto"/>
        <w:jc w:val="both"/>
        <w:rPr>
          <w:rFonts w:cstheme="minorHAnsi"/>
          <w:lang w:val="en-US"/>
        </w:rPr>
      </w:pPr>
      <w:r w:rsidRPr="00470D57">
        <w:rPr>
          <w:rFonts w:cstheme="minorHAnsi"/>
          <w:lang w:val="en-US"/>
        </w:rPr>
        <w:t>To reduce the risk of overfitting and construct parsimonious models with reduced predictor redundancy</w:t>
      </w:r>
      <w:r>
        <w:rPr>
          <w:rFonts w:cstheme="minorHAnsi"/>
          <w:lang w:val="en-US"/>
        </w:rPr>
        <w:t xml:space="preserve"> and multicollinearity</w:t>
      </w:r>
      <w:r w:rsidRPr="00470D57">
        <w:rPr>
          <w:rFonts w:cstheme="minorHAnsi"/>
          <w:lang w:val="en-US"/>
        </w:rPr>
        <w:t>, we reduced the predictor set using projection predictive variable selection</w:t>
      </w:r>
      <w:r>
        <w:rPr>
          <w:rFonts w:cstheme="minorHAnsi"/>
          <w:lang w:val="en-US"/>
        </w:rPr>
        <w:fldChar w:fldCharType="begin"/>
      </w:r>
      <w:r>
        <w:rPr>
          <w:rFonts w:cstheme="minorHAnsi"/>
          <w:lang w:val="en-US"/>
        </w:rPr>
        <w:instrText xml:space="preserve"> ADDIN ZOTERO_ITEM CSL_CITATION {"citationID":"FYDBGOoM","properties":{"unsorted":false,"formattedCitation":"\\super 24\\uc0\\u8211{}26\\nosupersub{}","plainCitation":"24–26","noteIndex":0},"citationItems":[{"id":9180,"uris":["http://zotero.org/users/13671732/items/NQ52XTMA"],"itemData":{"id":9180,"type":"article-journal","abstract":"This paper reviews predictive inference and feature selection for generalized linear models with scarce but high-dimensional data. We demonstrate that in many cases one can benefit from a decision theoretically justified two-stage approach: first, construct a possibly non-sparse model that predicts well, and then find a minimal subset of features that characterize the predictions. The model built in the first step is referred to as the reference model and the operation during the latter step as predictive projection. The key characteristic of this approach is that it finds an excellent tradeoff between sparsity and predictive accuracy, and the gain comes from utilizing all available information including prior and that coming from the left out features. We review several methods that follow this principle and provide novel methodological contributions. We present a new projection technique that unifies two existing techniques and is both accurate and fast to compute. We also propose a way of evaluating the feature selection process using fast leave-one-out cross-validation that allows for easy and intuitive model size selection. Furthermore, we prove a theorem that helps to understand the conditions under which the projective approach could be beneficial. The key ideas are illustrated via several experiments using simulated and real world data.","container-title":"Electronic Journal of Statistics","DOI":"10.1214/20-EJS1711","ISSN":"1935-7524, 1935-7524","issue":"1","language":"en","page":"2155-2197","publisher":"Institute of Mathematical Statistics and Bernoulli Society","source":"Project Euclid","title":"Projective inference in high-dimensional problems: Prediction and feature selection","title-short":"Projective inference in high-dimensional problems","volume":"14","author":[{"family":"Piironen","given":"Juho"},{"family":"Paasiniemi","given":"Markus"},{"family":"Vehtari","given":"Aki"}],"issued":{"date-parts":[["2020",1]]}}},{"id":9182,"uris":["http://zotero.org/users/13671732/items/UXRNPRDD"],"itemData":{"id":9182,"type":"article-journal","abstract":"The goal of this paper is to compare several widely used Bayesian model selection methods in practical model selection problems, highlight their differences and give recommendations about the preferred approaches. We focus on the variable subset selection for regression and classification and perform several numerical experiments using both simulated and real world data. The results show that the optimization of a utility estimate such as the cross-validation (CV) score is liable to finding overfitted models due to relatively high variance in the utility estimates when the data is scarce. This can also lead to substantial selection induced bias and optimism in the performance evaluation for the selected model. From a predictive viewpoint, best results are obtained by accounting for model uncertainty by forming the full encompassing model, such as the Bayesian model averaging solution over the candidate models. If the encompassing model is too complex, it can be robustly simplified by the projection method, in which the information of the full model is projected onto the submodels. This approach is substantially less prone to overfitting than selection based on CV-score. Overall, the projection method appears to outperform also the maximum a posteriori model and the selection of the most probable variables. The study also demonstrates that the model selection can greatly benefit from using cross-validation outside the searching process both for guiding the model size selection and assessing the predictive performance of the finally selected model.","container-title":"Statistics and Computing","DOI":"10.1007/s11222-016-9649-y","ISSN":"1573-1375","issue":"3","journalAbbreviation":"Stat Comput","language":"en","page":"711-735","source":"Springer Link","title":"Comparison of Bayesian predictive methods for model selection","volume":"27","author":[{"family":"Piironen","given":"Juho"},{"family":"Vehtari","given":"Aki"}],"issued":{"date-parts":[["2017",5,1]]}}},{"id":9178,"uris":["http://zotero.org/users/13671732/items/NZES2TZQ"],"itemData":{"id":9178,"type":"article-journal","abstract":"The concepts of Bayesian prediction, model comparison, and model selection have developed significantly over the last decade. As a result, the Bayesian community has witnessed a rapid growth in theoretical and applied contributions to building and selecting predictive models. Projection predictive inference in particular has shown promise to this end, finding application across a broad range of fields. It is less prone to over-fitting than naïve selection based purely on cross-validation or information criteria performance metrics, and has been known to out-perform other methods in terms of predictive performance. We survey the core concept and contemporary contributions to projection predictive inference, and present a safe, efficient, and modular workflow for prediction-oriented model selection therein. We also provide an interpretation of the projected posteriors achieved by projection predictive inference in terms of their limitations in causal settings.","container-title":"Statistical Science","DOI":"10.1214/24-STS949","ISSN":"0883-4237, 2168-8745","issue":"1","language":"en","page":"128-147","publisher":"Institute of Mathematical Statistics","source":"Project Euclid","title":"Advances in Projection Predictive Inference","volume":"40","author":[{"family":"McLatchie","given":"Yann"},{"family":"Rögnvaldsson","given":"Sölvi"},{"family":"Weber","given":"Frank"},{"family":"Vehtari","given":"Aki"}],"issued":{"date-parts":[["2025",1]]}}}],"schema":"https://github.com/citation-style-language/schema/raw/master/csl-citation.json"} </w:instrText>
      </w:r>
      <w:r>
        <w:rPr>
          <w:rFonts w:cstheme="minorHAnsi"/>
          <w:lang w:val="en-US"/>
        </w:rPr>
        <w:fldChar w:fldCharType="separate"/>
      </w:r>
      <w:r w:rsidRPr="00293EE0">
        <w:rPr>
          <w:rFonts w:ascii="Calibri" w:hAnsi="Calibri" w:cs="Calibri"/>
          <w:kern w:val="0"/>
          <w:vertAlign w:val="superscript"/>
        </w:rPr>
        <w:t>24–26</w:t>
      </w:r>
      <w:r>
        <w:rPr>
          <w:rFonts w:cstheme="minorHAnsi"/>
          <w:lang w:val="en-US"/>
        </w:rPr>
        <w:fldChar w:fldCharType="end"/>
      </w:r>
      <w:r w:rsidRPr="00470D57">
        <w:rPr>
          <w:rFonts w:cstheme="minorHAnsi"/>
          <w:lang w:val="en-US"/>
        </w:rPr>
        <w:t>, as implemented in</w:t>
      </w:r>
      <w:r w:rsidR="00EE70D3">
        <w:rPr>
          <w:rFonts w:cstheme="minorHAnsi"/>
          <w:lang w:val="en-US"/>
        </w:rPr>
        <w:t xml:space="preserve"> the</w:t>
      </w:r>
      <w:r w:rsidRPr="00470D57">
        <w:rPr>
          <w:rFonts w:cstheme="minorHAnsi"/>
          <w:lang w:val="en-US"/>
        </w:rPr>
        <w:t xml:space="preserve"> </w:t>
      </w:r>
      <w:r w:rsidR="00E26857" w:rsidRPr="00E26857">
        <w:rPr>
          <w:rFonts w:cstheme="minorHAnsi"/>
          <w:i/>
          <w:iCs/>
          <w:lang w:val="en-US"/>
        </w:rPr>
        <w:t>cv_varsel</w:t>
      </w:r>
      <w:r w:rsidR="00E26857">
        <w:rPr>
          <w:rFonts w:cstheme="minorHAnsi"/>
          <w:lang w:val="en-US"/>
        </w:rPr>
        <w:t xml:space="preserve"> function of </w:t>
      </w:r>
      <w:r w:rsidRPr="00470D57">
        <w:rPr>
          <w:rFonts w:cstheme="minorHAnsi"/>
          <w:lang w:val="en-US"/>
        </w:rPr>
        <w:t xml:space="preserve">the </w:t>
      </w:r>
      <w:r w:rsidRPr="00470D57">
        <w:rPr>
          <w:rFonts w:cstheme="minorHAnsi"/>
          <w:i/>
          <w:iCs/>
          <w:lang w:val="en-US"/>
        </w:rPr>
        <w:t>projpred</w:t>
      </w:r>
      <w:r w:rsidRPr="00470D57">
        <w:rPr>
          <w:rFonts w:cstheme="minorHAnsi"/>
          <w:lang w:val="en-US"/>
        </w:rPr>
        <w:t xml:space="preserve"> package (version 2.10.0)</w:t>
      </w:r>
      <w:r>
        <w:rPr>
          <w:rFonts w:cstheme="minorHAnsi"/>
          <w:lang w:val="en-US"/>
        </w:rPr>
        <w:fldChar w:fldCharType="begin"/>
      </w:r>
      <w:r>
        <w:rPr>
          <w:rFonts w:cstheme="minorHAnsi"/>
          <w:lang w:val="en-US"/>
        </w:rPr>
        <w:instrText xml:space="preserve"> ADDIN ZOTERO_ITEM CSL_CITATION {"citationID":"E1tTmcE3","properties":{"unsorted":false,"formattedCitation":"\\super 27\\nosupersub{}","plainCitation":"27","noteIndex":0},"citationItems":[{"id":9167,"uris":["http://zotero.org/users/13671732/items/QFE9AS69"],"itemData":{"id":9167,"type":"software","abstract":"Performs projection predictive feature selection for generalized linear models (Piironen, Paasiniemi, and Vehtari, 2020, &lt;doi:10.1214/20-EJS1711&gt;) with or without multilevel or additive terms (Catalina, Bürkner, and Vehtari, 2022, &lt;https://proceedings.mlr.press/v151/catalina22a.html&gt;), for some ordinal and nominal regression models (Weber, Glass, and Vehtari, 2025, &lt;doi:10.1007/s00180-024-01506-0&gt;), and for many other regression models (using the latent projection by Catalina, Bürkner, and Vehtari, 2021, &lt;doi:10.48550/arXiv.2109.04702&gt;, which can also be applied to most of the former models). The package is compatible with the 'rstanarm' and 'brms' packages, but other reference models can also be used. See the vignettes and the documentation for more information and examples.","license":"GPL-3 | file LICENSE","source":"R-Packages","title":"projpred: Projection Predictive Feature Selection","title-short":"projpred","URL":"https://cran.r-project.org/web/packages/projpred/index.html","version":"2.10.0","author":[{"family":"Piironen","given":"Juho"},{"family":"Paasiniemi","given":"Markus"},{"family":"Catalina","given":"Alejandro"},{"family":"Weber","given":"Frank"},{"family":"Martin","given":"Osvaldo"},{"family":"Vehtari","given":"Aki"},{"family":"Gabry","given":"Jonah"},{"family":"Colombo","given":"Marco"},{"family":"Bürkner","given":"Paul-Christian"},{"family":"Badr","given":"Hamada S."},{"family":"Sullivan","given":"Brian"},{"family":"Rögnvaldsson","given":"Sölvi"},{"family":"details)","given":"The LME4 Authors (see file 'LICENSE'","dropping-particle":"for"},{"family":"McLatchie","given":"Yann"},{"family":"Timonen","given":"Juho"}],"accessed":{"date-parts":[["2026",5,15]]},"issued":{"date-parts":[["2025",12,6]]}}}],"schema":"https://github.com/citation-style-language/schema/raw/master/csl-citation.json"} </w:instrText>
      </w:r>
      <w:r>
        <w:rPr>
          <w:rFonts w:cstheme="minorHAnsi"/>
          <w:lang w:val="en-US"/>
        </w:rPr>
        <w:fldChar w:fldCharType="separate"/>
      </w:r>
      <w:r w:rsidRPr="00293EE0">
        <w:rPr>
          <w:rFonts w:ascii="Calibri" w:hAnsi="Calibri" w:cs="Calibri"/>
          <w:kern w:val="0"/>
          <w:vertAlign w:val="superscript"/>
        </w:rPr>
        <w:t>27</w:t>
      </w:r>
      <w:r>
        <w:rPr>
          <w:rFonts w:cstheme="minorHAnsi"/>
          <w:lang w:val="en-US"/>
        </w:rPr>
        <w:fldChar w:fldCharType="end"/>
      </w:r>
      <w:r w:rsidRPr="00470D57">
        <w:rPr>
          <w:rFonts w:cstheme="minorHAnsi"/>
          <w:lang w:val="en-US"/>
        </w:rPr>
        <w:t xml:space="preserve">. This approach </w:t>
      </w:r>
      <w:r w:rsidR="009C4413">
        <w:rPr>
          <w:rFonts w:cstheme="minorHAnsi"/>
          <w:lang w:val="en-US"/>
        </w:rPr>
        <w:t>searches for the</w:t>
      </w:r>
      <w:r w:rsidRPr="00470D57">
        <w:rPr>
          <w:rFonts w:cstheme="minorHAnsi"/>
          <w:lang w:val="en-US"/>
        </w:rPr>
        <w:t xml:space="preserve"> minimal subset of predictors, starting from a full reference model, </w:t>
      </w:r>
      <w:r w:rsidR="009C4413">
        <w:rPr>
          <w:rFonts w:cstheme="minorHAnsi"/>
          <w:lang w:val="en-US"/>
        </w:rPr>
        <w:t xml:space="preserve">that </w:t>
      </w:r>
      <w:r w:rsidRPr="00470D57">
        <w:rPr>
          <w:rFonts w:cstheme="minorHAnsi"/>
          <w:lang w:val="en-US"/>
        </w:rPr>
        <w:t>achieves predictive performance close to that of the full model</w:t>
      </w:r>
      <w:r w:rsidR="00954052">
        <w:rPr>
          <w:rFonts w:cstheme="minorHAnsi"/>
          <w:lang w:val="en-US"/>
        </w:rPr>
        <w:t>.</w:t>
      </w:r>
      <w:r w:rsidR="009C4413">
        <w:rPr>
          <w:rFonts w:cstheme="minorHAnsi"/>
          <w:lang w:val="en-US"/>
        </w:rPr>
        <w:t xml:space="preserve"> </w:t>
      </w:r>
      <w:r w:rsidRPr="00470D57">
        <w:rPr>
          <w:rFonts w:cstheme="minorHAnsi"/>
          <w:lang w:val="en-US"/>
        </w:rPr>
        <w:t xml:space="preserve">Rather than searching for a single “true” model, projection predictive selection projects the predictive information contained in the full reference model onto progressively smaller submodels, adding predictors sequentially and identifying at each step the submodel that best preserves the predictive utility of the reference model. Because submodel selection is anchored to the regularized predictions of the full model rather than repeatedly refitting models directly to the observed outcomes, the approach is generally less prone to overfitting than classical stepwise selection procedures. </w:t>
      </w:r>
    </w:p>
    <w:p w14:paraId="201AD867" w14:textId="74680E09" w:rsidR="00D97DAC" w:rsidRDefault="00732F34" w:rsidP="00470D57">
      <w:pPr>
        <w:spacing w:line="276" w:lineRule="auto"/>
        <w:jc w:val="both"/>
        <w:rPr>
          <w:rFonts w:cstheme="minorHAnsi"/>
          <w:lang w:val="en-US"/>
        </w:rPr>
      </w:pPr>
      <w:r w:rsidRPr="00732F34">
        <w:rPr>
          <w:rFonts w:cstheme="minorHAnsi"/>
          <w:lang w:val="en-US"/>
        </w:rPr>
        <w:t>This method is specifically intended for predictor reduction in predictive modeling settings and is not designed as a general-purpose feature selection procedure. We believe, however, that this method is adequate for the present analysis</w:t>
      </w:r>
      <w:r w:rsidR="00E75DAE">
        <w:rPr>
          <w:rFonts w:cstheme="minorHAnsi"/>
          <w:lang w:val="en-US"/>
        </w:rPr>
        <w:t xml:space="preserve"> as our</w:t>
      </w:r>
      <w:r w:rsidRPr="00732F34">
        <w:rPr>
          <w:rFonts w:cstheme="minorHAnsi"/>
          <w:lang w:val="en-US"/>
        </w:rPr>
        <w:t xml:space="preserve"> dataset </w:t>
      </w:r>
      <w:r w:rsidR="00E75DAE">
        <w:rPr>
          <w:rFonts w:cstheme="minorHAnsi"/>
          <w:lang w:val="en-US"/>
        </w:rPr>
        <w:t>(n = 32)</w:t>
      </w:r>
      <w:r w:rsidRPr="00732F34">
        <w:rPr>
          <w:rFonts w:cstheme="minorHAnsi"/>
          <w:lang w:val="en-US"/>
        </w:rPr>
        <w:t xml:space="preserve"> leaves little room for redundant or correlated predictors without compromising model stability. </w:t>
      </w:r>
    </w:p>
    <w:p w14:paraId="2A5BAF10" w14:textId="1752A97E" w:rsidR="00F831D1" w:rsidRDefault="00EE1E24" w:rsidP="00EE1E24">
      <w:pPr>
        <w:spacing w:line="276" w:lineRule="auto"/>
        <w:jc w:val="both"/>
        <w:rPr>
          <w:rFonts w:cstheme="minorHAnsi"/>
          <w:lang w:val="en-US"/>
        </w:rPr>
      </w:pPr>
      <w:r w:rsidRPr="00EE1E24">
        <w:rPr>
          <w:rFonts w:cstheme="minorHAnsi"/>
          <w:lang w:val="en-US"/>
        </w:rPr>
        <w:lastRenderedPageBreak/>
        <w:t xml:space="preserve">To facilitate integration of </w:t>
      </w:r>
      <w:r w:rsidRPr="00D1731A">
        <w:rPr>
          <w:rFonts w:cstheme="minorHAnsi"/>
          <w:lang w:val="en-US"/>
        </w:rPr>
        <w:t>t</w:t>
      </w:r>
      <w:r w:rsidRPr="00D1731A">
        <w:rPr>
          <w:rFonts w:cstheme="minorHAnsi"/>
          <w:vertAlign w:val="subscript"/>
          <w:lang w:val="en-US"/>
        </w:rPr>
        <w:t>90</w:t>
      </w:r>
      <w:r w:rsidRPr="00D1731A">
        <w:rPr>
          <w:rFonts w:cstheme="minorHAnsi"/>
          <w:lang w:val="en-US"/>
        </w:rPr>
        <w:t>, CA</w:t>
      </w:r>
      <w:r w:rsidRPr="00D1731A">
        <w:rPr>
          <w:rFonts w:cstheme="minorHAnsi"/>
          <w:vertAlign w:val="subscript"/>
          <w:lang w:val="en-US"/>
        </w:rPr>
        <w:t>20</w:t>
      </w:r>
      <w:r w:rsidRPr="00D1731A">
        <w:rPr>
          <w:rFonts w:cstheme="minorHAnsi"/>
          <w:lang w:val="en-US"/>
        </w:rPr>
        <w:t>, and AGC</w:t>
      </w:r>
      <w:r w:rsidRPr="00D1731A">
        <w:rPr>
          <w:rFonts w:cstheme="minorHAnsi"/>
          <w:vertAlign w:val="subscript"/>
          <w:lang w:val="en-US"/>
        </w:rPr>
        <w:t>20</w:t>
      </w:r>
      <w:r>
        <w:rPr>
          <w:rFonts w:cstheme="minorHAnsi"/>
          <w:lang w:val="en-US"/>
        </w:rPr>
        <w:t xml:space="preserve"> –</w:t>
      </w:r>
      <w:r w:rsidRPr="00EE1E24">
        <w:rPr>
          <w:rFonts w:cstheme="minorHAnsi"/>
          <w:lang w:val="en-US"/>
        </w:rPr>
        <w:t xml:space="preserve"> derived</w:t>
      </w:r>
      <w:r>
        <w:rPr>
          <w:rFonts w:cstheme="minorHAnsi"/>
          <w:lang w:val="en-US"/>
        </w:rPr>
        <w:t xml:space="preserve"> </w:t>
      </w:r>
      <w:r w:rsidRPr="00EE1E24">
        <w:rPr>
          <w:rFonts w:cstheme="minorHAnsi"/>
          <w:lang w:val="en-US"/>
        </w:rPr>
        <w:t xml:space="preserve">from the preceding Stan model </w:t>
      </w:r>
      <w:r>
        <w:rPr>
          <w:rFonts w:cstheme="minorHAnsi"/>
          <w:lang w:val="en-US"/>
        </w:rPr>
        <w:t>–</w:t>
      </w:r>
      <w:r w:rsidRPr="00EE1E24">
        <w:rPr>
          <w:rFonts w:cstheme="minorHAnsi"/>
          <w:lang w:val="en-US"/>
        </w:rPr>
        <w:t xml:space="preserve"> into the projection predictive framework, an intermediate Bayesian linear regression model was fitted using the </w:t>
      </w:r>
      <w:r w:rsidRPr="00ED1BE5">
        <w:rPr>
          <w:rFonts w:cstheme="minorHAnsi"/>
          <w:i/>
          <w:iCs/>
          <w:lang w:val="en-US"/>
        </w:rPr>
        <w:t>brms</w:t>
      </w:r>
      <w:r w:rsidRPr="00EE1E24">
        <w:rPr>
          <w:rFonts w:cstheme="minorHAnsi"/>
          <w:lang w:val="en-US"/>
        </w:rPr>
        <w:t xml:space="preserve"> package (version 2.23.0)</w:t>
      </w:r>
      <w:r>
        <w:rPr>
          <w:rFonts w:cstheme="minorHAnsi"/>
          <w:lang w:val="en-US"/>
        </w:rPr>
        <w:fldChar w:fldCharType="begin"/>
      </w:r>
      <w:r>
        <w:rPr>
          <w:rFonts w:cstheme="minorHAnsi"/>
          <w:lang w:val="en-US"/>
        </w:rPr>
        <w:instrText xml:space="preserve"> ADDIN ZOTERO_ITEM CSL_CITATION {"citationID":"ggQVKVyT","properties":{"unsorted":false,"formattedCitation":"\\super 28\\nosupersub{}","plainCitation":"28","noteIndex":0},"citationItems":[{"id":9184,"uris":["http://zotero.org/users/13671732/items/KME9CIYI"],"itemData":{"id":9184,"type":"software","abstract":"Fit Bayesian generalized (non-)linear multivariate multilevel models using 'Stan' for full Bayesian inference. A wide range of distributions and link functions are supported, allowing users to fit – among others – linear, robust linear, count data, survival, response times, ordinal, zero-inflated, hurdle, and even self-defined mixture models all in a multilevel context. Further modeling options include both theory-driven and data-driven non-linear terms, auto-correlation structures, censoring and truncation, meta-analytic standard errors, and quite a few more. In addition, all parameters of the response distribution can be predicted in order to perform distributional regression. Prior specifications are flexible and explicitly encourage users to apply prior distributions that actually reflect their prior knowledge. Models can easily be evaluated and compared using several methods assessing posterior or prior predictions. References: Bürkner (2017) &lt;doi:10.18637/jss.v080.i01&gt;; Bürkner (2018) &lt;doi:10.32614/RJ-2018-017&gt;; Bürkner (2021) &lt;doi:10.18637/jss.v100.i05&gt;; Carpenter et al. (2017) &lt;doi:10.18637/jss.v076.i01&gt;.","license":"GPL-2","source":"R-Packages","title":"brms: Bayesian Regression Models using 'Stan'","title-short":"brms","URL":"https://cran.r-project.org/web/packages/brms/index.html","version":"2.23.0","author":[{"family":"Bürkner","given":"Paul-Christian"},{"family":"Gabry","given":"Jonah"},{"family":"Weber","given":"Sebastian"},{"family":"Johnson","given":"Andrew"},{"family":"Modrak","given":"Martin"},{"family":"Badr","given":"Hamada S."},{"family":"Weber","given":"Frank"},{"family":"Vehtari","given":"Aki"},{"family":"Ben-Shachar","given":"Mattan S."},{"family":"Rabel","given":"Hayden"},{"family":"Mills","given":"Simon C."},{"family":"Wild","given":"Stephen"},{"family":"Popov","given":"Ven"},{"family":"Kosmidis","given":"Ioannis"},{"family":"Schneider","given":"Ben"},{"family":"Kallioinen","given":"Noa"},{"family":"Silva","given":"Wellington J."},{"family":"Carvalho","given":"Luiz"},{"family":"Pekin","given":"Sermet"}],"accessed":{"date-parts":[["2026",5,16]]},"issued":{"date-parts":[["2025",9,9]]}}}],"schema":"https://github.com/citation-style-language/schema/raw/master/csl-citation.json"} </w:instrText>
      </w:r>
      <w:r>
        <w:rPr>
          <w:rFonts w:cstheme="minorHAnsi"/>
          <w:lang w:val="en-US"/>
        </w:rPr>
        <w:fldChar w:fldCharType="separate"/>
      </w:r>
      <w:r w:rsidRPr="002B39AF">
        <w:rPr>
          <w:rFonts w:ascii="Calibri" w:hAnsi="Calibri" w:cs="Calibri"/>
          <w:kern w:val="0"/>
          <w:vertAlign w:val="superscript"/>
        </w:rPr>
        <w:t>28</w:t>
      </w:r>
      <w:r>
        <w:rPr>
          <w:rFonts w:cstheme="minorHAnsi"/>
          <w:lang w:val="en-US"/>
        </w:rPr>
        <w:fldChar w:fldCharType="end"/>
      </w:r>
      <w:r w:rsidRPr="00EE1E24">
        <w:rPr>
          <w:rFonts w:cstheme="minorHAnsi"/>
          <w:lang w:val="en-US"/>
        </w:rPr>
        <w:t>. The response variable was specified as the per-site mean of the log-transformed posterior samples, with its associated uncertainty partially propagated into the model via the corresponding per-site standard deviation.</w:t>
      </w:r>
      <w:r>
        <w:rPr>
          <w:rFonts w:cstheme="minorHAnsi"/>
          <w:lang w:val="en-US"/>
        </w:rPr>
        <w:t xml:space="preserve"> </w:t>
      </w:r>
      <w:r w:rsidRPr="00EE1E24">
        <w:rPr>
          <w:rFonts w:cstheme="minorHAnsi"/>
          <w:lang w:val="en-US"/>
        </w:rPr>
        <w:t>To encourage sparsity and regularize the environmental effect size estimates, regularized horseshoe priors were placed on the regression coefficients, with the sparsity parameter (par_ratio) set to reflect a prior expectation of four relevant predictors out of eight candidates. Normal and exponential priors were specified for the intercept and standard deviation, respectively.</w:t>
      </w:r>
      <w:r w:rsidR="008250B2">
        <w:rPr>
          <w:rFonts w:cstheme="minorHAnsi"/>
          <w:lang w:val="en-US"/>
        </w:rPr>
        <w:t xml:space="preserve"> The</w:t>
      </w:r>
      <w:r w:rsidR="00E26857">
        <w:rPr>
          <w:rFonts w:cstheme="minorHAnsi"/>
          <w:lang w:val="en-US"/>
        </w:rPr>
        <w:t xml:space="preserve"> model</w:t>
      </w:r>
      <w:r w:rsidR="008250B2">
        <w:rPr>
          <w:rFonts w:cstheme="minorHAnsi"/>
          <w:lang w:val="en-US"/>
        </w:rPr>
        <w:t xml:space="preserve"> implementation is shown below:</w:t>
      </w:r>
    </w:p>
    <w:p w14:paraId="4D345D4C" w14:textId="79EA54D2" w:rsidR="008250B2" w:rsidRPr="008250B2" w:rsidRDefault="008250B2" w:rsidP="00601B55">
      <w:pPr>
        <w:shd w:val="clear" w:color="auto" w:fill="F2F2F2" w:themeFill="background1" w:themeFillShade="F2"/>
        <w:tabs>
          <w:tab w:val="left" w:pos="8364"/>
        </w:tabs>
        <w:spacing w:line="276" w:lineRule="auto"/>
        <w:jc w:val="both"/>
        <w:rPr>
          <w:rFonts w:cstheme="minorHAnsi"/>
          <w:lang w:val="en-US"/>
        </w:rPr>
      </w:pPr>
      <w:r w:rsidRPr="008250B2">
        <w:rPr>
          <w:rFonts w:cstheme="minorHAnsi"/>
          <w:lang w:val="en-US"/>
        </w:rPr>
        <w:t>formula &lt;- bf(y | mi(y_sd) ~ .</w:t>
      </w:r>
      <w:r w:rsidR="00E26857">
        <w:rPr>
          <w:rFonts w:cstheme="minorHAnsi"/>
          <w:lang w:val="en-US"/>
        </w:rPr>
        <w:t xml:space="preserve"> </w:t>
      </w:r>
      <w:r w:rsidRPr="008250B2">
        <w:rPr>
          <w:rFonts w:cstheme="minorHAnsi"/>
          <w:lang w:val="en-US"/>
        </w:rPr>
        <w:t>)</w:t>
      </w:r>
      <w:r w:rsidR="00601B55">
        <w:rPr>
          <w:rFonts w:cstheme="minorHAnsi"/>
          <w:lang w:val="en-US"/>
        </w:rPr>
        <w:t xml:space="preserve"> </w:t>
      </w:r>
      <w:r w:rsidR="00601B55">
        <w:rPr>
          <w:rFonts w:cstheme="minorHAnsi"/>
          <w:lang w:val="en-US"/>
        </w:rPr>
        <w:tab/>
      </w:r>
      <w:r w:rsidR="00601B55" w:rsidRPr="00601B55">
        <w:rPr>
          <w:rFonts w:cstheme="minorHAnsi"/>
          <w:b/>
          <w:bCs/>
          <w:lang w:val="en-US"/>
        </w:rPr>
        <w:t>R code</w:t>
      </w:r>
    </w:p>
    <w:p w14:paraId="42F7EA96" w14:textId="77777777" w:rsidR="008250B2" w:rsidRDefault="008250B2" w:rsidP="000960C7">
      <w:pPr>
        <w:shd w:val="clear" w:color="auto" w:fill="F2F2F2" w:themeFill="background1" w:themeFillShade="F2"/>
        <w:spacing w:after="0" w:line="276" w:lineRule="auto"/>
        <w:jc w:val="both"/>
        <w:rPr>
          <w:rFonts w:cstheme="minorHAnsi"/>
          <w:lang w:val="en-US"/>
        </w:rPr>
      </w:pPr>
      <w:r w:rsidRPr="008250B2">
        <w:rPr>
          <w:rFonts w:cstheme="minorHAnsi"/>
          <w:lang w:val="en-US"/>
        </w:rPr>
        <w:t>prior_rhs &lt;- c(</w:t>
      </w:r>
    </w:p>
    <w:p w14:paraId="5EC3D224" w14:textId="77777777" w:rsidR="008250B2" w:rsidRDefault="008250B2" w:rsidP="000960C7">
      <w:pPr>
        <w:shd w:val="clear" w:color="auto" w:fill="F2F2F2" w:themeFill="background1" w:themeFillShade="F2"/>
        <w:tabs>
          <w:tab w:val="left" w:pos="567"/>
        </w:tabs>
        <w:spacing w:after="0" w:line="276" w:lineRule="auto"/>
        <w:jc w:val="both"/>
        <w:rPr>
          <w:rFonts w:cstheme="minorHAnsi"/>
          <w:lang w:val="en-US"/>
        </w:rPr>
      </w:pPr>
      <w:r>
        <w:rPr>
          <w:rFonts w:cstheme="minorHAnsi"/>
          <w:lang w:val="en-US"/>
        </w:rPr>
        <w:tab/>
      </w:r>
      <w:r w:rsidRPr="008250B2">
        <w:rPr>
          <w:rFonts w:cstheme="minorHAnsi"/>
          <w:lang w:val="en-US"/>
        </w:rPr>
        <w:t>prior(horseshoe(df = 3, df_global = 3, df_slab = 4, scale_slab = 3, par_ratio = 4/(8-4)), class = "b"),</w:t>
      </w:r>
    </w:p>
    <w:p w14:paraId="227D1DBF" w14:textId="77777777" w:rsidR="008250B2" w:rsidRDefault="008250B2" w:rsidP="000960C7">
      <w:pPr>
        <w:shd w:val="clear" w:color="auto" w:fill="F2F2F2" w:themeFill="background1" w:themeFillShade="F2"/>
        <w:tabs>
          <w:tab w:val="left" w:pos="567"/>
        </w:tabs>
        <w:spacing w:after="0" w:line="276" w:lineRule="auto"/>
        <w:jc w:val="both"/>
        <w:rPr>
          <w:rFonts w:cstheme="minorHAnsi"/>
          <w:lang w:val="en-US"/>
        </w:rPr>
      </w:pPr>
      <w:r>
        <w:rPr>
          <w:rFonts w:cstheme="minorHAnsi"/>
          <w:lang w:val="en-US"/>
        </w:rPr>
        <w:tab/>
      </w:r>
      <w:r w:rsidRPr="008250B2">
        <w:rPr>
          <w:rFonts w:cstheme="minorHAnsi"/>
          <w:lang w:val="en-US"/>
        </w:rPr>
        <w:t xml:space="preserve">prior(normal(0, 1), class = "Intercept"), </w:t>
      </w:r>
    </w:p>
    <w:p w14:paraId="5B81EBA5" w14:textId="781CA2B7" w:rsidR="008250B2" w:rsidRPr="008250B2" w:rsidRDefault="008250B2" w:rsidP="000960C7">
      <w:pPr>
        <w:shd w:val="clear" w:color="auto" w:fill="F2F2F2" w:themeFill="background1" w:themeFillShade="F2"/>
        <w:tabs>
          <w:tab w:val="left" w:pos="567"/>
        </w:tabs>
        <w:spacing w:after="0" w:line="276" w:lineRule="auto"/>
        <w:jc w:val="both"/>
        <w:rPr>
          <w:rFonts w:cstheme="minorHAnsi"/>
          <w:lang w:val="en-US"/>
        </w:rPr>
      </w:pPr>
      <w:r>
        <w:rPr>
          <w:rFonts w:cstheme="minorHAnsi"/>
          <w:lang w:val="en-US"/>
        </w:rPr>
        <w:tab/>
      </w:r>
      <w:r w:rsidRPr="008250B2">
        <w:rPr>
          <w:rFonts w:cstheme="minorHAnsi"/>
          <w:lang w:val="en-US"/>
        </w:rPr>
        <w:t>prior(exponential(1), class = "sigma"))</w:t>
      </w:r>
    </w:p>
    <w:p w14:paraId="3846DFD4" w14:textId="77777777" w:rsidR="00244D84" w:rsidRDefault="008250B2" w:rsidP="000960C7">
      <w:pPr>
        <w:shd w:val="clear" w:color="auto" w:fill="F2F2F2" w:themeFill="background1" w:themeFillShade="F2"/>
        <w:spacing w:after="0" w:line="276" w:lineRule="auto"/>
        <w:jc w:val="both"/>
        <w:rPr>
          <w:rFonts w:cstheme="minorHAnsi"/>
          <w:lang w:val="en-US"/>
        </w:rPr>
      </w:pPr>
      <w:r w:rsidRPr="008250B2">
        <w:rPr>
          <w:rFonts w:cstheme="minorHAnsi"/>
          <w:lang w:val="en-US"/>
        </w:rPr>
        <w:t xml:space="preserve">fit &lt;- brm(  </w:t>
      </w:r>
    </w:p>
    <w:p w14:paraId="050826A1" w14:textId="77777777" w:rsidR="00244D84" w:rsidRDefault="008250B2" w:rsidP="000960C7">
      <w:pPr>
        <w:shd w:val="clear" w:color="auto" w:fill="F2F2F2" w:themeFill="background1" w:themeFillShade="F2"/>
        <w:spacing w:after="0" w:line="276" w:lineRule="auto"/>
        <w:ind w:firstLine="720"/>
        <w:jc w:val="both"/>
        <w:rPr>
          <w:rFonts w:cstheme="minorHAnsi"/>
          <w:lang w:val="en-US"/>
        </w:rPr>
      </w:pPr>
      <w:r w:rsidRPr="008250B2">
        <w:rPr>
          <w:rFonts w:cstheme="minorHAnsi"/>
          <w:lang w:val="en-US"/>
        </w:rPr>
        <w:t xml:space="preserve">formula   = formula,  </w:t>
      </w:r>
    </w:p>
    <w:p w14:paraId="0BCDEDF3" w14:textId="01861795" w:rsidR="00244D84" w:rsidRDefault="008250B2" w:rsidP="000960C7">
      <w:pPr>
        <w:shd w:val="clear" w:color="auto" w:fill="F2F2F2" w:themeFill="background1" w:themeFillShade="F2"/>
        <w:spacing w:after="0" w:line="276" w:lineRule="auto"/>
        <w:ind w:firstLine="720"/>
        <w:jc w:val="both"/>
        <w:rPr>
          <w:rFonts w:cstheme="minorHAnsi"/>
          <w:lang w:val="en-US"/>
        </w:rPr>
      </w:pPr>
      <w:r w:rsidRPr="008250B2">
        <w:rPr>
          <w:rFonts w:cstheme="minorHAnsi"/>
          <w:lang w:val="en-US"/>
        </w:rPr>
        <w:t>data      = dat</w:t>
      </w:r>
      <w:r w:rsidR="00E26857">
        <w:rPr>
          <w:rFonts w:cstheme="minorHAnsi"/>
          <w:lang w:val="en-US"/>
        </w:rPr>
        <w:t>a</w:t>
      </w:r>
      <w:r w:rsidRPr="008250B2">
        <w:rPr>
          <w:rFonts w:cstheme="minorHAnsi"/>
          <w:lang w:val="en-US"/>
        </w:rPr>
        <w:t>,</w:t>
      </w:r>
    </w:p>
    <w:p w14:paraId="7BCEA8AB" w14:textId="77777777" w:rsidR="00244D84" w:rsidRDefault="008250B2" w:rsidP="000960C7">
      <w:pPr>
        <w:shd w:val="clear" w:color="auto" w:fill="F2F2F2" w:themeFill="background1" w:themeFillShade="F2"/>
        <w:spacing w:after="0" w:line="276" w:lineRule="auto"/>
        <w:ind w:firstLine="720"/>
        <w:jc w:val="both"/>
        <w:rPr>
          <w:rFonts w:cstheme="minorHAnsi"/>
          <w:lang w:val="en-US"/>
        </w:rPr>
      </w:pPr>
      <w:r w:rsidRPr="008250B2">
        <w:rPr>
          <w:rFonts w:cstheme="minorHAnsi"/>
          <w:lang w:val="en-US"/>
        </w:rPr>
        <w:t>family    = gaussian(),</w:t>
      </w:r>
    </w:p>
    <w:p w14:paraId="2D2C3DE8" w14:textId="77777777" w:rsidR="00244D84" w:rsidRDefault="008250B2" w:rsidP="000960C7">
      <w:pPr>
        <w:shd w:val="clear" w:color="auto" w:fill="F2F2F2" w:themeFill="background1" w:themeFillShade="F2"/>
        <w:spacing w:after="0" w:line="276" w:lineRule="auto"/>
        <w:ind w:firstLine="720"/>
        <w:jc w:val="both"/>
        <w:rPr>
          <w:rFonts w:cstheme="minorHAnsi"/>
          <w:lang w:val="en-US"/>
        </w:rPr>
      </w:pPr>
      <w:r w:rsidRPr="008250B2">
        <w:rPr>
          <w:rFonts w:cstheme="minorHAnsi"/>
          <w:lang w:val="en-US"/>
        </w:rPr>
        <w:t>prior     = prior_rhs,</w:t>
      </w:r>
    </w:p>
    <w:p w14:paraId="7863952F" w14:textId="7AF1977E" w:rsidR="00244D84" w:rsidRDefault="008250B2" w:rsidP="000960C7">
      <w:pPr>
        <w:shd w:val="clear" w:color="auto" w:fill="F2F2F2" w:themeFill="background1" w:themeFillShade="F2"/>
        <w:spacing w:after="0" w:line="276" w:lineRule="auto"/>
        <w:ind w:firstLine="720"/>
        <w:jc w:val="both"/>
        <w:rPr>
          <w:rFonts w:cstheme="minorHAnsi"/>
          <w:lang w:val="en-US"/>
        </w:rPr>
      </w:pPr>
      <w:r w:rsidRPr="008250B2">
        <w:rPr>
          <w:rFonts w:cstheme="minorHAnsi"/>
          <w:lang w:val="en-US"/>
        </w:rPr>
        <w:t>chains    = 4,</w:t>
      </w:r>
      <w:r w:rsidR="00E26857">
        <w:rPr>
          <w:rFonts w:cstheme="minorHAnsi"/>
          <w:lang w:val="en-US"/>
        </w:rPr>
        <w:t xml:space="preserve"> </w:t>
      </w:r>
      <w:r w:rsidRPr="008250B2">
        <w:rPr>
          <w:rFonts w:cstheme="minorHAnsi"/>
          <w:lang w:val="en-US"/>
        </w:rPr>
        <w:t>iter</w:t>
      </w:r>
      <w:r w:rsidR="00E26857">
        <w:rPr>
          <w:rFonts w:cstheme="minorHAnsi"/>
          <w:lang w:val="en-US"/>
        </w:rPr>
        <w:t xml:space="preserve"> </w:t>
      </w:r>
      <w:r w:rsidRPr="008250B2">
        <w:rPr>
          <w:rFonts w:cstheme="minorHAnsi"/>
          <w:lang w:val="en-US"/>
        </w:rPr>
        <w:t>= 10000,</w:t>
      </w:r>
      <w:r w:rsidR="00E26857">
        <w:rPr>
          <w:rFonts w:cstheme="minorHAnsi"/>
          <w:lang w:val="en-US"/>
        </w:rPr>
        <w:t xml:space="preserve"> </w:t>
      </w:r>
      <w:r w:rsidRPr="008250B2">
        <w:rPr>
          <w:rFonts w:cstheme="minorHAnsi"/>
          <w:lang w:val="en-US"/>
        </w:rPr>
        <w:t>warmup    = 5000,</w:t>
      </w:r>
      <w:r w:rsidR="00E26857">
        <w:rPr>
          <w:rFonts w:cstheme="minorHAnsi"/>
          <w:lang w:val="en-US"/>
        </w:rPr>
        <w:t xml:space="preserve"> </w:t>
      </w:r>
      <w:r w:rsidRPr="008250B2">
        <w:rPr>
          <w:rFonts w:cstheme="minorHAnsi"/>
          <w:lang w:val="en-US"/>
        </w:rPr>
        <w:t>cores     = 1,</w:t>
      </w:r>
    </w:p>
    <w:p w14:paraId="2AE491E0" w14:textId="77777777" w:rsidR="00244D84" w:rsidRDefault="008250B2" w:rsidP="000960C7">
      <w:pPr>
        <w:shd w:val="clear" w:color="auto" w:fill="F2F2F2" w:themeFill="background1" w:themeFillShade="F2"/>
        <w:spacing w:after="0" w:line="276" w:lineRule="auto"/>
        <w:ind w:firstLine="720"/>
        <w:jc w:val="both"/>
        <w:rPr>
          <w:rFonts w:cstheme="minorHAnsi"/>
          <w:lang w:val="en-US"/>
        </w:rPr>
      </w:pPr>
      <w:r w:rsidRPr="008250B2">
        <w:rPr>
          <w:rFonts w:cstheme="minorHAnsi"/>
          <w:lang w:val="en-US"/>
        </w:rPr>
        <w:t>save_pars = save_pars(all = TRUE),</w:t>
      </w:r>
    </w:p>
    <w:p w14:paraId="77C779C0" w14:textId="33DA8CA0" w:rsidR="008250B2" w:rsidRPr="005201C3" w:rsidRDefault="008250B2" w:rsidP="002077FC">
      <w:pPr>
        <w:shd w:val="clear" w:color="auto" w:fill="F2F2F2" w:themeFill="background1" w:themeFillShade="F2"/>
        <w:spacing w:line="276" w:lineRule="auto"/>
        <w:ind w:firstLine="720"/>
        <w:jc w:val="both"/>
        <w:rPr>
          <w:rFonts w:cstheme="minorHAnsi"/>
          <w:lang w:val="en-US"/>
        </w:rPr>
      </w:pPr>
      <w:r w:rsidRPr="008250B2">
        <w:rPr>
          <w:rFonts w:cstheme="minorHAnsi"/>
          <w:lang w:val="en-US"/>
        </w:rPr>
        <w:t>control   = list(adapt_delta = 0.999, max_treedepth = 18))</w:t>
      </w:r>
    </w:p>
    <w:p w14:paraId="40CD1761" w14:textId="58B93349" w:rsidR="00C9436B" w:rsidRDefault="00EE0F88" w:rsidP="00470D57">
      <w:pPr>
        <w:spacing w:line="276" w:lineRule="auto"/>
        <w:jc w:val="both"/>
        <w:rPr>
          <w:rFonts w:cstheme="minorHAnsi"/>
          <w:lang w:val="en-US"/>
        </w:rPr>
      </w:pPr>
      <w:r>
        <w:rPr>
          <w:rFonts w:cstheme="minorHAnsi"/>
          <w:lang w:val="en-US"/>
        </w:rPr>
        <w:t xml:space="preserve">Predictors were retained if they </w:t>
      </w:r>
      <w:r w:rsidR="003A501E">
        <w:rPr>
          <w:rFonts w:cstheme="minorHAnsi"/>
          <w:lang w:val="en-US"/>
        </w:rPr>
        <w:t>were</w:t>
      </w:r>
      <w:r>
        <w:rPr>
          <w:rFonts w:cstheme="minorHAnsi"/>
          <w:lang w:val="en-US"/>
        </w:rPr>
        <w:t xml:space="preserve"> </w:t>
      </w:r>
      <w:r w:rsidR="003A501E">
        <w:rPr>
          <w:rFonts w:cstheme="minorHAnsi"/>
          <w:lang w:val="en-US"/>
        </w:rPr>
        <w:t xml:space="preserve">present in </w:t>
      </w:r>
      <w:r>
        <w:rPr>
          <w:rFonts w:cstheme="minorHAnsi"/>
          <w:lang w:val="en-US"/>
        </w:rPr>
        <w:t xml:space="preserve">100% </w:t>
      </w:r>
      <w:r w:rsidR="003A501E">
        <w:rPr>
          <w:rFonts w:cstheme="minorHAnsi"/>
          <w:lang w:val="en-US"/>
        </w:rPr>
        <w:t>of 10 cross-validation folds</w:t>
      </w:r>
      <w:r w:rsidR="00732F34" w:rsidRPr="00732F34">
        <w:rPr>
          <w:rFonts w:cstheme="minorHAnsi"/>
          <w:lang w:val="en-US"/>
        </w:rPr>
        <w:t xml:space="preserve"> </w:t>
      </w:r>
      <w:r w:rsidR="003A501E">
        <w:rPr>
          <w:rFonts w:cstheme="minorHAnsi"/>
          <w:lang w:val="en-US"/>
        </w:rPr>
        <w:t>(</w:t>
      </w:r>
      <w:r w:rsidR="005D41FC" w:rsidRPr="005D41FC">
        <w:rPr>
          <w:rFonts w:cstheme="minorHAnsi"/>
          <w:lang w:val="en-US"/>
        </w:rPr>
        <w:t>Supplementary Information Fi</w:t>
      </w:r>
      <w:r w:rsidR="005D41FC">
        <w:rPr>
          <w:rFonts w:cstheme="minorHAnsi"/>
          <w:lang w:val="en-US"/>
        </w:rPr>
        <w:t>g.</w:t>
      </w:r>
      <w:r w:rsidR="005D41FC" w:rsidRPr="005D41FC">
        <w:rPr>
          <w:rFonts w:cstheme="minorHAnsi"/>
          <w:lang w:val="en-US"/>
        </w:rPr>
        <w:t xml:space="preserve"> S</w:t>
      </w:r>
      <w:r w:rsidR="0087664E">
        <w:rPr>
          <w:rFonts w:cstheme="minorHAnsi"/>
          <w:lang w:val="en-US"/>
        </w:rPr>
        <w:t>1</w:t>
      </w:r>
      <w:r w:rsidR="005D41FC">
        <w:rPr>
          <w:rFonts w:cstheme="minorHAnsi"/>
          <w:lang w:val="en-US"/>
        </w:rPr>
        <w:t>)</w:t>
      </w:r>
      <w:r w:rsidR="00C9577F">
        <w:rPr>
          <w:rFonts w:cstheme="minorHAnsi"/>
          <w:lang w:val="en-US"/>
        </w:rPr>
        <w:t xml:space="preserve"> </w:t>
      </w:r>
      <w:r w:rsidR="00F32D02">
        <w:rPr>
          <w:rFonts w:cstheme="minorHAnsi"/>
          <w:lang w:val="en-US"/>
        </w:rPr>
        <w:t>–</w:t>
      </w:r>
      <w:r w:rsidR="00732F34" w:rsidRPr="00732F34">
        <w:rPr>
          <w:rFonts w:cstheme="minorHAnsi"/>
          <w:lang w:val="en-US"/>
        </w:rPr>
        <w:t xml:space="preserve"> </w:t>
      </w:r>
      <w:r w:rsidR="00A176D5">
        <w:rPr>
          <w:rFonts w:cstheme="minorHAnsi"/>
          <w:lang w:val="en-US"/>
        </w:rPr>
        <w:t>a confirmation</w:t>
      </w:r>
      <w:r w:rsidR="00732F34" w:rsidRPr="00732F34">
        <w:rPr>
          <w:rFonts w:cstheme="minorHAnsi"/>
          <w:lang w:val="en-US"/>
        </w:rPr>
        <w:t xml:space="preserve"> that the chosen subset is robust and not an artifact of any particular data partition.</w:t>
      </w:r>
      <w:r w:rsidR="00DF24C0">
        <w:rPr>
          <w:rFonts w:cstheme="minorHAnsi"/>
          <w:lang w:val="en-US"/>
        </w:rPr>
        <w:t xml:space="preserve"> </w:t>
      </w:r>
    </w:p>
    <w:p w14:paraId="795A1BC3" w14:textId="06194432" w:rsidR="00883F1C" w:rsidRPr="008D0231" w:rsidRDefault="00134083" w:rsidP="00883F1C">
      <w:pPr>
        <w:spacing w:line="276" w:lineRule="auto"/>
        <w:jc w:val="both"/>
        <w:rPr>
          <w:rFonts w:cstheme="minorHAnsi"/>
          <w:i/>
          <w:iCs/>
          <w:lang w:val="en-US"/>
        </w:rPr>
      </w:pPr>
      <w:r>
        <w:rPr>
          <w:rFonts w:cstheme="minorHAnsi"/>
          <w:i/>
          <w:iCs/>
          <w:lang w:val="en-US"/>
        </w:rPr>
        <w:t>Final r</w:t>
      </w:r>
      <w:r w:rsidR="00624AC1">
        <w:rPr>
          <w:rFonts w:cstheme="minorHAnsi"/>
          <w:i/>
          <w:iCs/>
          <w:lang w:val="en-US"/>
        </w:rPr>
        <w:t>egression</w:t>
      </w:r>
      <w:r w:rsidR="00883F1C" w:rsidRPr="008D0231">
        <w:rPr>
          <w:rFonts w:cstheme="minorHAnsi"/>
          <w:i/>
          <w:iCs/>
          <w:lang w:val="en-US"/>
        </w:rPr>
        <w:t xml:space="preserve"> model </w:t>
      </w:r>
      <w:r>
        <w:rPr>
          <w:rFonts w:cstheme="minorHAnsi"/>
          <w:i/>
          <w:iCs/>
          <w:lang w:val="en-US"/>
        </w:rPr>
        <w:t>with full uncertainty propagation</w:t>
      </w:r>
    </w:p>
    <w:p w14:paraId="26E74D9E" w14:textId="31BD91D3" w:rsidR="00000E3D" w:rsidRDefault="00E14ED0" w:rsidP="003526EA">
      <w:pPr>
        <w:spacing w:line="276" w:lineRule="auto"/>
        <w:jc w:val="both"/>
        <w:rPr>
          <w:rFonts w:cstheme="minorHAnsi"/>
          <w:lang w:val="en-US"/>
        </w:rPr>
      </w:pPr>
      <w:r w:rsidRPr="00A176D5">
        <w:rPr>
          <w:rFonts w:cstheme="minorHAnsi"/>
          <w:lang w:val="en-US"/>
        </w:rPr>
        <w:t>After</w:t>
      </w:r>
      <w:r w:rsidR="00A176D5" w:rsidRPr="00A176D5">
        <w:rPr>
          <w:rFonts w:cstheme="minorHAnsi"/>
          <w:lang w:val="en-US"/>
        </w:rPr>
        <w:t xml:space="preserve"> the</w:t>
      </w:r>
      <w:r w:rsidRPr="00A176D5">
        <w:rPr>
          <w:rFonts w:cstheme="minorHAnsi"/>
          <w:lang w:val="en-US"/>
        </w:rPr>
        <w:t xml:space="preserve"> first </w:t>
      </w:r>
      <w:r w:rsidR="00A176D5" w:rsidRPr="00A176D5">
        <w:rPr>
          <w:rFonts w:cstheme="minorHAnsi"/>
          <w:lang w:val="en-US"/>
        </w:rPr>
        <w:t xml:space="preserve">predictor selection </w:t>
      </w:r>
      <w:r w:rsidRPr="00A176D5">
        <w:rPr>
          <w:rFonts w:cstheme="minorHAnsi"/>
          <w:lang w:val="en-US"/>
        </w:rPr>
        <w:t>ste</w:t>
      </w:r>
      <w:r w:rsidR="00A176D5">
        <w:rPr>
          <w:rFonts w:cstheme="minorHAnsi"/>
          <w:lang w:val="en-US"/>
        </w:rPr>
        <w:t>p</w:t>
      </w:r>
      <w:r w:rsidR="004E1BCC">
        <w:rPr>
          <w:rFonts w:cstheme="minorHAnsi"/>
          <w:lang w:val="en-US"/>
        </w:rPr>
        <w:t xml:space="preserve"> using </w:t>
      </w:r>
      <w:r w:rsidR="004E1BCC" w:rsidRPr="004E1BCC">
        <w:rPr>
          <w:rFonts w:cstheme="minorHAnsi"/>
          <w:i/>
          <w:iCs/>
          <w:lang w:val="en-US"/>
        </w:rPr>
        <w:t>brms</w:t>
      </w:r>
      <w:r w:rsidR="004E1BCC">
        <w:rPr>
          <w:rFonts w:cstheme="minorHAnsi"/>
          <w:lang w:val="en-US"/>
        </w:rPr>
        <w:t>, the linear regression models were run again</w:t>
      </w:r>
      <w:r w:rsidR="00186CF0">
        <w:rPr>
          <w:rFonts w:cstheme="minorHAnsi"/>
          <w:lang w:val="en-US"/>
        </w:rPr>
        <w:t>,</w:t>
      </w:r>
      <w:r w:rsidR="004E1BCC">
        <w:rPr>
          <w:rFonts w:cstheme="minorHAnsi"/>
          <w:lang w:val="en-US"/>
        </w:rPr>
        <w:t xml:space="preserve"> </w:t>
      </w:r>
      <w:r w:rsidR="00305928">
        <w:rPr>
          <w:rFonts w:cstheme="minorHAnsi"/>
          <w:lang w:val="en-US"/>
        </w:rPr>
        <w:t>but now with full uncertainty propagation from the response variables (</w:t>
      </w:r>
      <w:r w:rsidR="00305928" w:rsidRPr="00D1731A">
        <w:rPr>
          <w:rFonts w:cstheme="minorHAnsi"/>
          <w:lang w:val="en-US"/>
        </w:rPr>
        <w:t>t</w:t>
      </w:r>
      <w:r w:rsidR="00305928" w:rsidRPr="00D1731A">
        <w:rPr>
          <w:rFonts w:cstheme="minorHAnsi"/>
          <w:vertAlign w:val="subscript"/>
          <w:lang w:val="en-US"/>
        </w:rPr>
        <w:t>90</w:t>
      </w:r>
      <w:r w:rsidR="00305928" w:rsidRPr="00D1731A">
        <w:rPr>
          <w:rFonts w:cstheme="minorHAnsi"/>
          <w:lang w:val="en-US"/>
        </w:rPr>
        <w:t>, CA</w:t>
      </w:r>
      <w:r w:rsidR="00305928" w:rsidRPr="00D1731A">
        <w:rPr>
          <w:rFonts w:cstheme="minorHAnsi"/>
          <w:vertAlign w:val="subscript"/>
          <w:lang w:val="en-US"/>
        </w:rPr>
        <w:t>20</w:t>
      </w:r>
      <w:r w:rsidR="00305928" w:rsidRPr="00D1731A">
        <w:rPr>
          <w:rFonts w:cstheme="minorHAnsi"/>
          <w:lang w:val="en-US"/>
        </w:rPr>
        <w:t>, and AGC</w:t>
      </w:r>
      <w:r w:rsidR="00305928" w:rsidRPr="00D1731A">
        <w:rPr>
          <w:rFonts w:cstheme="minorHAnsi"/>
          <w:vertAlign w:val="subscript"/>
          <w:lang w:val="en-US"/>
        </w:rPr>
        <w:t>20</w:t>
      </w:r>
      <w:r w:rsidR="00305928">
        <w:rPr>
          <w:rFonts w:cstheme="minorHAnsi"/>
          <w:lang w:val="en-US"/>
        </w:rPr>
        <w:t xml:space="preserve">) </w:t>
      </w:r>
      <w:r w:rsidR="00D55033">
        <w:rPr>
          <w:rFonts w:cstheme="minorHAnsi"/>
          <w:lang w:val="en-US"/>
        </w:rPr>
        <w:t xml:space="preserve">and only the response-specific retained predictors. </w:t>
      </w:r>
      <w:r w:rsidR="00A176D5">
        <w:rPr>
          <w:rFonts w:cstheme="minorHAnsi"/>
          <w:lang w:val="en-US"/>
        </w:rPr>
        <w:t>5</w:t>
      </w:r>
      <w:r w:rsidR="00564BB7">
        <w:rPr>
          <w:rFonts w:cstheme="minorHAnsi"/>
          <w:lang w:val="en-US"/>
        </w:rPr>
        <w:t xml:space="preserve">00 random draws from the </w:t>
      </w:r>
      <w:r w:rsidR="00381E1A">
        <w:rPr>
          <w:rFonts w:cstheme="minorHAnsi"/>
          <w:lang w:val="en-US"/>
        </w:rPr>
        <w:t>metric’s posterior distribution were used as uncertain observations of a ‘true’ latent variable</w:t>
      </w:r>
      <w:r w:rsidR="00FC40F2">
        <w:rPr>
          <w:rFonts w:cstheme="minorHAnsi"/>
          <w:lang w:val="en-US"/>
        </w:rPr>
        <w:t xml:space="preserve"> with a lognormal distribution</w:t>
      </w:r>
      <w:r w:rsidR="003F7803">
        <w:rPr>
          <w:rFonts w:cstheme="minorHAnsi"/>
          <w:lang w:val="en-US"/>
        </w:rPr>
        <w:t>:</w:t>
      </w:r>
    </w:p>
    <w:p w14:paraId="220541EF" w14:textId="707B6B1D" w:rsidR="00000E3D" w:rsidRPr="00D2556F" w:rsidRDefault="00A93115" w:rsidP="00000E3D">
      <w:pPr>
        <w:spacing w:line="276" w:lineRule="auto"/>
        <w:jc w:val="center"/>
        <w:rPr>
          <w:rFonts w:eastAsiaTheme="minorEastAsia"/>
          <w:i/>
          <w:lang w:val="en-US"/>
        </w:rPr>
      </w:pPr>
      <m:oMathPara>
        <m:oMathParaPr>
          <m:jc m:val="center"/>
        </m:oMathParaPr>
        <m:oMath>
          <m:sSub>
            <m:sSubPr>
              <m:ctrlPr>
                <w:rPr>
                  <w:rFonts w:ascii="Cambria Math" w:eastAsiaTheme="minorEastAsia" w:hAnsi="Cambria Math"/>
                  <w:b/>
                  <w:bCs/>
                  <w:i/>
                  <w:lang w:val="en-US"/>
                </w:rPr>
              </m:ctrlPr>
            </m:sSubPr>
            <m:e>
              <m:r>
                <m:rPr>
                  <m:sty m:val="bi"/>
                </m:rPr>
                <w:rPr>
                  <w:rFonts w:ascii="Cambria Math" w:eastAsiaTheme="minorEastAsia" w:hAnsi="Cambria Math"/>
                  <w:lang w:val="en-US"/>
                </w:rPr>
                <m:t>μ</m:t>
              </m:r>
            </m:e>
            <m:sub>
              <m:r>
                <m:rPr>
                  <m:sty m:val="bi"/>
                </m:rPr>
                <w:rPr>
                  <w:rFonts w:ascii="Cambria Math" w:eastAsiaTheme="minorEastAsia" w:hAnsi="Cambria Math"/>
                  <w:lang w:val="en-US"/>
                </w:rPr>
                <m:t>draw</m:t>
              </m:r>
            </m:sub>
          </m:sSub>
          <m:r>
            <w:rPr>
              <w:rFonts w:ascii="Cambria Math" w:eastAsiaTheme="minorEastAsia" w:hAnsi="Cambria Math"/>
              <w:lang w:val="en-US"/>
            </w:rPr>
            <m:t xml:space="preserve"> ~ </m:t>
          </m:r>
          <m:r>
            <w:rPr>
              <w:rFonts w:ascii="Cambria Math" w:eastAsiaTheme="minorEastAsia" w:hAnsi="Cambria Math"/>
              <w:lang w:val="en-US"/>
            </w:rPr>
            <m:t>logN</m:t>
          </m:r>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μ</m:t>
              </m:r>
            </m:e>
            <m:sub>
              <m:r>
                <w:rPr>
                  <w:rFonts w:ascii="Cambria Math" w:eastAsiaTheme="minorEastAsia" w:hAnsi="Cambria Math"/>
                  <w:lang w:val="en-US"/>
                </w:rPr>
                <m:t>true</m:t>
              </m:r>
            </m:sub>
          </m:sSub>
          <m:r>
            <w:rPr>
              <w:rFonts w:ascii="Cambria Math" w:hAnsi="Cambria Math"/>
              <w:lang w:val="en-US"/>
            </w:rPr>
            <m:t xml:space="preserve">, </m:t>
          </m:r>
          <m:sSubSup>
            <m:sSubSupPr>
              <m:ctrlPr>
                <w:rPr>
                  <w:rFonts w:ascii="Cambria Math" w:hAnsi="Cambria Math"/>
                  <w:i/>
                  <w:lang w:val="en-US"/>
                </w:rPr>
              </m:ctrlPr>
            </m:sSubSupPr>
            <m:e>
              <m:r>
                <w:rPr>
                  <w:rFonts w:ascii="Cambria Math" w:hAnsi="Cambria Math"/>
                  <w:lang w:val="en-US"/>
                </w:rPr>
                <m:t>σ</m:t>
              </m:r>
            </m:e>
            <m:sub>
              <m:r>
                <w:rPr>
                  <w:rFonts w:ascii="Cambria Math" w:hAnsi="Cambria Math"/>
                  <w:lang w:val="en-US"/>
                </w:rPr>
                <m:t>draws</m:t>
              </m:r>
            </m:sub>
            <m:sup>
              <m:r>
                <w:rPr>
                  <w:rFonts w:ascii="Cambria Math" w:hAnsi="Cambria Math"/>
                  <w:lang w:val="en-US"/>
                </w:rPr>
                <m:t>2</m:t>
              </m:r>
            </m:sup>
          </m:sSubSup>
          <m:r>
            <w:rPr>
              <w:rFonts w:ascii="Cambria Math" w:hAnsi="Cambria Math"/>
              <w:lang w:val="en-US"/>
            </w:rPr>
            <m:t>)</m:t>
          </m:r>
        </m:oMath>
      </m:oMathPara>
    </w:p>
    <w:p w14:paraId="5502D592" w14:textId="18971527" w:rsidR="00F81768" w:rsidRDefault="00D2556F" w:rsidP="00975088">
      <w:pPr>
        <w:jc w:val="both"/>
        <w:rPr>
          <w:rFonts w:cstheme="minorHAnsi"/>
          <w:lang w:val="en-US"/>
        </w:rPr>
      </w:pPr>
      <w:r w:rsidRPr="005B29F8">
        <w:rPr>
          <w:rFonts w:eastAsiaTheme="minorEastAsia" w:cstheme="minorHAnsi"/>
          <w:lang w:val="en-US"/>
        </w:rPr>
        <w:t>with</w:t>
      </w:r>
      <w:r w:rsidR="009C06E5">
        <w:rPr>
          <w:rFonts w:eastAsiaTheme="minorEastAsia" w:cstheme="minorHAnsi"/>
          <w:lang w:val="en-US"/>
        </w:rPr>
        <w:t xml:space="preserve"> </w:t>
      </w:r>
      <w:r w:rsidR="009C06E5" w:rsidRPr="006819AE">
        <w:rPr>
          <w:rFonts w:eastAsiaTheme="minorEastAsia" w:cstheme="minorHAnsi"/>
          <w:b/>
          <w:bCs/>
          <w:i/>
          <w:iCs/>
          <w:lang w:val="en-US"/>
        </w:rPr>
        <w:t>µ</w:t>
      </w:r>
      <w:r w:rsidR="009C06E5" w:rsidRPr="006819AE">
        <w:rPr>
          <w:rFonts w:eastAsiaTheme="minorEastAsia" w:cstheme="minorHAnsi"/>
          <w:b/>
          <w:bCs/>
          <w:i/>
          <w:iCs/>
          <w:vertAlign w:val="subscript"/>
          <w:lang w:val="en-US"/>
        </w:rPr>
        <w:t>draw</w:t>
      </w:r>
      <w:r w:rsidR="009C06E5" w:rsidRPr="00E93142">
        <w:rPr>
          <w:rFonts w:eastAsiaTheme="minorEastAsia" w:cstheme="minorHAnsi"/>
          <w:lang w:val="en-US"/>
        </w:rPr>
        <w:t xml:space="preserve"> </w:t>
      </w:r>
      <w:r w:rsidR="009C06E5">
        <w:rPr>
          <w:rFonts w:eastAsiaTheme="minorEastAsia" w:cstheme="minorHAnsi"/>
          <w:lang w:val="en-US"/>
        </w:rPr>
        <w:t xml:space="preserve">the </w:t>
      </w:r>
      <w:r w:rsidR="006819AE">
        <w:rPr>
          <w:rFonts w:eastAsiaTheme="minorEastAsia" w:cstheme="minorHAnsi"/>
          <w:lang w:val="en-US"/>
        </w:rPr>
        <w:t xml:space="preserve">vector containing </w:t>
      </w:r>
      <w:r w:rsidR="009C06E5">
        <w:rPr>
          <w:rFonts w:eastAsiaTheme="minorEastAsia" w:cstheme="minorHAnsi"/>
          <w:lang w:val="en-US"/>
        </w:rPr>
        <w:t xml:space="preserve">100 randomly drawn values from the posteriors of </w:t>
      </w:r>
      <w:r w:rsidR="009C06E5" w:rsidRPr="00D1731A">
        <w:rPr>
          <w:rFonts w:cstheme="minorHAnsi"/>
          <w:lang w:val="en-US"/>
        </w:rPr>
        <w:t>CA</w:t>
      </w:r>
      <w:r w:rsidR="009C06E5" w:rsidRPr="00D1731A">
        <w:rPr>
          <w:rFonts w:cstheme="minorHAnsi"/>
          <w:vertAlign w:val="subscript"/>
          <w:lang w:val="en-US"/>
        </w:rPr>
        <w:t>20</w:t>
      </w:r>
      <w:r w:rsidR="009C06E5" w:rsidRPr="00D1731A">
        <w:rPr>
          <w:rFonts w:cstheme="minorHAnsi"/>
          <w:lang w:val="en-US"/>
        </w:rPr>
        <w:t>, t</w:t>
      </w:r>
      <w:r w:rsidR="009C06E5" w:rsidRPr="00D1731A">
        <w:rPr>
          <w:rFonts w:cstheme="minorHAnsi"/>
          <w:vertAlign w:val="subscript"/>
          <w:lang w:val="en-US"/>
        </w:rPr>
        <w:t>90</w:t>
      </w:r>
      <w:r w:rsidR="009C06E5" w:rsidRPr="00D1731A">
        <w:rPr>
          <w:rFonts w:cstheme="minorHAnsi"/>
          <w:lang w:val="en-US"/>
        </w:rPr>
        <w:t xml:space="preserve">, </w:t>
      </w:r>
      <w:r w:rsidR="009C06E5">
        <w:rPr>
          <w:rFonts w:cstheme="minorHAnsi"/>
          <w:lang w:val="en-US"/>
        </w:rPr>
        <w:t>or</w:t>
      </w:r>
      <w:r w:rsidR="009C06E5" w:rsidRPr="00D1731A">
        <w:rPr>
          <w:rFonts w:cstheme="minorHAnsi"/>
          <w:lang w:val="en-US"/>
        </w:rPr>
        <w:t xml:space="preserve"> AGC</w:t>
      </w:r>
      <w:r w:rsidR="009C06E5" w:rsidRPr="00D1731A">
        <w:rPr>
          <w:rFonts w:cstheme="minorHAnsi"/>
          <w:vertAlign w:val="subscript"/>
          <w:lang w:val="en-US"/>
        </w:rPr>
        <w:t>20</w:t>
      </w:r>
      <w:r w:rsidR="009C06E5">
        <w:rPr>
          <w:rFonts w:eastAsiaTheme="minorEastAsia" w:cstheme="minorHAnsi"/>
          <w:lang w:val="en-US"/>
        </w:rPr>
        <w:t xml:space="preserve">, </w:t>
      </w:r>
      <w:r w:rsidRPr="00E93142">
        <w:rPr>
          <w:rFonts w:eastAsiaTheme="minorEastAsia" w:cstheme="minorHAnsi"/>
          <w:i/>
          <w:iCs/>
          <w:lang w:val="en-US"/>
        </w:rPr>
        <w:t>µ</w:t>
      </w:r>
      <w:r w:rsidRPr="00E93142">
        <w:rPr>
          <w:rFonts w:eastAsiaTheme="minorEastAsia" w:cstheme="minorHAnsi"/>
          <w:i/>
          <w:iCs/>
          <w:vertAlign w:val="subscript"/>
          <w:lang w:val="en-US"/>
        </w:rPr>
        <w:t>true</w:t>
      </w:r>
      <w:r w:rsidRPr="00E93142">
        <w:rPr>
          <w:rFonts w:eastAsiaTheme="minorEastAsia" w:cstheme="minorHAnsi"/>
          <w:lang w:val="en-US"/>
        </w:rPr>
        <w:t xml:space="preserve"> </w:t>
      </w:r>
      <w:r>
        <w:rPr>
          <w:rFonts w:eastAsiaTheme="minorEastAsia" w:cstheme="minorHAnsi"/>
          <w:lang w:val="en-US"/>
        </w:rPr>
        <w:t>the estimated true value of</w:t>
      </w:r>
      <w:r w:rsidR="009C06E5">
        <w:rPr>
          <w:rFonts w:eastAsiaTheme="minorEastAsia" w:cstheme="minorHAnsi"/>
          <w:lang w:val="en-US"/>
        </w:rPr>
        <w:t xml:space="preserve"> these metrics, and </w:t>
      </w:r>
      <w:r w:rsidR="009C06E5" w:rsidRPr="00D2556F">
        <w:rPr>
          <w:rFonts w:eastAsiaTheme="minorEastAsia" w:cstheme="minorHAnsi"/>
          <w:lang w:val="en-US"/>
        </w:rPr>
        <w:t>σ</w:t>
      </w:r>
      <w:r w:rsidR="009C06E5">
        <w:rPr>
          <w:rFonts w:eastAsiaTheme="minorEastAsia" w:cstheme="minorHAnsi"/>
          <w:lang w:val="en-US"/>
        </w:rPr>
        <w:t>²</w:t>
      </w:r>
      <w:r w:rsidR="009C06E5">
        <w:rPr>
          <w:rFonts w:eastAsiaTheme="minorEastAsia" w:cstheme="minorHAnsi"/>
          <w:vertAlign w:val="subscript"/>
          <w:lang w:val="en-US"/>
        </w:rPr>
        <w:t>draws</w:t>
      </w:r>
      <w:r w:rsidR="009C06E5">
        <w:rPr>
          <w:rFonts w:eastAsiaTheme="minorEastAsia" w:cstheme="minorHAnsi"/>
          <w:lang w:val="en-US"/>
        </w:rPr>
        <w:t xml:space="preserve"> the dispersion of the lognormal distribution</w:t>
      </w:r>
      <w:r w:rsidR="00975088">
        <w:rPr>
          <w:rFonts w:eastAsiaTheme="minorEastAsia" w:cstheme="minorHAnsi"/>
          <w:lang w:val="en-US"/>
        </w:rPr>
        <w:t xml:space="preserve">. </w:t>
      </w:r>
      <w:r w:rsidR="005368C7" w:rsidRPr="005368C7">
        <w:rPr>
          <w:rFonts w:cstheme="minorHAnsi"/>
          <w:lang w:val="en-US"/>
        </w:rPr>
        <w:t>The resulting estimated true value was assumed to follow a lognormal distribution, with its median characterized by a multiple linear regression capturing the influence of environmental conditions:</w:t>
      </w:r>
      <w:r w:rsidR="00F81768">
        <w:rPr>
          <w:rFonts w:cstheme="minorHAnsi"/>
          <w:lang w:val="en-US"/>
        </w:rPr>
        <w:t xml:space="preserve"> </w:t>
      </w:r>
    </w:p>
    <w:p w14:paraId="249E16FA" w14:textId="10142001" w:rsidR="00336ACB" w:rsidRDefault="00A93115" w:rsidP="00336ACB">
      <w:pPr>
        <w:spacing w:line="276" w:lineRule="auto"/>
        <w:jc w:val="center"/>
        <w:rPr>
          <w:rFonts w:cstheme="minorHAnsi"/>
          <w:lang w:val="en-US"/>
        </w:rPr>
      </w:pPr>
      <m:oMathPara>
        <m:oMath>
          <m:sSub>
            <m:sSubPr>
              <m:ctrlPr>
                <w:rPr>
                  <w:rFonts w:ascii="Cambria Math" w:hAnsi="Cambria Math"/>
                  <w:i/>
                  <w:lang w:val="en-US"/>
                </w:rPr>
              </m:ctrlPr>
            </m:sSubPr>
            <m:e>
              <m:r>
                <w:rPr>
                  <w:rFonts w:ascii="Cambria Math" w:hAnsi="Cambria Math"/>
                  <w:lang w:val="en-US"/>
                </w:rPr>
                <m:t>μ</m:t>
              </m:r>
            </m:e>
            <m:sub>
              <m:r>
                <w:rPr>
                  <w:rFonts w:ascii="Cambria Math" w:hAnsi="Cambria Math"/>
                  <w:lang w:val="en-US"/>
                </w:rPr>
                <m:t>true</m:t>
              </m:r>
            </m:sub>
          </m:sSub>
          <m:r>
            <w:rPr>
              <w:rFonts w:ascii="Cambria Math" w:hAnsi="Cambria Math"/>
              <w:lang w:val="en-US"/>
            </w:rPr>
            <m:t xml:space="preserve"> ~ </m:t>
          </m:r>
          <m:r>
            <w:rPr>
              <w:rFonts w:ascii="Cambria Math" w:hAnsi="Cambria Math"/>
              <w:lang w:val="en-US"/>
            </w:rPr>
            <m:t>logN</m:t>
          </m:r>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0</m:t>
              </m:r>
            </m:sub>
          </m:sSub>
          <m:r>
            <w:rPr>
              <w:rFonts w:ascii="Cambria Math" w:hAnsi="Cambria Math"/>
              <w:lang w:val="en-US"/>
            </w:rPr>
            <m:t>+</m:t>
          </m:r>
          <m:r>
            <m:rPr>
              <m:sty m:val="bi"/>
            </m:rPr>
            <w:rPr>
              <w:rFonts w:ascii="Cambria Math" w:hAnsi="Cambria Math"/>
              <w:lang w:val="en-US"/>
            </w:rPr>
            <m:t>β</m:t>
          </m:r>
          <m:r>
            <m:rPr>
              <m:sty m:val="bi"/>
            </m:rPr>
            <w:rPr>
              <w:rFonts w:ascii="Cambria Math" w:hAnsi="Cambria Math"/>
              <w:lang w:val="en-US"/>
            </w:rPr>
            <m:t>∙</m:t>
          </m:r>
          <m:r>
            <m:rPr>
              <m:sty m:val="bi"/>
            </m:rPr>
            <w:rPr>
              <w:rFonts w:ascii="Cambria Math" w:hAnsi="Cambria Math"/>
              <w:lang w:val="en-US"/>
            </w:rPr>
            <m:t>X</m:t>
          </m:r>
          <m:r>
            <m:rPr>
              <m:sty m:val="bi"/>
            </m:rPr>
            <w:rPr>
              <w:rFonts w:ascii="Cambria Math" w:hAnsi="Cambria Math"/>
              <w:lang w:val="en-US"/>
            </w:rPr>
            <m:t xml:space="preserve">, </m:t>
          </m:r>
          <m:sSubSup>
            <m:sSubSupPr>
              <m:ctrlPr>
                <w:rPr>
                  <w:rFonts w:ascii="Cambria Math" w:hAnsi="Cambria Math"/>
                  <w:i/>
                  <w:lang w:val="en-US"/>
                </w:rPr>
              </m:ctrlPr>
            </m:sSubSupPr>
            <m:e>
              <m:r>
                <w:rPr>
                  <w:rFonts w:ascii="Cambria Math" w:hAnsi="Cambria Math"/>
                  <w:lang w:val="en-US"/>
                </w:rPr>
                <m:t>σ</m:t>
              </m:r>
            </m:e>
            <m:sub>
              <m:r>
                <w:rPr>
                  <w:rFonts w:ascii="Cambria Math" w:hAnsi="Cambria Math"/>
                  <w:lang w:val="en-US"/>
                </w:rPr>
                <m:t>true</m:t>
              </m:r>
            </m:sub>
            <m:sup>
              <m:r>
                <w:rPr>
                  <w:rFonts w:ascii="Cambria Math" w:hAnsi="Cambria Math"/>
                  <w:lang w:val="en-US"/>
                </w:rPr>
                <m:t>2</m:t>
              </m:r>
            </m:sup>
          </m:sSubSup>
          <m:r>
            <w:rPr>
              <w:rFonts w:ascii="Cambria Math" w:hAnsi="Cambria Math"/>
              <w:lang w:val="en-US"/>
            </w:rPr>
            <m:t>)</m:t>
          </m:r>
        </m:oMath>
      </m:oMathPara>
    </w:p>
    <w:p w14:paraId="6CB76DF6" w14:textId="0A1AF5CB" w:rsidR="00957700" w:rsidRDefault="002F4F18" w:rsidP="00957700">
      <w:pPr>
        <w:spacing w:line="276" w:lineRule="auto"/>
        <w:jc w:val="both"/>
        <w:rPr>
          <w:rFonts w:eastAsiaTheme="minorEastAsia" w:cstheme="minorHAnsi"/>
          <w:lang w:val="en-US"/>
        </w:rPr>
      </w:pPr>
      <w:r w:rsidRPr="005B29F8">
        <w:rPr>
          <w:rFonts w:eastAsiaTheme="minorEastAsia" w:cstheme="minorHAnsi"/>
          <w:lang w:val="en-US"/>
        </w:rPr>
        <w:t xml:space="preserve">with </w:t>
      </w:r>
      <w:r w:rsidRPr="00E93142">
        <w:rPr>
          <w:rFonts w:eastAsiaTheme="minorEastAsia" w:cstheme="minorHAnsi"/>
          <w:i/>
          <w:iCs/>
          <w:lang w:val="en-US"/>
        </w:rPr>
        <w:t>µ</w:t>
      </w:r>
      <w:r w:rsidR="004E2235" w:rsidRPr="00E93142">
        <w:rPr>
          <w:rFonts w:eastAsiaTheme="minorEastAsia" w:cstheme="minorHAnsi"/>
          <w:i/>
          <w:iCs/>
          <w:vertAlign w:val="subscript"/>
          <w:lang w:val="en-US"/>
        </w:rPr>
        <w:t>true</w:t>
      </w:r>
      <w:r w:rsidRPr="00E93142">
        <w:rPr>
          <w:rFonts w:eastAsiaTheme="minorEastAsia" w:cstheme="minorHAnsi"/>
          <w:lang w:val="en-US"/>
        </w:rPr>
        <w:t xml:space="preserve"> </w:t>
      </w:r>
      <w:r w:rsidRPr="005B29F8">
        <w:rPr>
          <w:rFonts w:eastAsiaTheme="minorEastAsia" w:cstheme="minorHAnsi"/>
          <w:lang w:val="en-US"/>
        </w:rPr>
        <w:t>[</w:t>
      </w:r>
      <w:r w:rsidR="000E6132">
        <w:rPr>
          <w:rFonts w:eastAsiaTheme="minorEastAsia" w:cstheme="minorHAnsi"/>
          <w:lang w:val="en-US"/>
        </w:rPr>
        <w:t>Mg C ha</w:t>
      </w:r>
      <w:r w:rsidR="000E6132">
        <w:rPr>
          <w:rFonts w:eastAsiaTheme="minorEastAsia" w:cstheme="minorHAnsi"/>
          <w:vertAlign w:val="superscript"/>
          <w:lang w:val="en-US"/>
        </w:rPr>
        <w:t>-1</w:t>
      </w:r>
      <w:r w:rsidR="000E6132">
        <w:rPr>
          <w:rFonts w:eastAsiaTheme="minorEastAsia" w:cstheme="minorHAnsi"/>
          <w:lang w:val="en-US"/>
        </w:rPr>
        <w:t xml:space="preserve"> or years</w:t>
      </w:r>
      <w:r w:rsidRPr="005B29F8">
        <w:rPr>
          <w:rFonts w:eastAsiaTheme="minorEastAsia" w:cstheme="minorHAnsi"/>
          <w:lang w:val="en-US"/>
        </w:rPr>
        <w:t xml:space="preserve">] </w:t>
      </w:r>
      <w:r w:rsidR="004E2235">
        <w:rPr>
          <w:rFonts w:eastAsiaTheme="minorEastAsia" w:cstheme="minorHAnsi"/>
          <w:lang w:val="en-US"/>
        </w:rPr>
        <w:t xml:space="preserve">the estimated true value of </w:t>
      </w:r>
      <w:r w:rsidR="004E2235" w:rsidRPr="00D1731A">
        <w:rPr>
          <w:rFonts w:cstheme="minorHAnsi"/>
          <w:lang w:val="en-US"/>
        </w:rPr>
        <w:t>CA</w:t>
      </w:r>
      <w:r w:rsidR="004E2235" w:rsidRPr="00D1731A">
        <w:rPr>
          <w:rFonts w:cstheme="minorHAnsi"/>
          <w:vertAlign w:val="subscript"/>
          <w:lang w:val="en-US"/>
        </w:rPr>
        <w:t>20</w:t>
      </w:r>
      <w:r w:rsidR="004E2235" w:rsidRPr="00D1731A">
        <w:rPr>
          <w:rFonts w:cstheme="minorHAnsi"/>
          <w:lang w:val="en-US"/>
        </w:rPr>
        <w:t>, t</w:t>
      </w:r>
      <w:r w:rsidR="004E2235" w:rsidRPr="00D1731A">
        <w:rPr>
          <w:rFonts w:cstheme="minorHAnsi"/>
          <w:vertAlign w:val="subscript"/>
          <w:lang w:val="en-US"/>
        </w:rPr>
        <w:t>90</w:t>
      </w:r>
      <w:r w:rsidR="004E2235" w:rsidRPr="00D1731A">
        <w:rPr>
          <w:rFonts w:cstheme="minorHAnsi"/>
          <w:lang w:val="en-US"/>
        </w:rPr>
        <w:t xml:space="preserve">, </w:t>
      </w:r>
      <w:r w:rsidR="004E2235">
        <w:rPr>
          <w:rFonts w:cstheme="minorHAnsi"/>
          <w:lang w:val="en-US"/>
        </w:rPr>
        <w:t>or</w:t>
      </w:r>
      <w:r w:rsidR="004E2235" w:rsidRPr="00D1731A">
        <w:rPr>
          <w:rFonts w:cstheme="minorHAnsi"/>
          <w:lang w:val="en-US"/>
        </w:rPr>
        <w:t xml:space="preserve"> AGC</w:t>
      </w:r>
      <w:r w:rsidR="004E2235" w:rsidRPr="00D1731A">
        <w:rPr>
          <w:rFonts w:cstheme="minorHAnsi"/>
          <w:vertAlign w:val="subscript"/>
          <w:lang w:val="en-US"/>
        </w:rPr>
        <w:t>20</w:t>
      </w:r>
      <w:r w:rsidR="004E2235">
        <w:rPr>
          <w:rFonts w:eastAsiaTheme="minorEastAsia" w:cstheme="minorHAnsi"/>
          <w:lang w:val="en-US"/>
        </w:rPr>
        <w:t xml:space="preserve">, </w:t>
      </w:r>
      <w:r w:rsidR="004E2235" w:rsidRPr="004E2235">
        <w:rPr>
          <w:rFonts w:eastAsiaTheme="minorEastAsia" w:cstheme="minorHAnsi"/>
          <w:lang w:val="en-US"/>
        </w:rPr>
        <w:t>β</w:t>
      </w:r>
      <w:r w:rsidR="004E2235">
        <w:rPr>
          <w:rFonts w:eastAsiaTheme="minorEastAsia" w:cstheme="minorHAnsi"/>
          <w:vertAlign w:val="subscript"/>
          <w:lang w:val="en-US"/>
        </w:rPr>
        <w:t>0</w:t>
      </w:r>
      <w:r w:rsidR="004E2235">
        <w:rPr>
          <w:rFonts w:eastAsiaTheme="minorEastAsia" w:cstheme="minorHAnsi"/>
          <w:lang w:val="en-US"/>
        </w:rPr>
        <w:t xml:space="preserve"> the </w:t>
      </w:r>
      <w:r w:rsidR="00790A4A">
        <w:rPr>
          <w:rFonts w:eastAsiaTheme="minorEastAsia" w:cstheme="minorHAnsi"/>
          <w:lang w:val="en-US"/>
        </w:rPr>
        <w:t xml:space="preserve">intercept of the multiple linear regression, </w:t>
      </w:r>
      <w:r w:rsidR="00790A4A" w:rsidRPr="00790A4A">
        <w:rPr>
          <w:rFonts w:eastAsiaTheme="minorEastAsia" w:cstheme="minorHAnsi"/>
          <w:b/>
          <w:bCs/>
          <w:lang w:val="en-US"/>
        </w:rPr>
        <w:t>β</w:t>
      </w:r>
      <w:r w:rsidR="00790A4A">
        <w:rPr>
          <w:rFonts w:eastAsiaTheme="minorEastAsia" w:cstheme="minorHAnsi"/>
          <w:lang w:val="en-US"/>
        </w:rPr>
        <w:t xml:space="preserve"> the vector of effect sizes, </w:t>
      </w:r>
      <w:r w:rsidR="00790A4A" w:rsidRPr="00790A4A">
        <w:rPr>
          <w:rFonts w:eastAsiaTheme="minorEastAsia" w:cstheme="minorHAnsi"/>
          <w:b/>
          <w:bCs/>
          <w:lang w:val="en-US"/>
        </w:rPr>
        <w:t>X</w:t>
      </w:r>
      <w:r w:rsidR="00790A4A">
        <w:rPr>
          <w:rFonts w:eastAsiaTheme="minorEastAsia" w:cstheme="minorHAnsi"/>
          <w:lang w:val="en-US"/>
        </w:rPr>
        <w:t xml:space="preserve"> the matrix of</w:t>
      </w:r>
      <w:r w:rsidR="003E6186">
        <w:rPr>
          <w:rFonts w:eastAsiaTheme="minorEastAsia" w:cstheme="minorHAnsi"/>
          <w:lang w:val="en-US"/>
        </w:rPr>
        <w:t xml:space="preserve"> site-specific</w:t>
      </w:r>
      <w:r w:rsidR="00790A4A">
        <w:rPr>
          <w:rFonts w:eastAsiaTheme="minorEastAsia" w:cstheme="minorHAnsi"/>
          <w:lang w:val="en-US"/>
        </w:rPr>
        <w:t xml:space="preserve"> </w:t>
      </w:r>
      <w:r w:rsidR="003E6186">
        <w:rPr>
          <w:rFonts w:eastAsiaTheme="minorEastAsia" w:cstheme="minorHAnsi"/>
          <w:lang w:val="en-US"/>
        </w:rPr>
        <w:t>environmental covariate values</w:t>
      </w:r>
      <w:r w:rsidR="00D2556F">
        <w:rPr>
          <w:rFonts w:eastAsiaTheme="minorEastAsia" w:cstheme="minorHAnsi"/>
          <w:lang w:val="en-US"/>
        </w:rPr>
        <w:t xml:space="preserve">, and </w:t>
      </w:r>
      <w:r w:rsidR="00D2556F" w:rsidRPr="00D2556F">
        <w:rPr>
          <w:rFonts w:eastAsiaTheme="minorEastAsia" w:cstheme="minorHAnsi"/>
          <w:lang w:val="en-US"/>
        </w:rPr>
        <w:t>σ</w:t>
      </w:r>
      <w:r w:rsidR="00D2556F">
        <w:rPr>
          <w:rFonts w:eastAsiaTheme="minorEastAsia" w:cstheme="minorHAnsi"/>
          <w:lang w:val="en-US"/>
        </w:rPr>
        <w:t>²</w:t>
      </w:r>
      <w:r w:rsidR="00D2556F" w:rsidRPr="00D2556F">
        <w:rPr>
          <w:rFonts w:eastAsiaTheme="minorEastAsia" w:cstheme="minorHAnsi"/>
          <w:vertAlign w:val="subscript"/>
          <w:lang w:val="en-US"/>
        </w:rPr>
        <w:t>true</w:t>
      </w:r>
      <w:r w:rsidR="00D2556F">
        <w:rPr>
          <w:rFonts w:eastAsiaTheme="minorEastAsia" w:cstheme="minorHAnsi"/>
          <w:lang w:val="en-US"/>
        </w:rPr>
        <w:t xml:space="preserve"> </w:t>
      </w:r>
      <w:r w:rsidR="009C06E5">
        <w:rPr>
          <w:rFonts w:eastAsiaTheme="minorEastAsia" w:cstheme="minorHAnsi"/>
          <w:lang w:val="en-US"/>
        </w:rPr>
        <w:t>the dispersion of the lognormal distribution</w:t>
      </w:r>
      <w:r w:rsidR="003E6186">
        <w:rPr>
          <w:rFonts w:eastAsiaTheme="minorEastAsia" w:cstheme="minorHAnsi"/>
          <w:lang w:val="en-US"/>
        </w:rPr>
        <w:t>.</w:t>
      </w:r>
      <w:r w:rsidR="00220548">
        <w:rPr>
          <w:rFonts w:eastAsiaTheme="minorEastAsia" w:cstheme="minorHAnsi"/>
          <w:lang w:val="en-US"/>
        </w:rPr>
        <w:t xml:space="preserve"> </w:t>
      </w:r>
      <w:r w:rsidR="00DD2894">
        <w:rPr>
          <w:rFonts w:eastAsiaTheme="minorEastAsia" w:cstheme="minorHAnsi"/>
          <w:lang w:val="en-US"/>
        </w:rPr>
        <w:t>The</w:t>
      </w:r>
      <w:r w:rsidRPr="005B29F8">
        <w:rPr>
          <w:rFonts w:eastAsiaTheme="minorEastAsia" w:cstheme="minorHAnsi"/>
          <w:lang w:val="en-US"/>
        </w:rPr>
        <w:t xml:space="preserve"> dispersion parameters </w:t>
      </w:r>
      <w:r w:rsidR="00DD2894">
        <w:rPr>
          <w:rFonts w:eastAsiaTheme="minorEastAsia" w:cstheme="minorHAnsi"/>
          <w:lang w:val="en-US"/>
        </w:rPr>
        <w:t>for both lognormal distributions</w:t>
      </w:r>
      <w:r w:rsidR="00E93142">
        <w:rPr>
          <w:rFonts w:eastAsiaTheme="minorEastAsia" w:cstheme="minorHAnsi"/>
          <w:lang w:val="en-US"/>
        </w:rPr>
        <w:t>, i.e.,</w:t>
      </w:r>
      <w:r w:rsidR="00C401D7">
        <w:rPr>
          <w:rFonts w:eastAsiaTheme="minorEastAsia" w:cstheme="minorHAnsi"/>
          <w:lang w:val="en-US"/>
        </w:rPr>
        <w:t xml:space="preserve"> for</w:t>
      </w:r>
      <w:r w:rsidR="00DD2894">
        <w:rPr>
          <w:rFonts w:eastAsiaTheme="minorEastAsia" w:cstheme="minorHAnsi"/>
          <w:lang w:val="en-US"/>
        </w:rPr>
        <w:t xml:space="preserve"> the latent variable </w:t>
      </w:r>
      <w:r w:rsidR="00E93142" w:rsidRPr="00E93142">
        <w:rPr>
          <w:rFonts w:eastAsiaTheme="minorEastAsia" w:cstheme="minorHAnsi"/>
          <w:i/>
          <w:iCs/>
          <w:lang w:val="en-US"/>
        </w:rPr>
        <w:t>μ</w:t>
      </w:r>
      <w:r w:rsidR="00E93142" w:rsidRPr="00E93142">
        <w:rPr>
          <w:rFonts w:eastAsiaTheme="minorEastAsia" w:cstheme="minorHAnsi"/>
          <w:i/>
          <w:iCs/>
          <w:vertAlign w:val="subscript"/>
          <w:lang w:val="en-US"/>
        </w:rPr>
        <w:t>true</w:t>
      </w:r>
      <w:r w:rsidR="00E93142">
        <w:rPr>
          <w:rFonts w:eastAsiaTheme="minorEastAsia" w:cstheme="minorHAnsi"/>
          <w:lang w:val="en-US"/>
        </w:rPr>
        <w:t xml:space="preserve"> and </w:t>
      </w:r>
      <w:r w:rsidR="000C53B0">
        <w:rPr>
          <w:rFonts w:eastAsiaTheme="minorEastAsia" w:cstheme="minorHAnsi"/>
          <w:lang w:val="en-US"/>
        </w:rPr>
        <w:t xml:space="preserve">the regression model, were </w:t>
      </w:r>
      <w:r w:rsidRPr="005B29F8">
        <w:rPr>
          <w:rFonts w:eastAsiaTheme="minorEastAsia" w:cstheme="minorHAnsi"/>
          <w:lang w:val="en-US"/>
        </w:rPr>
        <w:t xml:space="preserve">evaluated </w:t>
      </w:r>
      <w:r w:rsidRPr="005B29F8">
        <w:rPr>
          <w:rFonts w:eastAsiaTheme="minorEastAsia" w:cstheme="minorHAnsi"/>
          <w:lang w:val="en-US"/>
        </w:rPr>
        <w:lastRenderedPageBreak/>
        <w:t xml:space="preserve">on normal distributions with µ = 0 and σ = </w:t>
      </w:r>
      <w:r w:rsidR="000C53B0">
        <w:rPr>
          <w:rFonts w:eastAsiaTheme="minorEastAsia" w:cstheme="minorHAnsi"/>
          <w:lang w:val="en-US"/>
        </w:rPr>
        <w:t>5</w:t>
      </w:r>
      <w:r w:rsidR="005A63B4">
        <w:rPr>
          <w:rFonts w:eastAsiaTheme="minorEastAsia" w:cstheme="minorHAnsi"/>
          <w:lang w:val="en-US"/>
        </w:rPr>
        <w:t xml:space="preserve">, as was the case for the effect sizes </w:t>
      </w:r>
      <w:r w:rsidR="005A63B4" w:rsidRPr="00790A4A">
        <w:rPr>
          <w:rFonts w:eastAsiaTheme="minorEastAsia" w:cstheme="minorHAnsi"/>
          <w:b/>
          <w:bCs/>
          <w:lang w:val="en-US"/>
        </w:rPr>
        <w:t>β</w:t>
      </w:r>
      <w:r w:rsidR="005A63B4">
        <w:rPr>
          <w:rFonts w:eastAsiaTheme="minorEastAsia" w:cstheme="minorHAnsi"/>
          <w:lang w:val="en-US"/>
        </w:rPr>
        <w:t xml:space="preserve">. </w:t>
      </w:r>
      <w:r w:rsidR="001E19CE">
        <w:rPr>
          <w:rFonts w:eastAsiaTheme="minorEastAsia" w:cstheme="minorHAnsi"/>
          <w:lang w:val="en-US"/>
        </w:rPr>
        <w:t>For t</w:t>
      </w:r>
      <w:r w:rsidR="005721AE">
        <w:rPr>
          <w:rFonts w:eastAsiaTheme="minorEastAsia" w:cstheme="minorHAnsi"/>
          <w:lang w:val="en-US"/>
        </w:rPr>
        <w:t xml:space="preserve">he intercept </w:t>
      </w:r>
      <w:r w:rsidR="005A63B4">
        <w:rPr>
          <w:rFonts w:eastAsiaTheme="minorEastAsia" w:cstheme="minorHAnsi"/>
          <w:lang w:val="en-US"/>
        </w:rPr>
        <w:t xml:space="preserve"> </w:t>
      </w:r>
      <w:r w:rsidR="005721AE" w:rsidRPr="004E2235">
        <w:rPr>
          <w:rFonts w:eastAsiaTheme="minorEastAsia" w:cstheme="minorHAnsi"/>
          <w:lang w:val="en-US"/>
        </w:rPr>
        <w:t>β</w:t>
      </w:r>
      <w:r w:rsidR="005721AE">
        <w:rPr>
          <w:rFonts w:eastAsiaTheme="minorEastAsia" w:cstheme="minorHAnsi"/>
          <w:vertAlign w:val="subscript"/>
          <w:lang w:val="en-US"/>
        </w:rPr>
        <w:t>0</w:t>
      </w:r>
      <w:r w:rsidR="001E19CE">
        <w:rPr>
          <w:rFonts w:eastAsiaTheme="minorEastAsia" w:cstheme="minorHAnsi"/>
          <w:lang w:val="en-US"/>
        </w:rPr>
        <w:t xml:space="preserve">, </w:t>
      </w:r>
      <w:r w:rsidR="00883B95">
        <w:rPr>
          <w:rFonts w:eastAsiaTheme="minorEastAsia" w:cstheme="minorHAnsi"/>
          <w:lang w:val="en-US"/>
        </w:rPr>
        <w:t xml:space="preserve">the dispersion was set to </w:t>
      </w:r>
      <w:r w:rsidR="00883B95" w:rsidRPr="005B29F8">
        <w:rPr>
          <w:rFonts w:eastAsiaTheme="minorEastAsia" w:cstheme="minorHAnsi"/>
          <w:lang w:val="en-US"/>
        </w:rPr>
        <w:t xml:space="preserve">σ = </w:t>
      </w:r>
      <w:r w:rsidR="00883B95">
        <w:rPr>
          <w:rFonts w:eastAsiaTheme="minorEastAsia" w:cstheme="minorHAnsi"/>
          <w:lang w:val="en-US"/>
        </w:rPr>
        <w:t>10</w:t>
      </w:r>
      <w:r w:rsidR="005F3063">
        <w:rPr>
          <w:rFonts w:eastAsiaTheme="minorEastAsia" w:cstheme="minorHAnsi"/>
          <w:lang w:val="en-US"/>
        </w:rPr>
        <w:t>.</w:t>
      </w:r>
    </w:p>
    <w:p w14:paraId="1268DF4A" w14:textId="5C4ADBBE" w:rsidR="00957700" w:rsidRDefault="00957700" w:rsidP="00883B95">
      <w:pPr>
        <w:spacing w:after="0" w:line="276" w:lineRule="auto"/>
        <w:jc w:val="both"/>
        <w:rPr>
          <w:rFonts w:eastAsiaTheme="minorEastAsia" w:cstheme="minorHAnsi"/>
          <w:lang w:val="en-US"/>
        </w:rPr>
      </w:pPr>
      <w:r w:rsidRPr="004D0B40">
        <w:rPr>
          <w:rFonts w:cstheme="minorHAnsi"/>
          <w:lang w:val="en-US"/>
        </w:rPr>
        <w:t xml:space="preserve">The full Stan code used to model the </w:t>
      </w:r>
      <w:r>
        <w:rPr>
          <w:rFonts w:cstheme="minorHAnsi"/>
          <w:lang w:val="en-US"/>
        </w:rPr>
        <w:t>environmental effects</w:t>
      </w:r>
      <w:r w:rsidRPr="004D0B40">
        <w:rPr>
          <w:rFonts w:cstheme="minorHAnsi"/>
          <w:lang w:val="en-US"/>
        </w:rPr>
        <w:t xml:space="preserve"> can be found below.</w:t>
      </w:r>
    </w:p>
    <w:p w14:paraId="7524F557" w14:textId="77777777" w:rsidR="001A4C9A" w:rsidRDefault="001A4C9A" w:rsidP="00883B95">
      <w:pPr>
        <w:spacing w:after="0" w:line="276" w:lineRule="auto"/>
        <w:jc w:val="both"/>
        <w:rPr>
          <w:rFonts w:eastAsiaTheme="minorEastAsia" w:cstheme="minorHAnsi"/>
          <w:lang w:val="en-US"/>
        </w:rPr>
      </w:pPr>
    </w:p>
    <w:p w14:paraId="6C318CEB" w14:textId="78E4C292" w:rsidR="004F3CB3" w:rsidRDefault="008F72E4" w:rsidP="004F3CB3">
      <w:pPr>
        <w:spacing w:line="276" w:lineRule="auto"/>
        <w:jc w:val="both"/>
        <w:rPr>
          <w:rFonts w:cstheme="minorHAnsi"/>
          <w:i/>
          <w:iCs/>
          <w:lang w:val="en-US"/>
        </w:rPr>
      </w:pPr>
      <w:r>
        <w:rPr>
          <w:rFonts w:cstheme="minorHAnsi"/>
          <w:i/>
          <w:iCs/>
          <w:lang w:val="en-US"/>
        </w:rPr>
        <w:t>Spatial predictions</w:t>
      </w:r>
      <w:r w:rsidRPr="008D0231">
        <w:rPr>
          <w:rFonts w:cstheme="minorHAnsi"/>
          <w:i/>
          <w:iCs/>
          <w:lang w:val="en-US"/>
        </w:rPr>
        <w:t xml:space="preserve"> </w:t>
      </w:r>
    </w:p>
    <w:p w14:paraId="18549DDF" w14:textId="77777777" w:rsidR="007C637C" w:rsidRDefault="00034FA5" w:rsidP="004F3CB3">
      <w:pPr>
        <w:spacing w:line="276" w:lineRule="auto"/>
        <w:jc w:val="both"/>
        <w:rPr>
          <w:rFonts w:cstheme="minorHAnsi"/>
          <w:lang w:val="en-US"/>
        </w:rPr>
      </w:pPr>
      <w:r w:rsidRPr="00034FA5">
        <w:rPr>
          <w:rFonts w:cstheme="minorHAnsi"/>
          <w:lang w:val="en-US"/>
        </w:rPr>
        <w:t xml:space="preserve">Using the posterior parameter estimates from the final Stan model, uncertainty was fully propagated into the spatial predictions. For each recovery metric, 1000 draws were randomly sampled from the joint posterior distribution of the intercept and regression coefficients. Each draw was then combined with the corresponding pre-scaled environmental covariate rasters </w:t>
      </w:r>
      <w:r w:rsidR="00085FD5">
        <w:rPr>
          <w:rFonts w:cstheme="minorHAnsi"/>
          <w:lang w:val="en-US"/>
        </w:rPr>
        <w:t>–</w:t>
      </w:r>
      <w:r w:rsidRPr="00034FA5">
        <w:rPr>
          <w:rFonts w:cstheme="minorHAnsi"/>
          <w:lang w:val="en-US"/>
        </w:rPr>
        <w:t xml:space="preserve"> one raster layer per retained predictor </w:t>
      </w:r>
      <w:r w:rsidR="00085FD5">
        <w:rPr>
          <w:rFonts w:cstheme="minorHAnsi"/>
          <w:lang w:val="en-US"/>
        </w:rPr>
        <w:t>–</w:t>
      </w:r>
      <w:r w:rsidRPr="00034FA5">
        <w:rPr>
          <w:rFonts w:cstheme="minorHAnsi"/>
          <w:lang w:val="en-US"/>
        </w:rPr>
        <w:t xml:space="preserve"> by computing the linear predictor pixel-wise, yielding a single spatially explicit prediction map per draw. This resulted in a stack of 1000 prediction maps per metric, each representing one plausible realization of the spatial pattern given posterior uncertainty in the regression parameters.</w:t>
      </w:r>
      <w:r w:rsidR="004B4CF1">
        <w:rPr>
          <w:rFonts w:cstheme="minorHAnsi"/>
          <w:lang w:val="en-US"/>
        </w:rPr>
        <w:t xml:space="preserve"> </w:t>
      </w:r>
      <w:r w:rsidRPr="00034FA5">
        <w:rPr>
          <w:rFonts w:cstheme="minorHAnsi"/>
          <w:lang w:val="en-US"/>
        </w:rPr>
        <w:t xml:space="preserve">Covariate rasters were standardized prior to prediction using the same centering and scaling parameters applied to the site-level environmental data during model fitting, ensuring that the spatial predictions are fully consistent with the regression model. Finally, pixel-wise summary statistics </w:t>
      </w:r>
      <w:r w:rsidR="004B4CF1">
        <w:rPr>
          <w:rFonts w:cstheme="minorHAnsi"/>
          <w:lang w:val="en-US"/>
        </w:rPr>
        <w:t>–</w:t>
      </w:r>
      <w:r w:rsidRPr="00034FA5">
        <w:rPr>
          <w:rFonts w:cstheme="minorHAnsi"/>
          <w:lang w:val="en-US"/>
        </w:rPr>
        <w:t xml:space="preserve"> mean, median, and 5th and 95th percentiles </w:t>
      </w:r>
      <w:r w:rsidR="004B4CF1">
        <w:rPr>
          <w:rFonts w:cstheme="minorHAnsi"/>
          <w:lang w:val="en-US"/>
        </w:rPr>
        <w:t>–</w:t>
      </w:r>
      <w:r w:rsidRPr="00034FA5">
        <w:rPr>
          <w:rFonts w:cstheme="minorHAnsi"/>
          <w:lang w:val="en-US"/>
        </w:rPr>
        <w:t xml:space="preserve"> were derived across the 1000-layer prediction stack, providing spatially explicit estimates of both central tendency and predictive uncertainty for each metric across the study region.</w:t>
      </w:r>
    </w:p>
    <w:p w14:paraId="7AA699F8" w14:textId="0A281237" w:rsidR="004D0B40" w:rsidRPr="00957700" w:rsidRDefault="004D4D42" w:rsidP="004F3CB3">
      <w:pPr>
        <w:spacing w:line="276" w:lineRule="auto"/>
        <w:jc w:val="both"/>
        <w:rPr>
          <w:rFonts w:eastAsiaTheme="minorEastAsia" w:cstheme="minorHAnsi"/>
          <w:lang w:val="en-US"/>
        </w:rPr>
      </w:pPr>
      <w:r w:rsidRPr="004D4D42">
        <w:rPr>
          <w:rFonts w:cstheme="minorHAnsi"/>
          <w:lang w:val="en-US"/>
        </w:rPr>
        <w:t>To delineate the spatial extent to which model predictions can be considered reliable, we assessed the Area of Applicability (AOA) for each response metric (t</w:t>
      </w:r>
      <w:r w:rsidRPr="004D4D42">
        <w:rPr>
          <w:rFonts w:cstheme="minorHAnsi"/>
          <w:vertAlign w:val="subscript"/>
          <w:lang w:val="en-US"/>
        </w:rPr>
        <w:t>90</w:t>
      </w:r>
      <w:r>
        <w:rPr>
          <w:rFonts w:cstheme="minorHAnsi"/>
          <w:lang w:val="en-US"/>
        </w:rPr>
        <w:t xml:space="preserve">, </w:t>
      </w:r>
      <w:r w:rsidRPr="004D4D42">
        <w:rPr>
          <w:rFonts w:cstheme="minorHAnsi"/>
          <w:lang w:val="en-US"/>
        </w:rPr>
        <w:t>CA</w:t>
      </w:r>
      <w:r w:rsidRPr="004D4D42">
        <w:rPr>
          <w:rFonts w:cstheme="minorHAnsi"/>
          <w:vertAlign w:val="subscript"/>
          <w:lang w:val="en-US"/>
        </w:rPr>
        <w:t>20</w:t>
      </w:r>
      <w:r w:rsidRPr="004D4D42">
        <w:rPr>
          <w:rFonts w:cstheme="minorHAnsi"/>
          <w:lang w:val="en-US"/>
        </w:rPr>
        <w:t>, AGC</w:t>
      </w:r>
      <w:r w:rsidRPr="004D4D42">
        <w:rPr>
          <w:rFonts w:cstheme="minorHAnsi"/>
          <w:vertAlign w:val="subscript"/>
          <w:lang w:val="en-US"/>
        </w:rPr>
        <w:t>20</w:t>
      </w:r>
      <w:r w:rsidRPr="004D4D42">
        <w:rPr>
          <w:rFonts w:cstheme="minorHAnsi"/>
          <w:lang w:val="en-US"/>
        </w:rPr>
        <w:t xml:space="preserve">) using the </w:t>
      </w:r>
      <w:r w:rsidRPr="004D4D42">
        <w:rPr>
          <w:rFonts w:cstheme="minorHAnsi"/>
          <w:i/>
          <w:iCs/>
          <w:lang w:val="en-US"/>
        </w:rPr>
        <w:t>CAST</w:t>
      </w:r>
      <w:r w:rsidRPr="004D4D42">
        <w:rPr>
          <w:rFonts w:cstheme="minorHAnsi"/>
          <w:lang w:val="en-US"/>
        </w:rPr>
        <w:t xml:space="preserve"> package in R</w:t>
      </w:r>
      <w:r>
        <w:rPr>
          <w:rFonts w:cstheme="minorHAnsi"/>
          <w:lang w:val="en-US"/>
        </w:rPr>
        <w:t xml:space="preserve"> (version </w:t>
      </w:r>
      <w:r w:rsidR="008B7749" w:rsidRPr="008B7749">
        <w:rPr>
          <w:rFonts w:cstheme="minorHAnsi"/>
          <w:lang w:val="en-US"/>
        </w:rPr>
        <w:t>1.0.4</w:t>
      </w:r>
      <w:r>
        <w:rPr>
          <w:rFonts w:cstheme="minorHAnsi"/>
          <w:lang w:val="en-US"/>
        </w:rPr>
        <w:t>)</w:t>
      </w:r>
      <w:r w:rsidR="006657F4">
        <w:rPr>
          <w:rFonts w:cstheme="minorHAnsi"/>
          <w:lang w:val="en-US"/>
        </w:rPr>
        <w:fldChar w:fldCharType="begin"/>
      </w:r>
      <w:r w:rsidR="006657F4">
        <w:rPr>
          <w:rFonts w:cstheme="minorHAnsi"/>
          <w:lang w:val="en-US"/>
        </w:rPr>
        <w:instrText xml:space="preserve"> ADDIN ZOTERO_ITEM CSL_CITATION {"citationID":"kLgouGA6","properties":{"unsorted":false,"formattedCitation":"\\super 29\\nosupersub{}","plainCitation":"29","noteIndex":0},"citationItems":[{"id":9185,"uris":["http://zotero.org/users/13671732/items/YWXDX9EY"],"itemData":{"id":9185,"type":"software","abstract":"Supporting functionality to run 'caret' with spatial or spatial-temporal data. 'caret' is a frequently used package for model training and prediction using machine learning. CAST includes functions to improve spatial or spatial-temporal modelling tasks using 'caret'. It includes the newly suggested 'Nearest neighbor distance matching' cross-validation to estimate the performance of spatial prediction models and allows for spatial variable selection to selects suitable predictor variables in view to their contribution to the spatial model performance. CAST further includes functionality to estimate the (spatial) area of applicability of prediction models. Methods are described in Meyer et al. (2018) &lt;doi:10.1016/j.envsoft.2017.12.001&gt;; Meyer et al. (2019) &lt;doi:10.1016/j.ecolmodel.2019.108815&gt;; Meyer and Pebesma (2021) &lt;doi:10.1111/2041-210X.13650&gt;; Milà et al. (2022) &lt;doi:10.1111/2041-210X.13851&gt;; Meyer and Pebesma (2022) &lt;doi:10.1038/s41467-022-29838-9&gt;; Linnenbrink et al. (2024) &lt;doi:10.5194/gmd-17-5897-2024&gt;; Schumacher et al. (2025) &lt;doi:10.5194/gmd-18-10185-2025&gt;. The package is described in detail in Meyer et al. (2026) &lt;doi:10.1007/978-3-031-99665-8_11&gt;.","license":"GPL-2 | GPL-3 [expanded from: GPL (≥ 2)]","source":"R-Packages","title":"CAST: 'caret' Applications for Spatial-Temporal Models","title-short":"CAST","URL":"https://cran.r-project.org/web/packages/CAST/index.html","version":"1.0.4","author":[{"family":"Meyer","given":"Hanna"},{"family":"Milà","given":"Carles"},{"family":"Ludwig","given":"Marvin"},{"family":"Linnenbrink","given":"Jan"},{"family":"Schumacher","given":"Fabian"},{"family":"Otto","given":"Philipp"},{"family":"Reudenbach","given":"Chris"},{"family":"Nauss","given":"Thomas"},{"family":"Pebesma","given":"Edzer"},{"family":"Nowosad","given":"Jakub"}],"accessed":{"date-parts":[["2026",5,19]]},"issued":{"date-parts":[["2026",1,26]]}}}],"schema":"https://github.com/citation-style-language/schema/raw/master/csl-citation.json"} </w:instrText>
      </w:r>
      <w:r w:rsidR="006657F4">
        <w:rPr>
          <w:rFonts w:cstheme="minorHAnsi"/>
          <w:lang w:val="en-US"/>
        </w:rPr>
        <w:fldChar w:fldCharType="separate"/>
      </w:r>
      <w:r w:rsidR="006657F4" w:rsidRPr="006657F4">
        <w:rPr>
          <w:rFonts w:ascii="Calibri" w:hAnsi="Calibri" w:cs="Calibri"/>
          <w:kern w:val="0"/>
          <w:vertAlign w:val="superscript"/>
        </w:rPr>
        <w:t>29</w:t>
      </w:r>
      <w:r w:rsidR="006657F4">
        <w:rPr>
          <w:rFonts w:cstheme="minorHAnsi"/>
          <w:lang w:val="en-US"/>
        </w:rPr>
        <w:fldChar w:fldCharType="end"/>
      </w:r>
      <w:r w:rsidRPr="004D4D42">
        <w:rPr>
          <w:rFonts w:cstheme="minorHAnsi"/>
          <w:lang w:val="en-US"/>
        </w:rPr>
        <w:t>. For each metric, predictor rasters were subset to the metric-specific variables identified during model selection and masked to the study region using a biome-based 30% canopy cover threshold mask</w:t>
      </w:r>
      <w:r w:rsidR="00AE2A0A">
        <w:rPr>
          <w:rFonts w:cstheme="minorHAnsi"/>
          <w:lang w:val="en-US"/>
        </w:rPr>
        <w:fldChar w:fldCharType="begin"/>
      </w:r>
      <w:r w:rsidR="00AE2A0A">
        <w:rPr>
          <w:rFonts w:cstheme="minorHAnsi"/>
          <w:lang w:val="en-US"/>
        </w:rPr>
        <w:instrText xml:space="preserve"> ADDIN ZOTERO_ITEM CSL_CITATION {"citationID":"fnEkpBLk","properties":{"unsorted":false,"formattedCitation":"\\super 15,16,30\\nosupersub{}","plainCitation":"15,16,30","noteIndex":0},"citationItems":[{"id":377,"uris":["http://zotero.org/users/13671732/items/ALA4GECX","http://zotero.org/users/13671732/items/BQANGALG"],"itemData":{"id":377,"type":"article-journal","abstract":"Forests worldwide are in a state of flux, with accelerating losses in some regions and gains in others. Hansen et al. (p. 850) examined global Landsat data at a 30-meter spatial resolution to characterize forest extent, loss, and gain from 2000 to 2012. Globally, 2.3 million square kilometers of forest were lost during the 12-year study period and 0.8 million square kilometers of new forest were gained. The tropics exhibited both the greatest losses and the greatest gains (through regrowth and plantation), with losses outstripping gains. Quantification of global forest change has been lacking despite the recognized importance of forest ecosystem services. In this study, Earth observation satellite data were used to map global forest loss (2.3 million square kilometers) and gain (0.8 million square kilometers) from 2000 to 2012 at a spatial resolution of 30 meters. The tropics were the only climate domain to exhibit a trend, with forest loss increasing by 2101 square kilometers per year. Brazil’s well-documented reduction in deforestation was offset by increasing forest loss in Indonesia, Malaysia, Paraguay, Bolivia, Zambia, Angola, and elsewhere. Intensive forestry practiced within subtropical forests resulted in the highest rates of forest change globally. Boreal forest loss due largely to fire and forestry was second to that in the tropics in absolute and proportional terms. These results depict a globally consistent and locally relevant record of forest change.","container-title":"Science","DOI":"10.1126/science.1244693","issue":"6160","page":"850 LP-853","title":"High-Resolution Global Maps of 21st-Century Forest Cover Change","volume":"342","author":[{"family":"Hansen","given":"M C"},{"family":"Potapov","given":"P V"},{"family":"Moore","given":"R"},{"family":"Hancher","given":"M"},{"family":"Turubanova","given":"S A"},{"family":"Tyukavina","given":"A"},{"family":"Thau","given":"D"},{"family":"Stehman","given":"S V"},{"family":"Goetz","given":"S J"},{"family":"Loveland","given":"T R"},{"family":"Kommareddy","given":"A"},{"family":"Egorov","given":"A"},{"family":"Chini","given":"L"},{"family":"Justice","given":"C O"},{"family":"Townshend","given":"J R G"}],"issued":{"date-parts":[["2013",11]]}}},{"id":1782,"uris":["http://zotero.org/users/13671732/items/U3VZXFMW"],"itemData":{"id":1782,"type":"article-journal","abstract":"Oil palm is a controversial crop, primarily because it is associated with negative environmental impacts such as tropical deforestation. Mapping the crop and its characteristics, such as age, is crucial for informing public and policy discussions regarding these impacts. Oil palm has received substantial mapping efforts, but accurate and up-to-date oil palm maps of both extent and age are essential for monitoring impacts and informing concomitant debate. Here, we present a 10 m resolution global map of industrial and smallholder oil palm, developed using Sentinel-1 data for the years 2016–2021 and a deep learning model based on convolutional neural networks. In addition, we used Landsat-5, Landsat-7, and Landsat-8 to estimate the planting year from 1990 to 2021 at a 30 m spatial resolution. The planting year indicates the year of establishment of the current (as of 2021) oil palm plantation by means of either newly planted or replanted oil palm in an existing oil palm plantation. We validated the oil palm extent layer using 18 812 randomly distributed reference points. The accuracy of the planting-year layer was assessed using field data collected from 5831 industrial parcels and 1012 smallholder plantations distributed throughout the global oil palm growing area. We found oil palm plantations covering a total mapped area of 23.98 Mha, and our area estimates are 16.82 ± 0.19 Mha of industrial oil palm and 7.37 ± 0.25 Mha of smallholder oil palm worldwide. The producer's and user's accuracy are 91.0 ± 2.5 % and 91.8 ± 1.2 % for industrial plantations and 71.4 ± 0.7 % and 72.4 ± 1.8 % for smallholders; these values represent an improvement compared to a previous global oil palm dataset, particularly in terms of omission of oil palm. The overall mean error between the estimated planting year and the field data was −0.24 years, and the root-mean-square error was 2.65 years, but the agreement was lower for smallholders. Mapping the extent and planting year of smallholder plantations remains challenging, particularly for wild and sparsely planted oil palm, and future mapping efforts should focus on these specific types of plantations. The average oil palm plantation age was 14.1 years, and the area of oil palm over 20 years old was 6.28 Mha. Given that oil palm plantations are typically replanted after 25 years, our findings indicate that this area will require replanting within the coming decade, starting from 2021. Our dataset provides valuable input for optimal land use planning to meet the growing global demand for vegetable oils. The global oil palm extent layer for the year 2021 and the planting-year layer from 1990 to 2021 can be found at https://doi.org/10.5281/zenodo.13379129 (Descals, 2024a).","container-title":"Earth System Science Data","DOI":"10.5194/essd-16-5111-2024","ISSN":"1866-3508","issue":"11","language":"English","page":"5111-5129","publisher":"Copernicus GmbH","source":"Copernicus Online Journals","title":"Global mapping of oil palm planting year from 1990 to 2021","volume":"16","author":[{"family":"Descals","given":"Adrià"},{"family":"Gaveau","given":"David L. A."},{"family":"Wich","given":"Serge"},{"family":"Szantoi","given":"Zoltan"},{"family":"Meijaard","given":"Erik"}],"issued":{"date-parts":[["2024",11,6]]}}},{"id":8754,"uris":["http://zotero.org/users/13671732/items/7CYD2ZUN"],"itemData":{"id":8754,"type":"article-journal","abstract":"We assess progress toward the protection of 50% of the terrestrial biosphere to address the species-extinction crisis and conserve a global ecological heritage for future generations. Using a map of Earth's 846 terrestrial ecoregions, we show that 98 ecoregions (12%) exceed Half Protected; 313 ecoregions (37%) fall short of Half Protected but have sufficient unaltered habitat remaining to reach the target; and 207 ecoregions (24%) are in peril, where an average of only 4% of natural habitat remains. We propose a Global Deal for Nature—a companion to the Paris Climate Deal—to promote increased habitat protection and restoration, national- and ecoregion-scale conservation strategies, and the empowerment of indigenous peoples to protect their sovereign lands. The goal of such an accord would be to protect half the terrestrial realm by 2050 to halt the extinction crisis while sustaining human livelihoods.","container-title":"BioScience","DOI":"10.1093/biosci/bix014","ISSN":"0006-3568","issue":"6","journalAbbreviation":"BioScience","page":"534-545","source":"Silverchair","title":"An Ecoregion-Based Approach to Protecting Half the Terrestrial Realm","volume":"67","author":[{"family":"Dinerstein","given":"Eric"},{"family":"Olson","given":"David"},{"family":"Joshi","given":"Anup"},{"family":"Vynne","given":"Carly"},{"family":"Burgess","given":"Neil D."},{"family":"Wikramanayake","given":"Eric"},{"family":"Hahn","given":"Nathan"},{"family":"Palminteri","given":"Suzanne"},{"family":"Hedao","given":"Prashant"},{"family":"Noss","given":"Reed"},{"family":"Hansen","given":"Matt"},{"family":"Locke","given":"Harvey"},{"family":"Ellis","given":"Erle C"},{"family":"Jones","given":"Benjamin"},{"family":"Barber","given":"Charles Victor"},{"family":"Hayes","given":"Randy"},{"family":"Kormos","given":"Cyril"},{"family":"Martin","given":"Vance"},{"family":"Crist","given":"Eileen"},{"family":"Sechrest","given":"Wes"},{"family":"Price","given":"Lori"},{"family":"Baillie","given":"Jonathan E. M."},{"family":"Weeden","given":"Don"},{"family":"Suckling","given":"Kierán"},{"family":"Davis","given":"Crystal"},{"family":"Sizer","given":"Nigel"},{"family":"Moore","given":"Rebecca"},{"family":"Thau","given":"David"},{"family":"Birch","given":"Tanya"},{"family":"Potapov","given":"Peter"},{"family":"Turubanova","given":"Svetlana"},{"family":"Tyukavina","given":"Alexandra"},{"family":"Souza","given":"Nadia","non-dropping-particle":"de"},{"family":"Pintea","given":"Lilian"},{"family":"Brito","given":"José C."},{"family":"Llewellyn","given":"Othman A."},{"family":"Miller","given":"Anthony G."},{"family":"Patzelt","given":"Annette"},{"family":"Ghazanfar","given":"Shahina A."},{"family":"Timberlake","given":"Jonathan"},{"family":"Klöser","given":"Heinz"},{"family":"Shennan-Farpón","given":"Yara"},{"family":"Kindt","given":"Roeland"},{"family":"Lillesø","given":"Jens-Peter Barnekow"},{"family":"Breugel","given":"Paulo","non-dropping-particle":"van"},{"family":"Graudal","given":"Lars"},{"family":"Voge","given":"Maianna"},{"family":"Al-Shammari","given":"Khalaf F."},{"family":"Saleem","given":"Muhammad"}],"issued":{"date-parts":[["2017",6,1]]}}}],"schema":"https://github.com/citation-style-language/schema/raw/master/csl-citation.json"} </w:instrText>
      </w:r>
      <w:r w:rsidR="00AE2A0A">
        <w:rPr>
          <w:rFonts w:cstheme="minorHAnsi"/>
          <w:lang w:val="en-US"/>
        </w:rPr>
        <w:fldChar w:fldCharType="separate"/>
      </w:r>
      <w:r w:rsidR="00AE2A0A" w:rsidRPr="00AE2A0A">
        <w:rPr>
          <w:rFonts w:ascii="Calibri" w:hAnsi="Calibri" w:cs="Calibri"/>
          <w:kern w:val="0"/>
          <w:vertAlign w:val="superscript"/>
        </w:rPr>
        <w:t>15,16,30</w:t>
      </w:r>
      <w:r w:rsidR="00AE2A0A">
        <w:rPr>
          <w:rFonts w:cstheme="minorHAnsi"/>
          <w:lang w:val="en-US"/>
        </w:rPr>
        <w:fldChar w:fldCharType="end"/>
      </w:r>
      <w:r w:rsidRPr="004D4D42">
        <w:rPr>
          <w:rFonts w:cstheme="minorHAnsi"/>
          <w:lang w:val="en-US"/>
        </w:rPr>
        <w:t xml:space="preserve">. The Dissimilarity Index (DI) and AOA were computed using the </w:t>
      </w:r>
      <w:r w:rsidRPr="006A3483">
        <w:rPr>
          <w:rFonts w:cstheme="minorHAnsi"/>
          <w:i/>
          <w:iCs/>
          <w:lang w:val="en-US"/>
        </w:rPr>
        <w:t>aoa</w:t>
      </w:r>
      <w:r w:rsidRPr="004D4D42">
        <w:rPr>
          <w:rFonts w:cstheme="minorHAnsi"/>
          <w:lang w:val="en-US"/>
        </w:rPr>
        <w:t xml:space="preserve"> function, with </w:t>
      </w:r>
      <w:r w:rsidR="003815A4" w:rsidRPr="003815A4">
        <w:rPr>
          <w:rFonts w:cstheme="minorHAnsi"/>
          <w:lang w:val="en-US"/>
        </w:rPr>
        <w:t xml:space="preserve">all predictors </w:t>
      </w:r>
      <w:r w:rsidR="003815A4">
        <w:rPr>
          <w:rFonts w:cstheme="minorHAnsi"/>
          <w:lang w:val="en-US"/>
        </w:rPr>
        <w:t>contributing</w:t>
      </w:r>
      <w:r w:rsidR="003815A4" w:rsidRPr="003815A4">
        <w:rPr>
          <w:rFonts w:cstheme="minorHAnsi"/>
          <w:lang w:val="en-US"/>
        </w:rPr>
        <w:t xml:space="preserve"> equally to the dissimilarity calculation</w:t>
      </w:r>
      <w:r w:rsidR="003815A4">
        <w:rPr>
          <w:rFonts w:cstheme="minorHAnsi"/>
          <w:lang w:val="en-US"/>
        </w:rPr>
        <w:t>.</w:t>
      </w:r>
      <w:r w:rsidRPr="004D4D42">
        <w:rPr>
          <w:rFonts w:cstheme="minorHAnsi"/>
          <w:lang w:val="en-US"/>
        </w:rPr>
        <w:t xml:space="preserve"> </w:t>
      </w:r>
      <w:r w:rsidR="003815A4">
        <w:rPr>
          <w:rFonts w:cstheme="minorHAnsi"/>
          <w:lang w:val="en-US"/>
        </w:rPr>
        <w:t>The</w:t>
      </w:r>
      <w:r w:rsidRPr="004D4D42">
        <w:rPr>
          <w:rFonts w:cstheme="minorHAnsi"/>
          <w:lang w:val="en-US"/>
        </w:rPr>
        <w:t xml:space="preserve"> DI threshold was derived from distances among all training observations rather than cross-validation folds. The resulting binary AOA layer (1 = within, 0 = outside applicability) and continuous DI raster were exported for each metric.</w:t>
      </w:r>
      <w:r w:rsidR="00572F77">
        <w:rPr>
          <w:rFonts w:cstheme="minorHAnsi"/>
          <w:lang w:val="en-US"/>
        </w:rPr>
        <w:br w:type="page"/>
      </w:r>
    </w:p>
    <w:p w14:paraId="42B7B793" w14:textId="0313BAE7" w:rsidR="00572F77" w:rsidRPr="00572F77" w:rsidRDefault="00572F77" w:rsidP="00601B55">
      <w:pPr>
        <w:shd w:val="clear" w:color="auto" w:fill="F2F2F2" w:themeFill="background1" w:themeFillShade="F2"/>
        <w:tabs>
          <w:tab w:val="left" w:pos="8222"/>
        </w:tabs>
        <w:spacing w:line="240" w:lineRule="auto"/>
        <w:rPr>
          <w:sz w:val="20"/>
          <w:szCs w:val="20"/>
          <w:lang w:val="en-US"/>
        </w:rPr>
      </w:pPr>
      <w:r w:rsidRPr="00572F77">
        <w:rPr>
          <w:sz w:val="20"/>
          <w:szCs w:val="20"/>
          <w:lang w:val="en-US"/>
        </w:rPr>
        <w:lastRenderedPageBreak/>
        <w:t>data {</w:t>
      </w:r>
      <w:r w:rsidR="00601B55">
        <w:rPr>
          <w:rFonts w:eastAsiaTheme="minorEastAsia" w:cstheme="minorHAnsi"/>
          <w:sz w:val="20"/>
          <w:szCs w:val="20"/>
          <w:lang w:val="en-US"/>
        </w:rPr>
        <w:tab/>
      </w:r>
      <w:r w:rsidR="00601B55" w:rsidRPr="00601B55">
        <w:rPr>
          <w:rFonts w:eastAsiaTheme="minorEastAsia" w:cstheme="minorHAnsi"/>
          <w:b/>
          <w:bCs/>
          <w:sz w:val="20"/>
          <w:szCs w:val="20"/>
          <w:lang w:val="en-US"/>
        </w:rPr>
        <w:t>Stan code</w:t>
      </w:r>
    </w:p>
    <w:p w14:paraId="1D0A4FF5"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int&lt;lower=1&gt; N;</w:t>
      </w:r>
    </w:p>
    <w:p w14:paraId="2FAA1D68"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int&lt;lower=1&gt; S;</w:t>
      </w:r>
    </w:p>
    <w:p w14:paraId="2C36E97C"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int&lt;lower=1&gt; P;</w:t>
      </w:r>
    </w:p>
    <w:p w14:paraId="51A8178E"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matrix[N, P] X;</w:t>
      </w:r>
    </w:p>
    <w:p w14:paraId="389C96CD"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matrix&lt;lower=0&gt;[N, S] metric_draws;</w:t>
      </w:r>
    </w:p>
    <w:p w14:paraId="6A5205BF"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int&lt;lower=0&gt; n_fixed;</w:t>
      </w:r>
    </w:p>
    <w:p w14:paraId="67B350F8"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int&lt;lower=1, upper=P&gt; fixed_idx[n_fixed];</w:t>
      </w:r>
    </w:p>
    <w:p w14:paraId="676DE092" w14:textId="4532FF80"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w:t>
      </w:r>
    </w:p>
    <w:p w14:paraId="7D4D30FA"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parameters {</w:t>
      </w:r>
    </w:p>
    <w:p w14:paraId="155CF543"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real intercept;</w:t>
      </w:r>
    </w:p>
    <w:p w14:paraId="2A39CA5B"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vector[P] beta_raw;</w:t>
      </w:r>
    </w:p>
    <w:p w14:paraId="0614D5AF"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real&lt;lower=0&gt; sigma_proc;</w:t>
      </w:r>
    </w:p>
    <w:p w14:paraId="68565F22"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real&lt;lower=0&gt; sigma_meas;</w:t>
      </w:r>
    </w:p>
    <w:p w14:paraId="548C7CE8"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vector[N] log_metric_true;</w:t>
      </w:r>
    </w:p>
    <w:p w14:paraId="2D855816" w14:textId="4F68F916"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w:t>
      </w:r>
    </w:p>
    <w:p w14:paraId="6F911271"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transformed parameters {</w:t>
      </w:r>
    </w:p>
    <w:p w14:paraId="2B7D59B6"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vector[P] beta = beta_raw;</w:t>
      </w:r>
    </w:p>
    <w:p w14:paraId="02E75AE3"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for (k in 1:n_fixed)</w:t>
      </w:r>
    </w:p>
    <w:p w14:paraId="009659AF"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beta[fixed_idx[k]] = 0;</w:t>
      </w:r>
    </w:p>
    <w:p w14:paraId="1E43FCD2" w14:textId="1724C57E"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w:t>
      </w:r>
    </w:p>
    <w:p w14:paraId="3146D819"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model {</w:t>
      </w:r>
    </w:p>
    <w:p w14:paraId="05DD0413"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intercept  ~ normal(0, 10);</w:t>
      </w:r>
    </w:p>
    <w:p w14:paraId="0AF20597"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beta_raw   ~ normal(0, 5);</w:t>
      </w:r>
    </w:p>
    <w:p w14:paraId="01CD21ED"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sigma_proc ~ normal(0, 5);</w:t>
      </w:r>
    </w:p>
    <w:p w14:paraId="359B3570"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sigma_meas ~ normal(0, 5);</w:t>
      </w:r>
    </w:p>
    <w:p w14:paraId="1E5DCB97" w14:textId="77777777" w:rsidR="00572F77" w:rsidRPr="00572F77" w:rsidRDefault="00572F77" w:rsidP="00957700">
      <w:pPr>
        <w:shd w:val="clear" w:color="auto" w:fill="F2F2F2" w:themeFill="background1" w:themeFillShade="F2"/>
        <w:spacing w:line="240" w:lineRule="auto"/>
        <w:rPr>
          <w:sz w:val="20"/>
          <w:szCs w:val="20"/>
          <w:lang w:val="en-US"/>
        </w:rPr>
      </w:pPr>
    </w:p>
    <w:p w14:paraId="45CFBD2A" w14:textId="4CDB21DA"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log_metric_true ~ normal(intercept + X * beta, sigma_proc);</w:t>
      </w:r>
    </w:p>
    <w:p w14:paraId="4D98D3F1"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for (i in 1:N)</w:t>
      </w:r>
    </w:p>
    <w:p w14:paraId="7B079CAA" w14:textId="77777777" w:rsidR="00572F77" w:rsidRPr="00572F77" w:rsidRDefault="00572F77" w:rsidP="00957700">
      <w:pPr>
        <w:shd w:val="clear" w:color="auto" w:fill="F2F2F2" w:themeFill="background1" w:themeFillShade="F2"/>
        <w:spacing w:line="240" w:lineRule="auto"/>
        <w:rPr>
          <w:sz w:val="20"/>
          <w:szCs w:val="20"/>
          <w:lang w:val="en-US"/>
        </w:rPr>
      </w:pPr>
      <w:r w:rsidRPr="00572F77">
        <w:rPr>
          <w:sz w:val="20"/>
          <w:szCs w:val="20"/>
          <w:lang w:val="en-US"/>
        </w:rPr>
        <w:t xml:space="preserve">    metric_draws[i] ~ lognormal(log_metric_true[i], sigma_meas);</w:t>
      </w:r>
    </w:p>
    <w:p w14:paraId="2B42E97B" w14:textId="2E1FCD04" w:rsidR="00572F77" w:rsidRPr="00572F77" w:rsidRDefault="00572F77" w:rsidP="00957700">
      <w:pPr>
        <w:shd w:val="clear" w:color="auto" w:fill="F2F2F2" w:themeFill="background1" w:themeFillShade="F2"/>
        <w:spacing w:line="240" w:lineRule="auto"/>
        <w:rPr>
          <w:b/>
          <w:bCs/>
          <w:sz w:val="28"/>
          <w:szCs w:val="28"/>
          <w:lang w:val="en-US"/>
        </w:rPr>
      </w:pPr>
      <w:r w:rsidRPr="00572F77">
        <w:rPr>
          <w:sz w:val="20"/>
          <w:szCs w:val="20"/>
          <w:lang w:val="en-US"/>
        </w:rPr>
        <w:t>}</w:t>
      </w:r>
      <w:r w:rsidRPr="00572F77">
        <w:rPr>
          <w:b/>
          <w:bCs/>
          <w:sz w:val="28"/>
          <w:szCs w:val="28"/>
          <w:lang w:val="en-US"/>
        </w:rPr>
        <w:br w:type="page"/>
      </w:r>
    </w:p>
    <w:p w14:paraId="075F70B4" w14:textId="028B8E2C" w:rsidR="005F6998" w:rsidRDefault="00A574A6" w:rsidP="00A574A6">
      <w:pPr>
        <w:rPr>
          <w:b/>
          <w:bCs/>
          <w:sz w:val="28"/>
          <w:szCs w:val="28"/>
          <w:lang w:val="en-US"/>
        </w:rPr>
      </w:pPr>
      <w:r>
        <w:rPr>
          <w:b/>
          <w:bCs/>
          <w:sz w:val="28"/>
          <w:szCs w:val="28"/>
          <w:lang w:val="en-US"/>
        </w:rPr>
        <w:lastRenderedPageBreak/>
        <w:t>Supplementary figures</w:t>
      </w:r>
    </w:p>
    <w:p w14:paraId="659AAFF1" w14:textId="77777777" w:rsidR="005F6998" w:rsidRDefault="005F6998">
      <w:pPr>
        <w:rPr>
          <w:b/>
          <w:bCs/>
          <w:sz w:val="28"/>
          <w:szCs w:val="28"/>
          <w:lang w:val="en-US"/>
        </w:rPr>
      </w:pPr>
    </w:p>
    <w:p w14:paraId="12C6D7A9" w14:textId="01910DCF" w:rsidR="001232D8" w:rsidRPr="00180C39" w:rsidRDefault="004C24DD" w:rsidP="00180C39">
      <w:pPr>
        <w:tabs>
          <w:tab w:val="center" w:pos="4536"/>
        </w:tabs>
        <w:spacing w:after="0"/>
        <w:jc w:val="center"/>
        <w:rPr>
          <w:lang w:val="en-BE"/>
        </w:rPr>
      </w:pPr>
      <w:r>
        <w:rPr>
          <w:noProof/>
        </w:rPr>
        <w:drawing>
          <wp:inline distT="0" distB="0" distL="0" distR="0" wp14:anchorId="193376B8" wp14:editId="184B617D">
            <wp:extent cx="5557520" cy="7980045"/>
            <wp:effectExtent l="0" t="0" r="5080" b="1905"/>
            <wp:docPr id="1968072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57520" cy="7980045"/>
                    </a:xfrm>
                    <a:prstGeom prst="rect">
                      <a:avLst/>
                    </a:prstGeom>
                    <a:noFill/>
                    <a:ln>
                      <a:noFill/>
                    </a:ln>
                  </pic:spPr>
                </pic:pic>
              </a:graphicData>
            </a:graphic>
          </wp:inline>
        </w:drawing>
      </w:r>
    </w:p>
    <w:p w14:paraId="16A28B89" w14:textId="77777777" w:rsidR="0019668B" w:rsidRDefault="0019668B">
      <w:pPr>
        <w:rPr>
          <w:b/>
          <w:bCs/>
          <w:lang w:val="en-US"/>
        </w:rPr>
      </w:pPr>
      <w:r>
        <w:rPr>
          <w:b/>
          <w:bCs/>
          <w:lang w:val="en-US"/>
        </w:rPr>
        <w:br w:type="page"/>
      </w:r>
    </w:p>
    <w:p w14:paraId="17746E82" w14:textId="50DBADAC" w:rsidR="00F43C2D" w:rsidRDefault="00DF32A0" w:rsidP="001232D8">
      <w:pPr>
        <w:tabs>
          <w:tab w:val="center" w:pos="4536"/>
        </w:tabs>
        <w:jc w:val="both"/>
        <w:rPr>
          <w:lang w:val="en-US"/>
        </w:rPr>
      </w:pPr>
      <w:r w:rsidRPr="7FBDB12C">
        <w:rPr>
          <w:b/>
          <w:bCs/>
          <w:lang w:val="en-US"/>
        </w:rPr>
        <w:lastRenderedPageBreak/>
        <w:t>Supplementary Information Figure S1 | Predictor ranking proportions across 10-fold cross-validation (CV) with fold-specific searches for</w:t>
      </w:r>
      <w:r w:rsidR="00522DAD">
        <w:rPr>
          <w:b/>
          <w:bCs/>
          <w:lang w:val="en-US"/>
        </w:rPr>
        <w:t xml:space="preserve"> </w:t>
      </w:r>
      <w:r w:rsidR="00E8386F">
        <w:rPr>
          <w:b/>
          <w:bCs/>
          <w:lang w:val="en-US"/>
        </w:rPr>
        <w:t xml:space="preserve">a, the </w:t>
      </w:r>
      <w:r w:rsidR="00E8386F" w:rsidRPr="7FBDB12C">
        <w:rPr>
          <w:b/>
          <w:bCs/>
          <w:lang w:val="en-US"/>
        </w:rPr>
        <w:t>total aboveground carbon stocks at 20 years of succession (AGC</w:t>
      </w:r>
      <w:r w:rsidR="00E8386F" w:rsidRPr="7FBDB12C">
        <w:rPr>
          <w:b/>
          <w:bCs/>
          <w:vertAlign w:val="subscript"/>
          <w:lang w:val="en-US"/>
        </w:rPr>
        <w:t>20</w:t>
      </w:r>
      <w:r w:rsidR="00E8386F" w:rsidRPr="7FBDB12C">
        <w:rPr>
          <w:b/>
          <w:bCs/>
          <w:lang w:val="en-US"/>
        </w:rPr>
        <w:t>)</w:t>
      </w:r>
      <w:r w:rsidR="00E8386F">
        <w:rPr>
          <w:b/>
          <w:bCs/>
          <w:lang w:val="en-US"/>
        </w:rPr>
        <w:t>,</w:t>
      </w:r>
      <w:r w:rsidRPr="7FBDB12C">
        <w:rPr>
          <w:b/>
          <w:bCs/>
          <w:lang w:val="en-US"/>
        </w:rPr>
        <w:t xml:space="preserve"> </w:t>
      </w:r>
      <w:r w:rsidR="004C24DD">
        <w:rPr>
          <w:b/>
          <w:bCs/>
          <w:lang w:val="en-US"/>
        </w:rPr>
        <w:t>b</w:t>
      </w:r>
      <w:r w:rsidRPr="7FBDB12C">
        <w:rPr>
          <w:b/>
          <w:bCs/>
          <w:lang w:val="en-US"/>
        </w:rPr>
        <w:t xml:space="preserve">, </w:t>
      </w:r>
      <w:r w:rsidR="00E8386F">
        <w:rPr>
          <w:b/>
          <w:bCs/>
          <w:lang w:val="en-US"/>
        </w:rPr>
        <w:t xml:space="preserve">the </w:t>
      </w:r>
      <w:r w:rsidRPr="7FBDB12C">
        <w:rPr>
          <w:b/>
          <w:bCs/>
          <w:lang w:val="en-US"/>
        </w:rPr>
        <w:t>aboveground carbon accrual during the first 20 years of succession (CA</w:t>
      </w:r>
      <w:r w:rsidRPr="7FBDB12C">
        <w:rPr>
          <w:b/>
          <w:bCs/>
          <w:vertAlign w:val="subscript"/>
          <w:lang w:val="en-US"/>
        </w:rPr>
        <w:t>20</w:t>
      </w:r>
      <w:r w:rsidRPr="7FBDB12C">
        <w:rPr>
          <w:b/>
          <w:bCs/>
          <w:lang w:val="en-US"/>
        </w:rPr>
        <w:t xml:space="preserve">), and </w:t>
      </w:r>
      <w:r w:rsidR="00522DAD">
        <w:rPr>
          <w:b/>
          <w:bCs/>
          <w:lang w:val="en-US"/>
        </w:rPr>
        <w:t xml:space="preserve">c, </w:t>
      </w:r>
      <w:r w:rsidR="00522DAD" w:rsidRPr="7FBDB12C">
        <w:rPr>
          <w:b/>
          <w:bCs/>
          <w:lang w:val="en-US"/>
        </w:rPr>
        <w:t>the time to 90% recovery (t</w:t>
      </w:r>
      <w:r w:rsidR="00522DAD" w:rsidRPr="7FBDB12C">
        <w:rPr>
          <w:b/>
          <w:bCs/>
          <w:vertAlign w:val="subscript"/>
          <w:lang w:val="en-US"/>
        </w:rPr>
        <w:t>90</w:t>
      </w:r>
      <w:r w:rsidR="00522DAD" w:rsidRPr="7FBDB12C">
        <w:rPr>
          <w:b/>
          <w:bCs/>
          <w:lang w:val="en-US"/>
        </w:rPr>
        <w:t>)</w:t>
      </w:r>
      <w:r w:rsidRPr="7FBDB12C">
        <w:rPr>
          <w:b/>
          <w:bCs/>
          <w:lang w:val="en-US"/>
        </w:rPr>
        <w:t xml:space="preserve">. </w:t>
      </w:r>
      <w:r w:rsidRPr="7FBDB12C">
        <w:rPr>
          <w:lang w:val="en-US"/>
        </w:rPr>
        <w:t>Each tile shows the proportion of CV folds in which a given predictor was ranked at a certain position during the fold-wise forward search. Proportions are displayed as rounded whole percentages.</w:t>
      </w:r>
      <w:r w:rsidRPr="7FBDB12C">
        <w:rPr>
          <w:b/>
          <w:bCs/>
          <w:lang w:val="en-US"/>
        </w:rPr>
        <w:t xml:space="preserve"> </w:t>
      </w:r>
      <w:r w:rsidRPr="7FBDB12C">
        <w:rPr>
          <w:lang w:val="en-US"/>
        </w:rPr>
        <w:t>Abbreviations: MCWD = maximum cumulative water deficit;</w:t>
      </w:r>
      <w:r w:rsidR="00F61F72">
        <w:rPr>
          <w:lang w:val="en-US"/>
        </w:rPr>
        <w:t xml:space="preserve"> </w:t>
      </w:r>
      <w:r w:rsidR="00467A0E" w:rsidRPr="00467A0E">
        <w:rPr>
          <w:lang w:val="en-US"/>
        </w:rPr>
        <w:t>MAT</w:t>
      </w:r>
      <w:r w:rsidR="00467A0E">
        <w:rPr>
          <w:lang w:val="en-US"/>
        </w:rPr>
        <w:t xml:space="preserve"> = mean annual temperature, ‘CONT’ = contagio</w:t>
      </w:r>
      <w:r w:rsidR="00F61F72">
        <w:rPr>
          <w:lang w:val="en-US"/>
        </w:rPr>
        <w:t>n;</w:t>
      </w:r>
      <w:r w:rsidR="00467A0E">
        <w:rPr>
          <w:lang w:val="en-US"/>
        </w:rPr>
        <w:t xml:space="preserve"> </w:t>
      </w:r>
      <w:r w:rsidR="00F61F72">
        <w:rPr>
          <w:lang w:val="en-US"/>
        </w:rPr>
        <w:t>‘</w:t>
      </w:r>
      <w:r w:rsidR="00F61F72" w:rsidRPr="00467A0E">
        <w:rPr>
          <w:lang w:val="en-US"/>
        </w:rPr>
        <w:t>D30</w:t>
      </w:r>
      <w:r w:rsidR="00F61F72">
        <w:rPr>
          <w:lang w:val="en-US"/>
        </w:rPr>
        <w:t>’ = distance to nearest pixel with at least 30% tree cover</w:t>
      </w:r>
      <w:r w:rsidR="00F61F72" w:rsidRPr="00467A0E">
        <w:rPr>
          <w:lang w:val="en-US"/>
        </w:rPr>
        <w:t>,</w:t>
      </w:r>
      <w:r w:rsidR="00F61F72">
        <w:rPr>
          <w:lang w:val="en-US"/>
        </w:rPr>
        <w:t xml:space="preserve"> M</w:t>
      </w:r>
      <w:r w:rsidR="00F61F72" w:rsidRPr="00467A0E">
        <w:rPr>
          <w:lang w:val="en-US"/>
        </w:rPr>
        <w:t>AP</w:t>
      </w:r>
      <w:r w:rsidR="00F61F72">
        <w:rPr>
          <w:lang w:val="en-US"/>
        </w:rPr>
        <w:t xml:space="preserve"> = mean annual precipitation; ‘TS’ = temperature seasonality; ‘MFC’ = mean forest cover</w:t>
      </w:r>
      <w:r w:rsidR="001232D8">
        <w:rPr>
          <w:lang w:val="en-US"/>
        </w:rPr>
        <w:t xml:space="preserve">; </w:t>
      </w:r>
      <w:r w:rsidR="001232D8" w:rsidRPr="7FBDB12C">
        <w:rPr>
          <w:lang w:val="en-US"/>
        </w:rPr>
        <w:t>‘pH’ = soil pH-H</w:t>
      </w:r>
      <w:r w:rsidR="001232D8" w:rsidRPr="7FBDB12C">
        <w:rPr>
          <w:vertAlign w:val="subscript"/>
          <w:lang w:val="en-US"/>
        </w:rPr>
        <w:t>2</w:t>
      </w:r>
      <w:r w:rsidR="001232D8" w:rsidRPr="7FBDB12C">
        <w:rPr>
          <w:lang w:val="en-US"/>
        </w:rPr>
        <w:t>O in the upper 20 cm layer</w:t>
      </w:r>
      <w:r w:rsidR="00063AB4">
        <w:rPr>
          <w:lang w:val="en-US"/>
        </w:rPr>
        <w:t xml:space="preserve">. </w:t>
      </w:r>
      <w:r w:rsidR="0003397C" w:rsidRPr="7FBDB12C">
        <w:rPr>
          <w:lang w:val="en-US"/>
        </w:rPr>
        <w:t>The correlation matrix of response and predictor variables is shown in Supplementary Information Figure S5.</w:t>
      </w:r>
      <w:r w:rsidRPr="7FBDB12C">
        <w:rPr>
          <w:lang w:val="en-US"/>
        </w:rPr>
        <w:br w:type="page"/>
      </w:r>
    </w:p>
    <w:p w14:paraId="68C039FB" w14:textId="6FC993E9" w:rsidR="00F43C2D" w:rsidRDefault="00E8386F" w:rsidP="00F43C2D">
      <w:pPr>
        <w:jc w:val="center"/>
        <w:rPr>
          <w:rFonts w:cstheme="minorHAnsi"/>
          <w:lang w:val="en-US"/>
        </w:rPr>
      </w:pPr>
      <w:r>
        <w:rPr>
          <w:noProof/>
        </w:rPr>
        <w:lastRenderedPageBreak/>
        <w:drawing>
          <wp:inline distT="0" distB="0" distL="0" distR="0" wp14:anchorId="5BB3861D" wp14:editId="167D46E6">
            <wp:extent cx="3575685" cy="9071610"/>
            <wp:effectExtent l="0" t="0" r="5715" b="0"/>
            <wp:docPr id="17728208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5685" cy="9071610"/>
                    </a:xfrm>
                    <a:prstGeom prst="rect">
                      <a:avLst/>
                    </a:prstGeom>
                    <a:noFill/>
                    <a:ln>
                      <a:noFill/>
                    </a:ln>
                  </pic:spPr>
                </pic:pic>
              </a:graphicData>
            </a:graphic>
          </wp:inline>
        </w:drawing>
      </w:r>
    </w:p>
    <w:p w14:paraId="1BDC8BEF" w14:textId="550DDA2F" w:rsidR="00963E58" w:rsidRDefault="00F43C2D" w:rsidP="7FBDB12C">
      <w:pPr>
        <w:tabs>
          <w:tab w:val="center" w:pos="4536"/>
        </w:tabs>
        <w:jc w:val="both"/>
        <w:rPr>
          <w:lang w:val="en-US"/>
        </w:rPr>
      </w:pPr>
      <w:r w:rsidRPr="7FBDB12C">
        <w:rPr>
          <w:b/>
          <w:bCs/>
          <w:lang w:val="en-US"/>
        </w:rPr>
        <w:lastRenderedPageBreak/>
        <w:t>Supplementary Information Figure S2 | Spatial projection of the modeled uncertainty for the</w:t>
      </w:r>
      <w:r w:rsidR="00EC4AA2">
        <w:rPr>
          <w:b/>
          <w:bCs/>
          <w:lang w:val="en-US"/>
        </w:rPr>
        <w:t xml:space="preserve"> </w:t>
      </w:r>
      <w:r w:rsidR="00EC4AA2" w:rsidRPr="7FBDB12C">
        <w:rPr>
          <w:b/>
          <w:bCs/>
          <w:lang w:val="en-US"/>
        </w:rPr>
        <w:t>and total aboveground carbon stocks at 20 years of succession (AGC</w:t>
      </w:r>
      <w:r w:rsidR="00EC4AA2" w:rsidRPr="7FBDB12C">
        <w:rPr>
          <w:b/>
          <w:bCs/>
          <w:vertAlign w:val="subscript"/>
          <w:lang w:val="en-US"/>
        </w:rPr>
        <w:t>20</w:t>
      </w:r>
      <w:r w:rsidR="00EC4AA2" w:rsidRPr="7FBDB12C">
        <w:rPr>
          <w:b/>
          <w:bCs/>
          <w:lang w:val="en-US"/>
        </w:rPr>
        <w:t xml:space="preserve">; </w:t>
      </w:r>
      <w:r w:rsidR="00EC4AA2">
        <w:rPr>
          <w:b/>
          <w:bCs/>
          <w:lang w:val="en-US"/>
        </w:rPr>
        <w:t>a</w:t>
      </w:r>
      <w:r w:rsidR="00EC4AA2" w:rsidRPr="7FBDB12C">
        <w:rPr>
          <w:b/>
          <w:bCs/>
          <w:lang w:val="en-US"/>
        </w:rPr>
        <w:t>)</w:t>
      </w:r>
      <w:r w:rsidR="00EC4AA2">
        <w:rPr>
          <w:b/>
          <w:bCs/>
          <w:lang w:val="en-US"/>
        </w:rPr>
        <w:t xml:space="preserve">, the </w:t>
      </w:r>
      <w:r w:rsidRPr="7FBDB12C">
        <w:rPr>
          <w:b/>
          <w:bCs/>
          <w:lang w:val="en-US"/>
        </w:rPr>
        <w:t>aboveground carbon accrual during the first 20 years of succession (CA</w:t>
      </w:r>
      <w:r w:rsidRPr="7FBDB12C">
        <w:rPr>
          <w:b/>
          <w:bCs/>
          <w:vertAlign w:val="subscript"/>
          <w:lang w:val="en-US"/>
        </w:rPr>
        <w:t>20</w:t>
      </w:r>
      <w:r w:rsidRPr="7FBDB12C">
        <w:rPr>
          <w:b/>
          <w:bCs/>
          <w:lang w:val="en-US"/>
        </w:rPr>
        <w:t xml:space="preserve">; b), </w:t>
      </w:r>
      <w:r w:rsidR="00EC4AA2">
        <w:rPr>
          <w:b/>
          <w:bCs/>
          <w:lang w:val="en-US"/>
        </w:rPr>
        <w:t xml:space="preserve">and the </w:t>
      </w:r>
      <w:r w:rsidR="00EC4AA2" w:rsidRPr="7FBDB12C">
        <w:rPr>
          <w:b/>
          <w:bCs/>
          <w:lang w:val="en-US"/>
        </w:rPr>
        <w:t>time to 90% recovery (t</w:t>
      </w:r>
      <w:r w:rsidR="00EC4AA2" w:rsidRPr="7FBDB12C">
        <w:rPr>
          <w:b/>
          <w:bCs/>
          <w:vertAlign w:val="subscript"/>
          <w:lang w:val="en-US"/>
        </w:rPr>
        <w:t>90</w:t>
      </w:r>
      <w:r w:rsidR="00EC4AA2" w:rsidRPr="7FBDB12C">
        <w:rPr>
          <w:b/>
          <w:bCs/>
          <w:lang w:val="en-US"/>
        </w:rPr>
        <w:t xml:space="preserve">; </w:t>
      </w:r>
      <w:r w:rsidR="00EC4AA2">
        <w:rPr>
          <w:b/>
          <w:bCs/>
          <w:lang w:val="en-US"/>
        </w:rPr>
        <w:t>c</w:t>
      </w:r>
      <w:r w:rsidR="00EC4AA2" w:rsidRPr="7FBDB12C">
        <w:rPr>
          <w:b/>
          <w:bCs/>
          <w:lang w:val="en-US"/>
        </w:rPr>
        <w:t>)</w:t>
      </w:r>
      <w:r w:rsidRPr="7FBDB12C">
        <w:rPr>
          <w:b/>
          <w:bCs/>
          <w:lang w:val="en-US"/>
        </w:rPr>
        <w:t xml:space="preserve">. </w:t>
      </w:r>
      <w:r w:rsidRPr="7FBDB12C">
        <w:rPr>
          <w:lang w:val="en-US"/>
        </w:rPr>
        <w:t>Uncertainty</w:t>
      </w:r>
      <w:r w:rsidR="00736D5C">
        <w:rPr>
          <w:lang w:val="en-US"/>
        </w:rPr>
        <w:t xml:space="preserve"> </w:t>
      </w:r>
      <w:r w:rsidR="19A1DC68" w:rsidRPr="7FBDB12C">
        <w:rPr>
          <w:lang w:val="en-US"/>
        </w:rPr>
        <w:t xml:space="preserve">(Norm unc) </w:t>
      </w:r>
      <w:r w:rsidRPr="7FBDB12C">
        <w:rPr>
          <w:lang w:val="en-US"/>
        </w:rPr>
        <w:t>is quantified as the credible interval width normalized by the median – specifically, the difference between the upper and lower 90% credible interval limits divided by the corresponding median value – based on 1,000 draws from the posterior distribution of the linear regression models. Scales are log-transformed to resolve spatial variation among the predominant low-value pixels. Pixels with a normalized uncertainty greater than 5 are shown in dark red. Regions where values were extrapolated beyond the range of the calibration data are indicated in Supplementary Information Fig. S4.</w:t>
      </w:r>
    </w:p>
    <w:p w14:paraId="0C092DDB" w14:textId="77777777" w:rsidR="00963E58" w:rsidRDefault="00963E58">
      <w:pPr>
        <w:rPr>
          <w:rFonts w:cstheme="minorHAnsi"/>
          <w:lang w:val="en-US"/>
        </w:rPr>
      </w:pPr>
      <w:r>
        <w:rPr>
          <w:rFonts w:cstheme="minorHAnsi"/>
          <w:lang w:val="en-US"/>
        </w:rPr>
        <w:br w:type="page"/>
      </w:r>
    </w:p>
    <w:p w14:paraId="51F943E1" w14:textId="51EF5B07" w:rsidR="00963E58" w:rsidRDefault="00EC4AA2" w:rsidP="001320FA">
      <w:pPr>
        <w:jc w:val="center"/>
        <w:rPr>
          <w:rFonts w:cstheme="minorHAnsi"/>
          <w:b/>
          <w:bCs/>
          <w:lang w:val="en-US"/>
        </w:rPr>
      </w:pPr>
      <w:r>
        <w:rPr>
          <w:noProof/>
        </w:rPr>
        <w:lastRenderedPageBreak/>
        <w:drawing>
          <wp:inline distT="0" distB="0" distL="0" distR="0" wp14:anchorId="747A9E88" wp14:editId="2FDD70C5">
            <wp:extent cx="4599711" cy="7837714"/>
            <wp:effectExtent l="0" t="0" r="0" b="0"/>
            <wp:docPr id="6335325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07822" cy="7851534"/>
                    </a:xfrm>
                    <a:prstGeom prst="rect">
                      <a:avLst/>
                    </a:prstGeom>
                    <a:noFill/>
                    <a:ln>
                      <a:noFill/>
                    </a:ln>
                  </pic:spPr>
                </pic:pic>
              </a:graphicData>
            </a:graphic>
          </wp:inline>
        </w:drawing>
      </w:r>
    </w:p>
    <w:p w14:paraId="604DF795" w14:textId="6DBEE594" w:rsidR="00F43C2D" w:rsidRDefault="00963E58" w:rsidP="00D953A8">
      <w:pPr>
        <w:jc w:val="both"/>
        <w:rPr>
          <w:rFonts w:cstheme="minorHAnsi"/>
          <w:lang w:val="en-US"/>
        </w:rPr>
      </w:pPr>
      <w:r w:rsidRPr="00C16CB9">
        <w:rPr>
          <w:rFonts w:cstheme="minorHAnsi"/>
          <w:b/>
          <w:bCs/>
          <w:lang w:val="en-US"/>
        </w:rPr>
        <w:t xml:space="preserve">Supplementary Information Figure </w:t>
      </w:r>
      <w:r>
        <w:rPr>
          <w:rFonts w:cstheme="minorHAnsi"/>
          <w:b/>
          <w:bCs/>
          <w:lang w:val="en-US"/>
        </w:rPr>
        <w:t xml:space="preserve">S3 | </w:t>
      </w:r>
      <w:r w:rsidR="00A532E2" w:rsidRPr="00A532E2">
        <w:rPr>
          <w:rFonts w:cstheme="minorHAnsi"/>
          <w:b/>
          <w:bCs/>
          <w:lang w:val="en-US"/>
        </w:rPr>
        <w:t xml:space="preserve">Area of Applicability (AOA) and Dissimilarity Index (DI) for </w:t>
      </w:r>
      <w:r w:rsidR="00820D0D">
        <w:rPr>
          <w:rFonts w:cstheme="minorHAnsi"/>
          <w:b/>
          <w:bCs/>
          <w:lang w:val="en-US"/>
        </w:rPr>
        <w:t xml:space="preserve"> </w:t>
      </w:r>
      <w:r w:rsidR="00EC4AA2">
        <w:rPr>
          <w:rFonts w:cstheme="minorHAnsi"/>
          <w:b/>
          <w:bCs/>
          <w:lang w:val="en-US"/>
        </w:rPr>
        <w:t>AGC</w:t>
      </w:r>
      <w:r w:rsidR="00EC4AA2" w:rsidRPr="00820D0D">
        <w:rPr>
          <w:rFonts w:cstheme="minorHAnsi"/>
          <w:b/>
          <w:bCs/>
          <w:vertAlign w:val="subscript"/>
          <w:lang w:val="en-US"/>
        </w:rPr>
        <w:t>20</w:t>
      </w:r>
      <w:r w:rsidR="00EC4AA2" w:rsidRPr="002C553E">
        <w:rPr>
          <w:rFonts w:cstheme="minorHAnsi"/>
          <w:b/>
          <w:bCs/>
          <w:lang w:val="en-US"/>
        </w:rPr>
        <w:t xml:space="preserve"> </w:t>
      </w:r>
      <w:r w:rsidR="002C553E" w:rsidRPr="002C553E">
        <w:rPr>
          <w:rFonts w:cstheme="minorHAnsi"/>
          <w:b/>
          <w:bCs/>
          <w:lang w:val="en-US"/>
        </w:rPr>
        <w:t>(a)</w:t>
      </w:r>
      <w:r w:rsidR="00820D0D">
        <w:rPr>
          <w:rFonts w:cstheme="minorHAnsi"/>
          <w:b/>
          <w:bCs/>
          <w:lang w:val="en-US"/>
        </w:rPr>
        <w:t>, CA</w:t>
      </w:r>
      <w:r w:rsidR="00820D0D" w:rsidRPr="00820D0D">
        <w:rPr>
          <w:rFonts w:cstheme="minorHAnsi"/>
          <w:b/>
          <w:bCs/>
          <w:vertAlign w:val="subscript"/>
          <w:lang w:val="en-US"/>
        </w:rPr>
        <w:t>20</w:t>
      </w:r>
      <w:r w:rsidR="002C553E" w:rsidRPr="002C553E">
        <w:rPr>
          <w:rFonts w:cstheme="minorHAnsi"/>
          <w:b/>
          <w:bCs/>
          <w:lang w:val="en-US"/>
        </w:rPr>
        <w:t xml:space="preserve"> (</w:t>
      </w:r>
      <w:r w:rsidR="002C553E">
        <w:rPr>
          <w:rFonts w:cstheme="minorHAnsi"/>
          <w:b/>
          <w:bCs/>
          <w:lang w:val="en-US"/>
        </w:rPr>
        <w:t>b</w:t>
      </w:r>
      <w:r w:rsidR="002C553E" w:rsidRPr="002C553E">
        <w:rPr>
          <w:rFonts w:cstheme="minorHAnsi"/>
          <w:b/>
          <w:bCs/>
          <w:lang w:val="en-US"/>
        </w:rPr>
        <w:t>)</w:t>
      </w:r>
      <w:r w:rsidR="00820D0D">
        <w:rPr>
          <w:rFonts w:cstheme="minorHAnsi"/>
          <w:b/>
          <w:bCs/>
          <w:lang w:val="en-US"/>
        </w:rPr>
        <w:t>, and</w:t>
      </w:r>
      <w:r w:rsidR="00EC4AA2">
        <w:rPr>
          <w:rFonts w:cstheme="minorHAnsi"/>
          <w:b/>
          <w:bCs/>
          <w:lang w:val="en-US"/>
        </w:rPr>
        <w:t xml:space="preserve"> t</w:t>
      </w:r>
      <w:r w:rsidR="00EC4AA2" w:rsidRPr="00820D0D">
        <w:rPr>
          <w:rFonts w:cstheme="minorHAnsi"/>
          <w:b/>
          <w:bCs/>
          <w:vertAlign w:val="subscript"/>
          <w:lang w:val="en-US"/>
        </w:rPr>
        <w:t>90</w:t>
      </w:r>
      <w:r w:rsidR="00EC4AA2" w:rsidRPr="002C553E">
        <w:rPr>
          <w:rFonts w:cstheme="minorHAnsi"/>
          <w:b/>
          <w:bCs/>
          <w:lang w:val="en-US"/>
        </w:rPr>
        <w:t xml:space="preserve"> </w:t>
      </w:r>
      <w:r w:rsidR="002C553E" w:rsidRPr="002C553E">
        <w:rPr>
          <w:rFonts w:cstheme="minorHAnsi"/>
          <w:b/>
          <w:bCs/>
          <w:lang w:val="en-US"/>
        </w:rPr>
        <w:t>(</w:t>
      </w:r>
      <w:r w:rsidR="002C553E">
        <w:rPr>
          <w:rFonts w:cstheme="minorHAnsi"/>
          <w:b/>
          <w:bCs/>
          <w:lang w:val="en-US"/>
        </w:rPr>
        <w:t>c</w:t>
      </w:r>
      <w:r w:rsidR="002C553E" w:rsidRPr="002C553E">
        <w:rPr>
          <w:rFonts w:cstheme="minorHAnsi"/>
          <w:b/>
          <w:bCs/>
          <w:lang w:val="en-US"/>
        </w:rPr>
        <w:t>)</w:t>
      </w:r>
      <w:r w:rsidR="00A532E2" w:rsidRPr="00A532E2">
        <w:rPr>
          <w:rFonts w:cstheme="minorHAnsi"/>
          <w:b/>
          <w:bCs/>
          <w:lang w:val="en-US"/>
        </w:rPr>
        <w:t xml:space="preserve"> across African tropical forests. </w:t>
      </w:r>
      <w:r w:rsidR="00A532E2" w:rsidRPr="00A532E2">
        <w:rPr>
          <w:rFonts w:cstheme="minorHAnsi"/>
          <w:bCs/>
          <w:lang w:val="en-US"/>
        </w:rPr>
        <w:t>Left panels show the binary AOA, where dark green indicates locations within the applicability of the model (i.e.</w:t>
      </w:r>
      <w:r w:rsidR="00B3259C">
        <w:rPr>
          <w:rFonts w:cstheme="minorHAnsi"/>
          <w:bCs/>
          <w:lang w:val="en-US"/>
        </w:rPr>
        <w:t>,</w:t>
      </w:r>
      <w:r w:rsidR="00A532E2" w:rsidRPr="00A532E2">
        <w:rPr>
          <w:rFonts w:cstheme="minorHAnsi"/>
          <w:bCs/>
          <w:lang w:val="en-US"/>
        </w:rPr>
        <w:t xml:space="preserve"> environmentally similar to the training data) and grey indicates locations outside it. Right panels show the continuous DI, reflecting the degree of dissimilarity between each pixel and the training data; values exceeding the threshold of 0.5 are shown in dark red. Predictions in areas outside the AOA should be interpreted with caution.</w:t>
      </w:r>
      <w:r w:rsidR="00F43C2D">
        <w:rPr>
          <w:rFonts w:cstheme="minorHAnsi"/>
          <w:lang w:val="en-US"/>
        </w:rPr>
        <w:br w:type="page"/>
      </w:r>
    </w:p>
    <w:p w14:paraId="306A9256" w14:textId="77777777" w:rsidR="00DF32A0" w:rsidRPr="00DF32A0" w:rsidRDefault="00DF32A0" w:rsidP="00F43C2D">
      <w:pPr>
        <w:tabs>
          <w:tab w:val="center" w:pos="4536"/>
        </w:tabs>
        <w:jc w:val="both"/>
        <w:rPr>
          <w:rFonts w:cstheme="minorHAnsi"/>
          <w:lang w:val="en-US"/>
        </w:rPr>
      </w:pPr>
    </w:p>
    <w:p w14:paraId="4FCD9B1B" w14:textId="25BA75D8" w:rsidR="005F6998" w:rsidRDefault="00B82192" w:rsidP="00245DA4">
      <w:pPr>
        <w:jc w:val="center"/>
        <w:rPr>
          <w:lang w:val="en-US"/>
        </w:rPr>
      </w:pPr>
      <w:r>
        <w:rPr>
          <w:noProof/>
        </w:rPr>
        <w:drawing>
          <wp:inline distT="0" distB="0" distL="0" distR="0" wp14:anchorId="3D15F308" wp14:editId="3A996801">
            <wp:extent cx="4868883" cy="4103021"/>
            <wp:effectExtent l="0" t="0" r="8255" b="0"/>
            <wp:docPr id="8724726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70482" cy="4104368"/>
                    </a:xfrm>
                    <a:prstGeom prst="rect">
                      <a:avLst/>
                    </a:prstGeom>
                    <a:noFill/>
                    <a:ln>
                      <a:noFill/>
                    </a:ln>
                  </pic:spPr>
                </pic:pic>
              </a:graphicData>
            </a:graphic>
          </wp:inline>
        </w:drawing>
      </w:r>
    </w:p>
    <w:p w14:paraId="0C4FA439" w14:textId="1A6A38B2" w:rsidR="005B2868" w:rsidRPr="00620195" w:rsidRDefault="005F6998" w:rsidP="00620195">
      <w:pPr>
        <w:jc w:val="both"/>
        <w:rPr>
          <w:rFonts w:cstheme="minorHAnsi"/>
          <w:highlight w:val="yellow"/>
          <w:lang w:val="en-US"/>
        </w:rPr>
      </w:pPr>
      <w:r w:rsidRPr="00042295">
        <w:rPr>
          <w:rFonts w:cstheme="minorHAnsi"/>
          <w:b/>
          <w:bCs/>
          <w:lang w:val="en-US"/>
        </w:rPr>
        <w:t>Supplementary Information Figure S</w:t>
      </w:r>
      <w:r w:rsidR="0035069B">
        <w:rPr>
          <w:rFonts w:cstheme="minorHAnsi"/>
          <w:b/>
          <w:bCs/>
          <w:lang w:val="en-US"/>
        </w:rPr>
        <w:t>4</w:t>
      </w:r>
      <w:r w:rsidRPr="00042295">
        <w:rPr>
          <w:rFonts w:cstheme="minorHAnsi"/>
          <w:b/>
          <w:bCs/>
          <w:lang w:val="en-US"/>
        </w:rPr>
        <w:t xml:space="preserve"> | </w:t>
      </w:r>
      <w:r w:rsidR="004C157B" w:rsidRPr="00042295">
        <w:rPr>
          <w:rFonts w:cstheme="minorHAnsi"/>
          <w:b/>
          <w:bCs/>
          <w:lang w:val="en-US"/>
        </w:rPr>
        <w:t>Environmental effects on the time to 50% recovery  (t</w:t>
      </w:r>
      <w:r w:rsidR="004C157B" w:rsidRPr="00042295">
        <w:rPr>
          <w:rFonts w:cstheme="minorHAnsi"/>
          <w:b/>
          <w:bCs/>
          <w:vertAlign w:val="subscript"/>
          <w:lang w:val="en-US"/>
        </w:rPr>
        <w:t>50</w:t>
      </w:r>
      <w:r w:rsidR="004C157B" w:rsidRPr="00042295">
        <w:rPr>
          <w:rFonts w:cstheme="minorHAnsi"/>
          <w:b/>
          <w:bCs/>
          <w:lang w:val="en-US"/>
        </w:rPr>
        <w:t>; a),</w:t>
      </w:r>
      <w:r w:rsidR="009313E9" w:rsidRPr="00042295">
        <w:rPr>
          <w:rFonts w:cstheme="minorHAnsi"/>
          <w:b/>
          <w:bCs/>
          <w:lang w:val="en-US"/>
        </w:rPr>
        <w:t xml:space="preserve"> as well as the </w:t>
      </w:r>
      <w:r w:rsidR="00524F92" w:rsidRPr="00042295">
        <w:rPr>
          <w:rFonts w:cstheme="minorHAnsi"/>
          <w:b/>
          <w:bCs/>
          <w:lang w:val="en-US"/>
        </w:rPr>
        <w:t xml:space="preserve">parameter estimates of the </w:t>
      </w:r>
      <w:r w:rsidR="00F7001E" w:rsidRPr="00042295">
        <w:rPr>
          <w:rFonts w:cstheme="minorHAnsi"/>
          <w:b/>
          <w:bCs/>
          <w:lang w:val="en-US"/>
        </w:rPr>
        <w:t xml:space="preserve">sigmoidal recovery curve – b, </w:t>
      </w:r>
      <w:r w:rsidR="00CE39CB">
        <w:rPr>
          <w:rFonts w:cstheme="minorHAnsi"/>
          <w:b/>
          <w:bCs/>
          <w:lang w:val="en-US"/>
        </w:rPr>
        <w:t>lambda;</w:t>
      </w:r>
      <w:r w:rsidR="00F7001E" w:rsidRPr="00042295">
        <w:rPr>
          <w:rFonts w:cstheme="minorHAnsi"/>
          <w:b/>
          <w:bCs/>
          <w:lang w:val="en-US"/>
        </w:rPr>
        <w:t xml:space="preserve"> c, </w:t>
      </w:r>
      <w:r w:rsidR="00CE39CB">
        <w:rPr>
          <w:rFonts w:cstheme="minorHAnsi"/>
          <w:b/>
          <w:bCs/>
          <w:lang w:val="en-US"/>
        </w:rPr>
        <w:t>alpha;</w:t>
      </w:r>
      <w:r w:rsidR="00F7001E" w:rsidRPr="00042295">
        <w:rPr>
          <w:rFonts w:cstheme="minorHAnsi"/>
          <w:b/>
          <w:bCs/>
          <w:lang w:val="en-US"/>
        </w:rPr>
        <w:t xml:space="preserve"> and d, </w:t>
      </w:r>
      <w:r w:rsidR="00CE39CB">
        <w:rPr>
          <w:rFonts w:cstheme="minorHAnsi"/>
          <w:b/>
          <w:bCs/>
          <w:lang w:val="en-US"/>
        </w:rPr>
        <w:t>omega</w:t>
      </w:r>
      <w:r w:rsidR="004C157B" w:rsidRPr="00042295">
        <w:rPr>
          <w:rFonts w:cstheme="minorHAnsi"/>
          <w:b/>
          <w:bCs/>
          <w:lang w:val="en-US"/>
        </w:rPr>
        <w:t>.</w:t>
      </w:r>
      <w:r w:rsidR="00F7001E" w:rsidRPr="00042295">
        <w:rPr>
          <w:rFonts w:cstheme="minorHAnsi"/>
          <w:b/>
          <w:bCs/>
          <w:lang w:val="en-US"/>
        </w:rPr>
        <w:t xml:space="preserve"> </w:t>
      </w:r>
      <w:r w:rsidR="007E0275" w:rsidRPr="00042295">
        <w:rPr>
          <w:rFonts w:cstheme="minorHAnsi"/>
          <w:lang w:val="en-US"/>
        </w:rPr>
        <w:t>For the 4</w:t>
      </w:r>
      <w:r w:rsidR="007E0275" w:rsidRPr="00042295">
        <w:rPr>
          <w:rFonts w:cstheme="minorHAnsi"/>
          <w:vertAlign w:val="superscript"/>
          <w:lang w:val="en-US"/>
        </w:rPr>
        <w:t>th</w:t>
      </w:r>
      <w:r w:rsidR="007E0275" w:rsidRPr="00042295">
        <w:rPr>
          <w:rFonts w:cstheme="minorHAnsi"/>
          <w:lang w:val="en-US"/>
        </w:rPr>
        <w:t xml:space="preserve"> </w:t>
      </w:r>
      <w:r w:rsidR="00CE39CB">
        <w:rPr>
          <w:rFonts w:cstheme="minorHAnsi"/>
          <w:lang w:val="en-US"/>
        </w:rPr>
        <w:t xml:space="preserve">model </w:t>
      </w:r>
      <w:r w:rsidR="00F7001E" w:rsidRPr="00042295">
        <w:rPr>
          <w:rFonts w:cstheme="minorHAnsi"/>
          <w:lang w:val="en-US"/>
        </w:rPr>
        <w:t xml:space="preserve">parameter </w:t>
      </w:r>
      <w:r w:rsidR="007E0275" w:rsidRPr="00042295">
        <w:rPr>
          <w:rFonts w:cstheme="minorHAnsi"/>
          <w:lang w:val="en-US"/>
        </w:rPr>
        <w:t xml:space="preserve">(delta), no </w:t>
      </w:r>
      <w:r w:rsidR="00A87281" w:rsidRPr="00042295">
        <w:rPr>
          <w:rFonts w:cstheme="minorHAnsi"/>
          <w:lang w:val="en-US"/>
        </w:rPr>
        <w:t>relationship</w:t>
      </w:r>
      <w:r w:rsidR="00042295" w:rsidRPr="00042295">
        <w:rPr>
          <w:rFonts w:cstheme="minorHAnsi"/>
          <w:lang w:val="en-US"/>
        </w:rPr>
        <w:t>s</w:t>
      </w:r>
      <w:r w:rsidR="00A87281" w:rsidRPr="00042295">
        <w:rPr>
          <w:rFonts w:cstheme="minorHAnsi"/>
          <w:lang w:val="en-US"/>
        </w:rPr>
        <w:t xml:space="preserve"> with the environmental predictor set w</w:t>
      </w:r>
      <w:r w:rsidR="00042295" w:rsidRPr="00042295">
        <w:rPr>
          <w:rFonts w:cstheme="minorHAnsi"/>
          <w:lang w:val="en-US"/>
        </w:rPr>
        <w:t>ere</w:t>
      </w:r>
      <w:r w:rsidR="00A87281" w:rsidRPr="00042295">
        <w:rPr>
          <w:rFonts w:cstheme="minorHAnsi"/>
          <w:lang w:val="en-US"/>
        </w:rPr>
        <w:t xml:space="preserve"> retained </w:t>
      </w:r>
      <w:r w:rsidR="00042295" w:rsidRPr="00042295">
        <w:rPr>
          <w:rFonts w:cstheme="minorHAnsi"/>
          <w:lang w:val="en-US"/>
        </w:rPr>
        <w:t>following</w:t>
      </w:r>
      <w:r w:rsidR="00A87281" w:rsidRPr="00042295">
        <w:rPr>
          <w:rFonts w:cstheme="minorHAnsi"/>
          <w:lang w:val="en-US"/>
        </w:rPr>
        <w:t xml:space="preserve"> predictor selection.</w:t>
      </w:r>
      <w:r w:rsidR="00042295">
        <w:rPr>
          <w:rFonts w:cstheme="minorHAnsi"/>
          <w:lang w:val="en-US"/>
        </w:rPr>
        <w:t xml:space="preserve"> </w:t>
      </w:r>
      <w:r w:rsidR="004C157B" w:rsidRPr="004C157B">
        <w:rPr>
          <w:rFonts w:cstheme="minorHAnsi"/>
          <w:lang w:val="en-US"/>
        </w:rPr>
        <w:t>Points indicate posterior median effect sizes</w:t>
      </w:r>
      <w:r w:rsidR="00373870">
        <w:rPr>
          <w:rFonts w:cstheme="minorHAnsi"/>
          <w:lang w:val="en-US"/>
        </w:rPr>
        <w:t>,</w:t>
      </w:r>
      <w:r w:rsidR="004C157B" w:rsidRPr="004C157B">
        <w:rPr>
          <w:rFonts w:cstheme="minorHAnsi"/>
          <w:lang w:val="en-US"/>
        </w:rPr>
        <w:t xml:space="preserve"> and error bars denote 90% credible intervals. </w:t>
      </w:r>
      <w:r w:rsidR="00AA3915">
        <w:rPr>
          <w:rFonts w:cstheme="minorHAnsi"/>
          <w:lang w:val="en-US"/>
        </w:rPr>
        <w:t>Abbreviations: ‘MCWD’ = maximum cumulative water deficit; ‘MFC’ = mean percentage forest cover</w:t>
      </w:r>
      <w:r w:rsidR="000F5BFE">
        <w:rPr>
          <w:rFonts w:cstheme="minorHAnsi"/>
          <w:lang w:val="en-US"/>
        </w:rPr>
        <w:t>; ‘</w:t>
      </w:r>
      <w:r w:rsidR="00063AB4">
        <w:rPr>
          <w:rFonts w:cstheme="minorHAnsi"/>
          <w:lang w:val="en-US"/>
        </w:rPr>
        <w:t>M</w:t>
      </w:r>
      <w:r w:rsidR="000F5BFE">
        <w:rPr>
          <w:rFonts w:cstheme="minorHAnsi"/>
          <w:lang w:val="en-US"/>
        </w:rPr>
        <w:t>AP’ =</w:t>
      </w:r>
      <w:r w:rsidR="00063AB4">
        <w:rPr>
          <w:rFonts w:cstheme="minorHAnsi"/>
          <w:lang w:val="en-US"/>
        </w:rPr>
        <w:t xml:space="preserve"> mean</w:t>
      </w:r>
      <w:r w:rsidR="000F5BFE">
        <w:rPr>
          <w:rFonts w:cstheme="minorHAnsi"/>
          <w:lang w:val="en-US"/>
        </w:rPr>
        <w:t xml:space="preserve"> annual precipitation. </w:t>
      </w:r>
      <w:r w:rsidR="004C157B" w:rsidRPr="004C157B">
        <w:rPr>
          <w:rFonts w:cstheme="minorHAnsi"/>
          <w:lang w:val="en-US"/>
        </w:rPr>
        <w:t>‘R²’ represents the Bayesian R-squared</w:t>
      </w:r>
      <w:r w:rsidR="004A670A" w:rsidRPr="003D05EF">
        <w:rPr>
          <w:lang w:val="en-US"/>
        </w:rPr>
        <w:fldChar w:fldCharType="begin"/>
      </w:r>
      <w:r w:rsidR="00AE2A0A">
        <w:rPr>
          <w:lang w:val="en-US"/>
        </w:rPr>
        <w:instrText xml:space="preserve"> ADDIN ZOTERO_ITEM CSL_CITATION {"citationID":"88pEYv8l","properties":{"formattedCitation":"\\super 31\\nosupersub{}","plainCitation":"31","noteIndex":0},"citationItems":[{"id":1757,"uris":["http://zotero.org/users/13671732/items/KEUEGR7D"],"itemData":{"id":1757,"type":"article-journal","container-title":"The American Statistician","DOI":"10.1080/00031305.2018.1549100","ISSN":"0003-1305","issue":"3","journalAbbreviation":"The American Statistician","page":"307-309","publisher":"ASA Website","title":"R-squared for Bayesian Regression Models","volume":"73","author":[{"family":"Gelman","given":"Andrew"},{"family":"","given":"Goodrich ,Ben"},{"family":"","given":"Gabry ,Jonah"},{"family":"Vehtari","given":"Aki","non-dropping-particle":"and"}],"issued":{"date-parts":[["2019",7,3]]}}}],"schema":"https://github.com/citation-style-language/schema/raw/master/csl-citation.json"} </w:instrText>
      </w:r>
      <w:r w:rsidR="004A670A" w:rsidRPr="003D05EF">
        <w:rPr>
          <w:lang w:val="en-US"/>
        </w:rPr>
        <w:fldChar w:fldCharType="separate"/>
      </w:r>
      <w:r w:rsidR="00AE2A0A" w:rsidRPr="00AE2A0A">
        <w:rPr>
          <w:rFonts w:ascii="Calibri" w:hAnsi="Calibri" w:cs="Calibri"/>
          <w:kern w:val="0"/>
          <w:vertAlign w:val="superscript"/>
        </w:rPr>
        <w:t>31</w:t>
      </w:r>
      <w:r w:rsidR="004A670A" w:rsidRPr="003D05EF">
        <w:rPr>
          <w:lang w:val="en-US"/>
        </w:rPr>
        <w:fldChar w:fldCharType="end"/>
      </w:r>
      <w:r w:rsidR="004C157B" w:rsidRPr="004C157B">
        <w:rPr>
          <w:rFonts w:cstheme="minorHAnsi"/>
          <w:lang w:val="en-US"/>
        </w:rPr>
        <w:t>. Effect size posterior distributions with 90% credible intervals that do not overlap zero are shown in green (positive) or red (negative).</w:t>
      </w:r>
    </w:p>
    <w:p w14:paraId="717F7BB0" w14:textId="130CCAFD" w:rsidR="00DF32A0" w:rsidRDefault="00DF32A0" w:rsidP="00F43C2D">
      <w:pPr>
        <w:rPr>
          <w:rFonts w:cstheme="minorHAnsi"/>
          <w:lang w:val="en-US"/>
        </w:rPr>
      </w:pPr>
      <w:r>
        <w:rPr>
          <w:rFonts w:cstheme="minorHAnsi"/>
          <w:lang w:val="en-US"/>
        </w:rPr>
        <w:br w:type="page"/>
      </w:r>
    </w:p>
    <w:p w14:paraId="2529D49F" w14:textId="77777777" w:rsidR="004C183B" w:rsidRDefault="004C183B" w:rsidP="00580251">
      <w:pPr>
        <w:jc w:val="center"/>
        <w:rPr>
          <w:rFonts w:cstheme="minorHAnsi"/>
          <w:lang w:val="en-US"/>
        </w:rPr>
        <w:sectPr w:rsidR="004C183B" w:rsidSect="0019668B">
          <w:footerReference w:type="default" r:id="rId12"/>
          <w:pgSz w:w="11906" w:h="16838"/>
          <w:pgMar w:top="1135" w:right="1417" w:bottom="1417" w:left="1417" w:header="708" w:footer="708" w:gutter="0"/>
          <w:lnNumType w:countBy="1" w:restart="continuous"/>
          <w:cols w:space="708"/>
          <w:docGrid w:linePitch="360"/>
        </w:sectPr>
      </w:pPr>
    </w:p>
    <w:p w14:paraId="102E4CDF" w14:textId="47844385" w:rsidR="00792A9C" w:rsidRDefault="00B06DC8" w:rsidP="00792A9C">
      <w:pPr>
        <w:spacing w:after="0"/>
        <w:jc w:val="center"/>
        <w:rPr>
          <w:rFonts w:cstheme="minorHAnsi"/>
          <w:b/>
          <w:bCs/>
          <w:lang w:val="en-US"/>
        </w:rPr>
      </w:pPr>
      <w:r>
        <w:rPr>
          <w:noProof/>
        </w:rPr>
        <w:lastRenderedPageBreak/>
        <w:drawing>
          <wp:inline distT="0" distB="0" distL="0" distR="0" wp14:anchorId="3AE158C1" wp14:editId="4E2B9A06">
            <wp:extent cx="9071610" cy="5189220"/>
            <wp:effectExtent l="0" t="0" r="0" b="0"/>
            <wp:docPr id="9558658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071610" cy="5189220"/>
                    </a:xfrm>
                    <a:prstGeom prst="rect">
                      <a:avLst/>
                    </a:prstGeom>
                    <a:noFill/>
                    <a:ln>
                      <a:noFill/>
                    </a:ln>
                  </pic:spPr>
                </pic:pic>
              </a:graphicData>
            </a:graphic>
          </wp:inline>
        </w:drawing>
      </w:r>
    </w:p>
    <w:p w14:paraId="42B90ACB" w14:textId="332C7BF5" w:rsidR="004C183B" w:rsidRDefault="00913824" w:rsidP="00792A9C">
      <w:pPr>
        <w:jc w:val="both"/>
        <w:rPr>
          <w:lang w:val="en-US"/>
        </w:rPr>
        <w:sectPr w:rsidR="004C183B" w:rsidSect="00765B9F">
          <w:pgSz w:w="16838" w:h="11906" w:orient="landscape"/>
          <w:pgMar w:top="709" w:right="1135" w:bottom="1134" w:left="1417" w:header="708" w:footer="708" w:gutter="0"/>
          <w:cols w:space="708"/>
          <w:docGrid w:linePitch="360"/>
        </w:sectPr>
      </w:pPr>
      <w:r w:rsidRPr="7FBDB12C">
        <w:rPr>
          <w:b/>
          <w:bCs/>
          <w:lang w:val="en-US"/>
        </w:rPr>
        <w:t>Supplementary Information Figure S</w:t>
      </w:r>
      <w:r w:rsidR="00A2391A" w:rsidRPr="7FBDB12C">
        <w:rPr>
          <w:b/>
          <w:bCs/>
          <w:lang w:val="en-US"/>
        </w:rPr>
        <w:t>5</w:t>
      </w:r>
      <w:r w:rsidRPr="7FBDB12C">
        <w:rPr>
          <w:b/>
          <w:bCs/>
          <w:lang w:val="en-US"/>
        </w:rPr>
        <w:t xml:space="preserve"> | </w:t>
      </w:r>
      <w:r w:rsidR="00FD7D98" w:rsidRPr="7FBDB12C">
        <w:rPr>
          <w:b/>
          <w:bCs/>
          <w:lang w:val="en-US"/>
        </w:rPr>
        <w:t xml:space="preserve">Correlation matrix </w:t>
      </w:r>
      <w:r w:rsidR="00D05B09" w:rsidRPr="7FBDB12C">
        <w:rPr>
          <w:b/>
          <w:bCs/>
          <w:lang w:val="en-US"/>
        </w:rPr>
        <w:t>of response variables and</w:t>
      </w:r>
      <w:r w:rsidR="00E329BD" w:rsidRPr="7FBDB12C">
        <w:rPr>
          <w:b/>
          <w:bCs/>
          <w:lang w:val="en-US"/>
        </w:rPr>
        <w:t xml:space="preserve"> the full initial predictor set. </w:t>
      </w:r>
      <w:r w:rsidR="00E329BD" w:rsidRPr="7FBDB12C">
        <w:rPr>
          <w:lang w:val="en-US"/>
        </w:rPr>
        <w:t xml:space="preserve">Abbreviations: response variables: </w:t>
      </w:r>
      <w:r w:rsidR="00CB6407" w:rsidRPr="7FBDB12C">
        <w:rPr>
          <w:lang w:val="en-US"/>
        </w:rPr>
        <w:t>‘</w:t>
      </w:r>
      <w:r w:rsidR="00E329BD" w:rsidRPr="00CB6407">
        <w:rPr>
          <w:lang w:val="en-US"/>
        </w:rPr>
        <w:t>t</w:t>
      </w:r>
      <w:r w:rsidR="00E329BD" w:rsidRPr="00CB6407">
        <w:rPr>
          <w:vertAlign w:val="subscript"/>
          <w:lang w:val="en-US"/>
        </w:rPr>
        <w:t>90</w:t>
      </w:r>
      <w:r w:rsidR="00CB6407" w:rsidRPr="00CB6407">
        <w:rPr>
          <w:lang w:val="en-US"/>
        </w:rPr>
        <w:t xml:space="preserve">’ = </w:t>
      </w:r>
      <w:r w:rsidR="00E329BD" w:rsidRPr="7FBDB12C">
        <w:rPr>
          <w:lang w:val="en-US"/>
        </w:rPr>
        <w:t xml:space="preserve"> the </w:t>
      </w:r>
      <w:r w:rsidR="00E329BD" w:rsidRPr="00CB6407">
        <w:rPr>
          <w:lang w:val="en-US"/>
        </w:rPr>
        <w:t>time to 90% recovery</w:t>
      </w:r>
      <w:r w:rsidR="00CB6407">
        <w:rPr>
          <w:lang w:val="en-US"/>
        </w:rPr>
        <w:t>; ‘</w:t>
      </w:r>
      <w:r w:rsidR="00CB6407" w:rsidRPr="00CB6407">
        <w:rPr>
          <w:lang w:val="en-US"/>
        </w:rPr>
        <w:t>CA</w:t>
      </w:r>
      <w:r w:rsidR="00CB6407" w:rsidRPr="00CB6407">
        <w:rPr>
          <w:vertAlign w:val="subscript"/>
          <w:lang w:val="en-US"/>
        </w:rPr>
        <w:t>20</w:t>
      </w:r>
      <w:r w:rsidR="00CB6407">
        <w:rPr>
          <w:lang w:val="en-US"/>
        </w:rPr>
        <w:t>‘ =</w:t>
      </w:r>
      <w:r w:rsidR="00E329BD" w:rsidRPr="00CB6407">
        <w:rPr>
          <w:lang w:val="en-US"/>
        </w:rPr>
        <w:t xml:space="preserve"> aboveground carbon accrual during the first 20 years of succession</w:t>
      </w:r>
      <w:r w:rsidR="00CB6407">
        <w:rPr>
          <w:lang w:val="en-US"/>
        </w:rPr>
        <w:t>; ‘</w:t>
      </w:r>
      <w:r w:rsidR="00CB6407" w:rsidRPr="00CB6407">
        <w:rPr>
          <w:lang w:val="en-US"/>
        </w:rPr>
        <w:t>AGC</w:t>
      </w:r>
      <w:r w:rsidR="00CB6407" w:rsidRPr="00CB6407">
        <w:rPr>
          <w:vertAlign w:val="subscript"/>
          <w:lang w:val="en-US"/>
        </w:rPr>
        <w:t>20</w:t>
      </w:r>
      <w:r w:rsidR="00CB6407">
        <w:rPr>
          <w:lang w:val="en-US"/>
        </w:rPr>
        <w:t>’ =</w:t>
      </w:r>
      <w:r w:rsidR="00E329BD" w:rsidRPr="00CB6407">
        <w:rPr>
          <w:lang w:val="en-US"/>
        </w:rPr>
        <w:t xml:space="preserve"> total aboveground carbon stocks at 20 years of succession</w:t>
      </w:r>
      <w:r w:rsidR="00CB6407">
        <w:rPr>
          <w:lang w:val="en-US"/>
        </w:rPr>
        <w:t>. Response variables:</w:t>
      </w:r>
      <w:r w:rsidR="00CB6407" w:rsidRPr="7FBDB12C">
        <w:rPr>
          <w:lang w:val="en-US"/>
        </w:rPr>
        <w:t xml:space="preserve"> </w:t>
      </w:r>
      <w:r w:rsidR="00063AB4" w:rsidRPr="7FBDB12C">
        <w:rPr>
          <w:lang w:val="en-US"/>
        </w:rPr>
        <w:t xml:space="preserve">Abbreviations: </w:t>
      </w:r>
      <w:r w:rsidR="008D5439">
        <w:rPr>
          <w:lang w:val="en-US"/>
        </w:rPr>
        <w:t>M</w:t>
      </w:r>
      <w:r w:rsidR="008D5439" w:rsidRPr="00467A0E">
        <w:rPr>
          <w:lang w:val="en-US"/>
        </w:rPr>
        <w:t>AP</w:t>
      </w:r>
      <w:r w:rsidR="008D5439">
        <w:rPr>
          <w:lang w:val="en-US"/>
        </w:rPr>
        <w:t xml:space="preserve"> = mean annual precipitation; </w:t>
      </w:r>
      <w:r w:rsidR="00063AB4" w:rsidRPr="7FBDB12C">
        <w:rPr>
          <w:lang w:val="en-US"/>
        </w:rPr>
        <w:t>MCWD = maximum cumulative water deficit;</w:t>
      </w:r>
      <w:r w:rsidR="00063AB4">
        <w:rPr>
          <w:lang w:val="en-US"/>
        </w:rPr>
        <w:t xml:space="preserve"> </w:t>
      </w:r>
      <w:r w:rsidR="00063AB4" w:rsidRPr="00467A0E">
        <w:rPr>
          <w:lang w:val="en-US"/>
        </w:rPr>
        <w:t>MAT</w:t>
      </w:r>
      <w:r w:rsidR="00063AB4">
        <w:rPr>
          <w:lang w:val="en-US"/>
        </w:rPr>
        <w:t xml:space="preserve"> = mean annual temperature,</w:t>
      </w:r>
      <w:r w:rsidR="000650F1">
        <w:rPr>
          <w:lang w:val="en-US"/>
        </w:rPr>
        <w:t xml:space="preserve"> </w:t>
      </w:r>
      <w:r w:rsidR="008D5439">
        <w:rPr>
          <w:lang w:val="en-US"/>
        </w:rPr>
        <w:t xml:space="preserve">‘TS’ = temperature seasonality; </w:t>
      </w:r>
      <w:r w:rsidR="008D5439" w:rsidRPr="7FBDB12C">
        <w:rPr>
          <w:lang w:val="en-US"/>
        </w:rPr>
        <w:t>‘pH’ = soil pH-H</w:t>
      </w:r>
      <w:r w:rsidR="008D5439" w:rsidRPr="7FBDB12C">
        <w:rPr>
          <w:vertAlign w:val="subscript"/>
          <w:lang w:val="en-US"/>
        </w:rPr>
        <w:t>2</w:t>
      </w:r>
      <w:r w:rsidR="008D5439" w:rsidRPr="7FBDB12C">
        <w:rPr>
          <w:lang w:val="en-US"/>
        </w:rPr>
        <w:t>O in the upper 20 cm soil layer</w:t>
      </w:r>
      <w:r w:rsidR="008D5439">
        <w:rPr>
          <w:lang w:val="en-US"/>
        </w:rPr>
        <w:t xml:space="preserve">; ‘MFC’ = mean forest cover; </w:t>
      </w:r>
      <w:r w:rsidR="000650F1">
        <w:rPr>
          <w:lang w:val="en-US"/>
        </w:rPr>
        <w:t xml:space="preserve">CONT = contagion; </w:t>
      </w:r>
      <w:r w:rsidR="00063AB4">
        <w:rPr>
          <w:lang w:val="en-US"/>
        </w:rPr>
        <w:t>‘</w:t>
      </w:r>
      <w:r w:rsidR="00063AB4" w:rsidRPr="00467A0E">
        <w:rPr>
          <w:lang w:val="en-US"/>
        </w:rPr>
        <w:t>D30</w:t>
      </w:r>
      <w:r w:rsidR="00063AB4">
        <w:rPr>
          <w:lang w:val="en-US"/>
        </w:rPr>
        <w:t>’ = distance to nearest pixel with at least 30% tree cover</w:t>
      </w:r>
      <w:r w:rsidR="00CB6407" w:rsidRPr="7FBDB12C">
        <w:rPr>
          <w:lang w:val="en-US"/>
        </w:rPr>
        <w:t>.</w:t>
      </w:r>
      <w:r w:rsidR="00AA3D6B" w:rsidRPr="7FBDB12C">
        <w:rPr>
          <w:lang w:val="en-US"/>
        </w:rPr>
        <w:t xml:space="preserve"> </w:t>
      </w:r>
      <w:r w:rsidR="004811DE" w:rsidRPr="7FBDB12C">
        <w:rPr>
          <w:lang w:val="en-US"/>
        </w:rPr>
        <w:t>Significance levels are indicated as follows: *** p &lt; 0.001, ** p &lt; 0.01, * p &lt; 0.05, bas</w:t>
      </w:r>
      <w:r w:rsidR="007B5BA9" w:rsidRPr="7FBDB12C">
        <w:rPr>
          <w:lang w:val="en-US"/>
        </w:rPr>
        <w:t xml:space="preserve">ed on the </w:t>
      </w:r>
      <w:r w:rsidR="007B5BA9" w:rsidRPr="7FBDB12C">
        <w:rPr>
          <w:i/>
          <w:iCs/>
          <w:lang w:val="en-US"/>
        </w:rPr>
        <w:t>cor.test</w:t>
      </w:r>
      <w:r w:rsidR="007B5BA9" w:rsidRPr="7FBDB12C">
        <w:rPr>
          <w:lang w:val="en-US"/>
        </w:rPr>
        <w:t xml:space="preserve"> function of  the </w:t>
      </w:r>
      <w:r w:rsidR="007B5BA9" w:rsidRPr="7FBDB12C">
        <w:rPr>
          <w:i/>
          <w:iCs/>
          <w:lang w:val="en-US"/>
        </w:rPr>
        <w:t>stats</w:t>
      </w:r>
      <w:r w:rsidR="007B5BA9" w:rsidRPr="7FBDB12C">
        <w:rPr>
          <w:lang w:val="en-US"/>
        </w:rPr>
        <w:t xml:space="preserve"> package (version </w:t>
      </w:r>
      <w:r w:rsidR="0073175F" w:rsidRPr="7FBDB12C">
        <w:rPr>
          <w:lang w:val="en-US"/>
        </w:rPr>
        <w:t xml:space="preserve"> 4.5.0)</w:t>
      </w:r>
      <w:r w:rsidR="00E84931" w:rsidRPr="7FBDB12C">
        <w:rPr>
          <w:lang w:val="en-US"/>
        </w:rPr>
        <w:fldChar w:fldCharType="begin"/>
      </w:r>
      <w:r w:rsidR="00AE2A0A">
        <w:rPr>
          <w:lang w:val="en-US"/>
        </w:rPr>
        <w:instrText xml:space="preserve"> ADDIN ZOTERO_ITEM CSL_CITATION {"citationID":"qXNGWFZe","properties":{"unsorted":false,"formattedCitation":"\\super 32\\nosupersub{}","plainCitation":"32","noteIndex":0},"citationItems":[{"id":9000,"uris":["http://zotero.org/users/13671732/items/IRVXYE3T"],"itemData":{"id":9000,"type":"software","title":"The R Stats Package","version":"4.5.0","author":[{"family":"R Core Team","given":""}],"issued":{"date-parts":[["2025",4,11]]}}}],"schema":"https://github.com/citation-style-language/schema/raw/master/csl-citation.json"} </w:instrText>
      </w:r>
      <w:r w:rsidR="00E84931" w:rsidRPr="7FBDB12C">
        <w:rPr>
          <w:lang w:val="en-US"/>
        </w:rPr>
        <w:fldChar w:fldCharType="separate"/>
      </w:r>
      <w:r w:rsidR="00AE2A0A" w:rsidRPr="00AE2A0A">
        <w:rPr>
          <w:rFonts w:ascii="Calibri" w:hAnsi="Calibri" w:cs="Calibri"/>
          <w:kern w:val="0"/>
          <w:vertAlign w:val="superscript"/>
        </w:rPr>
        <w:t>32</w:t>
      </w:r>
      <w:r w:rsidR="00E84931" w:rsidRPr="7FBDB12C">
        <w:rPr>
          <w:lang w:val="en-US"/>
        </w:rPr>
        <w:fldChar w:fldCharType="end"/>
      </w:r>
      <w:r w:rsidR="0073175F" w:rsidRPr="7FBDB12C">
        <w:rPr>
          <w:lang w:val="en-US"/>
        </w:rPr>
        <w:t>.</w:t>
      </w:r>
    </w:p>
    <w:p w14:paraId="0D0752AC" w14:textId="38AD5559" w:rsidR="00EC7264" w:rsidRPr="00EC7264" w:rsidRDefault="00EC7264" w:rsidP="00EC7264">
      <w:pPr>
        <w:rPr>
          <w:b/>
          <w:bCs/>
          <w:sz w:val="28"/>
          <w:szCs w:val="28"/>
          <w:lang w:val="en-US"/>
        </w:rPr>
        <w:sectPr w:rsidR="00EC7264" w:rsidRPr="00EC7264" w:rsidSect="004C183B">
          <w:pgSz w:w="11906" w:h="16838"/>
          <w:pgMar w:top="1135" w:right="1417" w:bottom="1417" w:left="1417" w:header="708" w:footer="708" w:gutter="0"/>
          <w:cols w:space="708"/>
          <w:docGrid w:linePitch="360"/>
        </w:sectPr>
      </w:pPr>
      <w:r>
        <w:rPr>
          <w:b/>
          <w:bCs/>
          <w:sz w:val="28"/>
          <w:szCs w:val="28"/>
          <w:lang w:val="en-US"/>
        </w:rPr>
        <w:lastRenderedPageBreak/>
        <w:t>Supplementary tables</w:t>
      </w:r>
    </w:p>
    <w:p w14:paraId="00FD7286" w14:textId="0F9DDEDA" w:rsidR="00680167" w:rsidRPr="00680167" w:rsidRDefault="00EC7264" w:rsidP="00443954">
      <w:pPr>
        <w:jc w:val="both"/>
        <w:rPr>
          <w:rFonts w:cstheme="minorHAnsi"/>
          <w:lang w:val="en-US"/>
        </w:rPr>
      </w:pPr>
      <w:r w:rsidRPr="00C16CB9">
        <w:rPr>
          <w:rFonts w:cstheme="minorHAnsi"/>
          <w:b/>
          <w:bCs/>
          <w:lang w:val="en-US"/>
        </w:rPr>
        <w:lastRenderedPageBreak/>
        <w:t xml:space="preserve">Supplementary Information </w:t>
      </w:r>
      <w:r>
        <w:rPr>
          <w:rFonts w:cstheme="minorHAnsi"/>
          <w:b/>
          <w:bCs/>
          <w:lang w:val="en-US"/>
        </w:rPr>
        <w:t>Table</w:t>
      </w:r>
      <w:r w:rsidRPr="00C16CB9">
        <w:rPr>
          <w:rFonts w:cstheme="minorHAnsi"/>
          <w:b/>
          <w:bCs/>
          <w:lang w:val="en-US"/>
        </w:rPr>
        <w:t xml:space="preserve"> </w:t>
      </w:r>
      <w:r>
        <w:rPr>
          <w:rFonts w:cstheme="minorHAnsi"/>
          <w:b/>
          <w:bCs/>
          <w:lang w:val="en-US"/>
        </w:rPr>
        <w:t>S1</w:t>
      </w:r>
      <w:r w:rsidRPr="00773467">
        <w:rPr>
          <w:rFonts w:cstheme="minorHAnsi"/>
          <w:b/>
          <w:bCs/>
          <w:lang w:val="en-US"/>
        </w:rPr>
        <w:t xml:space="preserve"> |</w:t>
      </w:r>
      <w:r w:rsidR="00680167">
        <w:rPr>
          <w:rFonts w:cstheme="minorHAnsi"/>
          <w:b/>
          <w:bCs/>
          <w:lang w:val="en-US"/>
        </w:rPr>
        <w:t xml:space="preserve"> </w:t>
      </w:r>
      <w:r w:rsidR="004A7BFB">
        <w:rPr>
          <w:rFonts w:cstheme="minorHAnsi"/>
          <w:b/>
          <w:bCs/>
          <w:lang w:val="en-US"/>
        </w:rPr>
        <w:t>Simulated</w:t>
      </w:r>
      <w:r w:rsidR="00680167">
        <w:rPr>
          <w:rFonts w:cstheme="minorHAnsi"/>
          <w:b/>
          <w:bCs/>
          <w:lang w:val="en-US"/>
        </w:rPr>
        <w:t xml:space="preserve"> parameter values </w:t>
      </w:r>
      <w:r w:rsidR="004A7BFB">
        <w:rPr>
          <w:rFonts w:cstheme="minorHAnsi"/>
          <w:b/>
          <w:bCs/>
          <w:lang w:val="en-US"/>
        </w:rPr>
        <w:t>of</w:t>
      </w:r>
      <w:r w:rsidR="00680167">
        <w:rPr>
          <w:rFonts w:cstheme="minorHAnsi"/>
          <w:b/>
          <w:bCs/>
          <w:lang w:val="en-US"/>
        </w:rPr>
        <w:t xml:space="preserve"> </w:t>
      </w:r>
      <w:r w:rsidR="004A7BFB">
        <w:rPr>
          <w:rFonts w:cstheme="minorHAnsi"/>
          <w:b/>
          <w:bCs/>
          <w:lang w:val="en-US"/>
        </w:rPr>
        <w:t xml:space="preserve">the sigmoidal regrowth curve for </w:t>
      </w:r>
      <w:r w:rsidR="00680167">
        <w:rPr>
          <w:rFonts w:cstheme="minorHAnsi"/>
          <w:b/>
          <w:bCs/>
          <w:lang w:val="en-US"/>
        </w:rPr>
        <w:t>each of the 32 sites.</w:t>
      </w:r>
      <w:r w:rsidR="004A7BFB">
        <w:rPr>
          <w:rFonts w:cstheme="minorHAnsi"/>
          <w:lang w:val="en-US"/>
        </w:rPr>
        <w:t xml:space="preserve"> </w:t>
      </w:r>
      <w:r w:rsidR="004F37D4" w:rsidRPr="004F37D4">
        <w:rPr>
          <w:rFonts w:cstheme="minorHAnsi"/>
          <w:lang w:val="en-US"/>
        </w:rPr>
        <w:t xml:space="preserve">Abbreviations: 'MLE' = maximum likelihood estimate in the joint posterior space; '5% Qt' and '95% Qt' = lower and upper bounds of the 90% credible interval, respectively. See the Supplementary Materials and Methods section for model details. Note that the MLE and median of the regional posterior distributions frequently diverge, as the joint posterior maximum does not necessarily coincide with the mode of any individual parameter's marginal distribution. The MLE is the appropriate choice when reconstructing or reporting the </w:t>
      </w:r>
      <w:r w:rsidR="00511B2D">
        <w:rPr>
          <w:rFonts w:cstheme="minorHAnsi"/>
          <w:lang w:val="en-US"/>
        </w:rPr>
        <w:t>best-fit</w:t>
      </w:r>
      <w:r w:rsidR="004F37D4" w:rsidRPr="004F37D4">
        <w:rPr>
          <w:rFonts w:cstheme="minorHAnsi"/>
          <w:lang w:val="en-US"/>
        </w:rPr>
        <w:t xml:space="preserve"> recovery trajectory, whereas the parameter- and region-specific medians are preferable when interpreting parameter values in isolation.</w:t>
      </w:r>
    </w:p>
    <w:p w14:paraId="432CFE96" w14:textId="18EEFE23" w:rsidR="00EC7264" w:rsidRDefault="00371FB5" w:rsidP="00EC7264">
      <w:pPr>
        <w:rPr>
          <w:b/>
          <w:bCs/>
          <w:sz w:val="28"/>
          <w:szCs w:val="28"/>
          <w:lang w:val="en-US"/>
        </w:rPr>
        <w:sectPr w:rsidR="00EC7264" w:rsidSect="00EC7264">
          <w:pgSz w:w="16838" w:h="11906" w:orient="landscape"/>
          <w:pgMar w:top="1417" w:right="1135" w:bottom="1417" w:left="1417" w:header="708" w:footer="708" w:gutter="0"/>
          <w:cols w:space="708"/>
          <w:docGrid w:linePitch="360"/>
        </w:sectPr>
      </w:pPr>
      <w:r w:rsidRPr="00371FB5">
        <w:rPr>
          <w:noProof/>
        </w:rPr>
        <w:drawing>
          <wp:inline distT="0" distB="0" distL="0" distR="0" wp14:anchorId="1081E01E" wp14:editId="56C767F7">
            <wp:extent cx="9071610" cy="4625340"/>
            <wp:effectExtent l="0" t="0" r="0" b="3810"/>
            <wp:docPr id="332995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71610" cy="4625340"/>
                    </a:xfrm>
                    <a:prstGeom prst="rect">
                      <a:avLst/>
                    </a:prstGeom>
                    <a:noFill/>
                    <a:ln>
                      <a:noFill/>
                    </a:ln>
                  </pic:spPr>
                </pic:pic>
              </a:graphicData>
            </a:graphic>
          </wp:inline>
        </w:drawing>
      </w:r>
    </w:p>
    <w:p w14:paraId="048EE2FF" w14:textId="1A622B8A" w:rsidR="00E67AC1" w:rsidRPr="00EC7264" w:rsidRDefault="008D0231" w:rsidP="00EC7264">
      <w:pPr>
        <w:rPr>
          <w:rFonts w:cstheme="minorHAnsi"/>
          <w:b/>
          <w:bCs/>
          <w:lang w:val="en-US"/>
        </w:rPr>
      </w:pPr>
      <w:r>
        <w:rPr>
          <w:b/>
          <w:bCs/>
          <w:sz w:val="28"/>
          <w:szCs w:val="28"/>
          <w:lang w:val="en-US"/>
        </w:rPr>
        <w:lastRenderedPageBreak/>
        <w:t>Supplementary References</w:t>
      </w:r>
    </w:p>
    <w:p w14:paraId="3657AF58" w14:textId="77777777" w:rsidR="00AE2A0A" w:rsidRPr="00AE2A0A" w:rsidRDefault="004F7526" w:rsidP="00AE2A0A">
      <w:pPr>
        <w:pStyle w:val="Bibliography"/>
        <w:rPr>
          <w:rFonts w:ascii="Calibri" w:hAnsi="Calibri" w:cs="Calibri"/>
          <w:kern w:val="0"/>
        </w:rPr>
      </w:pPr>
      <w:r>
        <w:rPr>
          <w:lang w:val="en-US"/>
        </w:rPr>
        <w:fldChar w:fldCharType="begin"/>
      </w:r>
      <w:r w:rsidR="00866170">
        <w:rPr>
          <w:lang w:val="en-US"/>
        </w:rPr>
        <w:instrText xml:space="preserve"> ADDIN ZOTERO_BIBL {"uncited":[],"omitted":[],"custom":[]} CSL_BIBLIOGRAPHY </w:instrText>
      </w:r>
      <w:r>
        <w:rPr>
          <w:lang w:val="en-US"/>
        </w:rPr>
        <w:fldChar w:fldCharType="separate"/>
      </w:r>
      <w:r w:rsidR="00AE2A0A" w:rsidRPr="00AE2A0A">
        <w:rPr>
          <w:rFonts w:ascii="Calibri" w:hAnsi="Calibri" w:cs="Calibri"/>
          <w:kern w:val="0"/>
        </w:rPr>
        <w:t>1.</w:t>
      </w:r>
      <w:r w:rsidR="00AE2A0A" w:rsidRPr="00AE2A0A">
        <w:rPr>
          <w:rFonts w:ascii="Calibri" w:hAnsi="Calibri" w:cs="Calibri"/>
          <w:kern w:val="0"/>
        </w:rPr>
        <w:tab/>
        <w:t>RStudio Team. RStudio: Integrated Development for R. (2020).</w:t>
      </w:r>
    </w:p>
    <w:p w14:paraId="5CEE9264"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2.</w:t>
      </w:r>
      <w:r w:rsidRPr="00AE2A0A">
        <w:rPr>
          <w:rFonts w:ascii="Calibri" w:hAnsi="Calibri" w:cs="Calibri"/>
          <w:kern w:val="0"/>
        </w:rPr>
        <w:tab/>
        <w:t xml:space="preserve">Stan Development Team. </w:t>
      </w:r>
      <w:r w:rsidRPr="00AE2A0A">
        <w:rPr>
          <w:rFonts w:ascii="Calibri" w:hAnsi="Calibri" w:cs="Calibri"/>
          <w:i/>
          <w:iCs/>
          <w:kern w:val="0"/>
        </w:rPr>
        <w:t>Stan User’s Guide</w:t>
      </w:r>
      <w:r w:rsidRPr="00AE2A0A">
        <w:rPr>
          <w:rFonts w:ascii="Calibri" w:hAnsi="Calibri" w:cs="Calibri"/>
          <w:kern w:val="0"/>
        </w:rPr>
        <w:t>. (2024).</w:t>
      </w:r>
    </w:p>
    <w:p w14:paraId="4772F4D9"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3.</w:t>
      </w:r>
      <w:r w:rsidRPr="00AE2A0A">
        <w:rPr>
          <w:rFonts w:ascii="Calibri" w:hAnsi="Calibri" w:cs="Calibri"/>
          <w:kern w:val="0"/>
        </w:rPr>
        <w:tab/>
        <w:t xml:space="preserve">Guo, J. </w:t>
      </w:r>
      <w:r w:rsidRPr="00AE2A0A">
        <w:rPr>
          <w:rFonts w:ascii="Calibri" w:hAnsi="Calibri" w:cs="Calibri"/>
          <w:i/>
          <w:iCs/>
          <w:kern w:val="0"/>
        </w:rPr>
        <w:t>et al.</w:t>
      </w:r>
      <w:r w:rsidRPr="00AE2A0A">
        <w:rPr>
          <w:rFonts w:ascii="Calibri" w:hAnsi="Calibri" w:cs="Calibri"/>
          <w:kern w:val="0"/>
        </w:rPr>
        <w:t xml:space="preserve"> rstan: R Interface to Stan. (2025).</w:t>
      </w:r>
    </w:p>
    <w:p w14:paraId="2027FF9A"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4.</w:t>
      </w:r>
      <w:r w:rsidRPr="00AE2A0A">
        <w:rPr>
          <w:rFonts w:ascii="Calibri" w:hAnsi="Calibri" w:cs="Calibri"/>
          <w:kern w:val="0"/>
        </w:rPr>
        <w:tab/>
        <w:t xml:space="preserve">Richards, F. J. A Flexible Growth Function for Empirical Use. </w:t>
      </w:r>
      <w:r w:rsidRPr="00AE2A0A">
        <w:rPr>
          <w:rFonts w:ascii="Calibri" w:hAnsi="Calibri" w:cs="Calibri"/>
          <w:i/>
          <w:iCs/>
          <w:kern w:val="0"/>
        </w:rPr>
        <w:t>Journal of Experimental Botany</w:t>
      </w:r>
      <w:r w:rsidRPr="00AE2A0A">
        <w:rPr>
          <w:rFonts w:ascii="Calibri" w:hAnsi="Calibri" w:cs="Calibri"/>
          <w:kern w:val="0"/>
        </w:rPr>
        <w:t xml:space="preserve"> </w:t>
      </w:r>
      <w:r w:rsidRPr="00AE2A0A">
        <w:rPr>
          <w:rFonts w:ascii="Calibri" w:hAnsi="Calibri" w:cs="Calibri"/>
          <w:b/>
          <w:bCs/>
          <w:kern w:val="0"/>
        </w:rPr>
        <w:t>10</w:t>
      </w:r>
      <w:r w:rsidRPr="00AE2A0A">
        <w:rPr>
          <w:rFonts w:ascii="Calibri" w:hAnsi="Calibri" w:cs="Calibri"/>
          <w:kern w:val="0"/>
        </w:rPr>
        <w:t>, 290–301 (1959).</w:t>
      </w:r>
    </w:p>
    <w:p w14:paraId="39857776"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5.</w:t>
      </w:r>
      <w:r w:rsidRPr="00AE2A0A">
        <w:rPr>
          <w:rFonts w:ascii="Calibri" w:hAnsi="Calibri" w:cs="Calibri"/>
          <w:kern w:val="0"/>
        </w:rPr>
        <w:tab/>
        <w:t xml:space="preserve">Maurent, E. </w:t>
      </w:r>
      <w:r w:rsidRPr="00AE2A0A">
        <w:rPr>
          <w:rFonts w:ascii="Calibri" w:hAnsi="Calibri" w:cs="Calibri"/>
          <w:i/>
          <w:iCs/>
          <w:kern w:val="0"/>
        </w:rPr>
        <w:t>et al.</w:t>
      </w:r>
      <w:r w:rsidRPr="00AE2A0A">
        <w:rPr>
          <w:rFonts w:ascii="Calibri" w:hAnsi="Calibri" w:cs="Calibri"/>
          <w:kern w:val="0"/>
        </w:rPr>
        <w:t xml:space="preserve"> A common framework to model recovery in disturbed tropical forests. </w:t>
      </w:r>
      <w:r w:rsidRPr="00AE2A0A">
        <w:rPr>
          <w:rFonts w:ascii="Calibri" w:hAnsi="Calibri" w:cs="Calibri"/>
          <w:i/>
          <w:iCs/>
          <w:kern w:val="0"/>
        </w:rPr>
        <w:t>Ecological Modelling</w:t>
      </w:r>
      <w:r w:rsidRPr="00AE2A0A">
        <w:rPr>
          <w:rFonts w:ascii="Calibri" w:hAnsi="Calibri" w:cs="Calibri"/>
          <w:kern w:val="0"/>
        </w:rPr>
        <w:t xml:space="preserve"> </w:t>
      </w:r>
      <w:r w:rsidRPr="00AE2A0A">
        <w:rPr>
          <w:rFonts w:ascii="Calibri" w:hAnsi="Calibri" w:cs="Calibri"/>
          <w:b/>
          <w:bCs/>
          <w:kern w:val="0"/>
        </w:rPr>
        <w:t>483</w:t>
      </w:r>
      <w:r w:rsidRPr="00AE2A0A">
        <w:rPr>
          <w:rFonts w:ascii="Calibri" w:hAnsi="Calibri" w:cs="Calibri"/>
          <w:kern w:val="0"/>
        </w:rPr>
        <w:t>, 110418 (2023).</w:t>
      </w:r>
    </w:p>
    <w:p w14:paraId="5044AC67"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6.</w:t>
      </w:r>
      <w:r w:rsidRPr="00AE2A0A">
        <w:rPr>
          <w:rFonts w:ascii="Calibri" w:hAnsi="Calibri" w:cs="Calibri"/>
          <w:kern w:val="0"/>
        </w:rPr>
        <w:tab/>
        <w:t xml:space="preserve">Martin, A. R., Doraisami, M. &amp; Thomas, S. C. Global patterns in wood carbon concentration across the world’s trees and forests. </w:t>
      </w:r>
      <w:r w:rsidRPr="00AE2A0A">
        <w:rPr>
          <w:rFonts w:ascii="Calibri" w:hAnsi="Calibri" w:cs="Calibri"/>
          <w:i/>
          <w:iCs/>
          <w:kern w:val="0"/>
        </w:rPr>
        <w:t>Nature Geosci</w:t>
      </w:r>
      <w:r w:rsidRPr="00AE2A0A">
        <w:rPr>
          <w:rFonts w:ascii="Calibri" w:hAnsi="Calibri" w:cs="Calibri"/>
          <w:kern w:val="0"/>
        </w:rPr>
        <w:t xml:space="preserve"> </w:t>
      </w:r>
      <w:r w:rsidRPr="00AE2A0A">
        <w:rPr>
          <w:rFonts w:ascii="Calibri" w:hAnsi="Calibri" w:cs="Calibri"/>
          <w:b/>
          <w:bCs/>
          <w:kern w:val="0"/>
        </w:rPr>
        <w:t>11</w:t>
      </w:r>
      <w:r w:rsidRPr="00AE2A0A">
        <w:rPr>
          <w:rFonts w:ascii="Calibri" w:hAnsi="Calibri" w:cs="Calibri"/>
          <w:kern w:val="0"/>
        </w:rPr>
        <w:t>, 915–920 (2018).</w:t>
      </w:r>
    </w:p>
    <w:p w14:paraId="7596D0A5"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7.</w:t>
      </w:r>
      <w:r w:rsidRPr="00AE2A0A">
        <w:rPr>
          <w:rFonts w:ascii="Calibri" w:hAnsi="Calibri" w:cs="Calibri"/>
          <w:kern w:val="0"/>
        </w:rPr>
        <w:tab/>
        <w:t xml:space="preserve">Gabry, J. </w:t>
      </w:r>
      <w:r w:rsidRPr="00AE2A0A">
        <w:rPr>
          <w:rFonts w:ascii="Calibri" w:hAnsi="Calibri" w:cs="Calibri"/>
          <w:i/>
          <w:iCs/>
          <w:kern w:val="0"/>
        </w:rPr>
        <w:t>et al.</w:t>
      </w:r>
      <w:r w:rsidRPr="00AE2A0A">
        <w:rPr>
          <w:rFonts w:ascii="Calibri" w:hAnsi="Calibri" w:cs="Calibri"/>
          <w:kern w:val="0"/>
        </w:rPr>
        <w:t xml:space="preserve"> shinystan: Interactive Visual and Numerical Diagnostics and Posterior Analysis for Bayesian Models. (2022).</w:t>
      </w:r>
    </w:p>
    <w:p w14:paraId="35CF32FE"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8.</w:t>
      </w:r>
      <w:r w:rsidRPr="00AE2A0A">
        <w:rPr>
          <w:rFonts w:ascii="Calibri" w:hAnsi="Calibri" w:cs="Calibri"/>
          <w:kern w:val="0"/>
        </w:rPr>
        <w:tab/>
        <w:t xml:space="preserve">Poorter, L. </w:t>
      </w:r>
      <w:r w:rsidRPr="00AE2A0A">
        <w:rPr>
          <w:rFonts w:ascii="Calibri" w:hAnsi="Calibri" w:cs="Calibri"/>
          <w:i/>
          <w:iCs/>
          <w:kern w:val="0"/>
        </w:rPr>
        <w:t>et al.</w:t>
      </w:r>
      <w:r w:rsidRPr="00AE2A0A">
        <w:rPr>
          <w:rFonts w:ascii="Calibri" w:hAnsi="Calibri" w:cs="Calibri"/>
          <w:kern w:val="0"/>
        </w:rPr>
        <w:t xml:space="preserve"> Biomass resilience of Neotropical secondary forests. </w:t>
      </w:r>
      <w:r w:rsidRPr="00AE2A0A">
        <w:rPr>
          <w:rFonts w:ascii="Calibri" w:hAnsi="Calibri" w:cs="Calibri"/>
          <w:i/>
          <w:iCs/>
          <w:kern w:val="0"/>
        </w:rPr>
        <w:t>Nature</w:t>
      </w:r>
      <w:r w:rsidRPr="00AE2A0A">
        <w:rPr>
          <w:rFonts w:ascii="Calibri" w:hAnsi="Calibri" w:cs="Calibri"/>
          <w:kern w:val="0"/>
        </w:rPr>
        <w:t xml:space="preserve"> </w:t>
      </w:r>
      <w:r w:rsidRPr="00AE2A0A">
        <w:rPr>
          <w:rFonts w:ascii="Calibri" w:hAnsi="Calibri" w:cs="Calibri"/>
          <w:b/>
          <w:bCs/>
          <w:kern w:val="0"/>
        </w:rPr>
        <w:t>530</w:t>
      </w:r>
      <w:r w:rsidRPr="00AE2A0A">
        <w:rPr>
          <w:rFonts w:ascii="Calibri" w:hAnsi="Calibri" w:cs="Calibri"/>
          <w:kern w:val="0"/>
        </w:rPr>
        <w:t>, 211–214 (2016).</w:t>
      </w:r>
    </w:p>
    <w:p w14:paraId="68E40739"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9.</w:t>
      </w:r>
      <w:r w:rsidRPr="00AE2A0A">
        <w:rPr>
          <w:rFonts w:ascii="Calibri" w:hAnsi="Calibri" w:cs="Calibri"/>
          <w:kern w:val="0"/>
        </w:rPr>
        <w:tab/>
        <w:t xml:space="preserve">Amani, B. H. K. </w:t>
      </w:r>
      <w:r w:rsidRPr="00AE2A0A">
        <w:rPr>
          <w:rFonts w:ascii="Calibri" w:hAnsi="Calibri" w:cs="Calibri"/>
          <w:i/>
          <w:iCs/>
          <w:kern w:val="0"/>
        </w:rPr>
        <w:t>et al.</w:t>
      </w:r>
      <w:r w:rsidRPr="00AE2A0A">
        <w:rPr>
          <w:rFonts w:ascii="Calibri" w:hAnsi="Calibri" w:cs="Calibri"/>
          <w:kern w:val="0"/>
        </w:rPr>
        <w:t xml:space="preserve"> Lessons from a regional analysis of forest recovery trajectories in West Africa. </w:t>
      </w:r>
      <w:r w:rsidRPr="00AE2A0A">
        <w:rPr>
          <w:rFonts w:ascii="Calibri" w:hAnsi="Calibri" w:cs="Calibri"/>
          <w:i/>
          <w:iCs/>
          <w:kern w:val="0"/>
        </w:rPr>
        <w:t>Environ. Res. Lett.</w:t>
      </w:r>
      <w:r w:rsidRPr="00AE2A0A">
        <w:rPr>
          <w:rFonts w:ascii="Calibri" w:hAnsi="Calibri" w:cs="Calibri"/>
          <w:kern w:val="0"/>
        </w:rPr>
        <w:t xml:space="preserve"> </w:t>
      </w:r>
      <w:r w:rsidRPr="00AE2A0A">
        <w:rPr>
          <w:rFonts w:ascii="Calibri" w:hAnsi="Calibri" w:cs="Calibri"/>
          <w:b/>
          <w:bCs/>
          <w:kern w:val="0"/>
        </w:rPr>
        <w:t>17</w:t>
      </w:r>
      <w:r w:rsidRPr="00AE2A0A">
        <w:rPr>
          <w:rFonts w:ascii="Calibri" w:hAnsi="Calibri" w:cs="Calibri"/>
          <w:kern w:val="0"/>
        </w:rPr>
        <w:t>, 115005 (2022).</w:t>
      </w:r>
    </w:p>
    <w:p w14:paraId="0EF60474"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10.</w:t>
      </w:r>
      <w:r w:rsidRPr="00AE2A0A">
        <w:rPr>
          <w:rFonts w:ascii="Calibri" w:hAnsi="Calibri" w:cs="Calibri"/>
          <w:kern w:val="0"/>
        </w:rPr>
        <w:tab/>
        <w:t xml:space="preserve">Titenwi, P. N. </w:t>
      </w:r>
      <w:r w:rsidRPr="00AE2A0A">
        <w:rPr>
          <w:rFonts w:ascii="Calibri" w:hAnsi="Calibri" w:cs="Calibri"/>
          <w:i/>
          <w:iCs/>
          <w:kern w:val="0"/>
        </w:rPr>
        <w:t>et al.</w:t>
      </w:r>
      <w:r w:rsidRPr="00AE2A0A">
        <w:rPr>
          <w:rFonts w:ascii="Calibri" w:hAnsi="Calibri" w:cs="Calibri"/>
          <w:kern w:val="0"/>
        </w:rPr>
        <w:t xml:space="preserve"> Carbon recovery in secondary forests: Insights from three West African countries. </w:t>
      </w:r>
      <w:r w:rsidRPr="00AE2A0A">
        <w:rPr>
          <w:rFonts w:ascii="Calibri" w:hAnsi="Calibri" w:cs="Calibri"/>
          <w:i/>
          <w:iCs/>
          <w:kern w:val="0"/>
        </w:rPr>
        <w:t>Forest Ecology and Management</w:t>
      </w:r>
      <w:r w:rsidRPr="00AE2A0A">
        <w:rPr>
          <w:rFonts w:ascii="Calibri" w:hAnsi="Calibri" w:cs="Calibri"/>
          <w:kern w:val="0"/>
        </w:rPr>
        <w:t xml:space="preserve"> </w:t>
      </w:r>
      <w:r w:rsidRPr="00AE2A0A">
        <w:rPr>
          <w:rFonts w:ascii="Calibri" w:hAnsi="Calibri" w:cs="Calibri"/>
          <w:b/>
          <w:bCs/>
          <w:kern w:val="0"/>
        </w:rPr>
        <w:t>575</w:t>
      </w:r>
      <w:r w:rsidRPr="00AE2A0A">
        <w:rPr>
          <w:rFonts w:ascii="Calibri" w:hAnsi="Calibri" w:cs="Calibri"/>
          <w:kern w:val="0"/>
        </w:rPr>
        <w:t>, 122386 (2025).</w:t>
      </w:r>
    </w:p>
    <w:p w14:paraId="0F159B74"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11.</w:t>
      </w:r>
      <w:r w:rsidRPr="00AE2A0A">
        <w:rPr>
          <w:rFonts w:ascii="Calibri" w:hAnsi="Calibri" w:cs="Calibri"/>
          <w:kern w:val="0"/>
        </w:rPr>
        <w:tab/>
        <w:t xml:space="preserve">Requena Suarez, D. </w:t>
      </w:r>
      <w:r w:rsidRPr="00AE2A0A">
        <w:rPr>
          <w:rFonts w:ascii="Calibri" w:hAnsi="Calibri" w:cs="Calibri"/>
          <w:i/>
          <w:iCs/>
          <w:kern w:val="0"/>
        </w:rPr>
        <w:t>et al.</w:t>
      </w:r>
      <w:r w:rsidRPr="00AE2A0A">
        <w:rPr>
          <w:rFonts w:ascii="Calibri" w:hAnsi="Calibri" w:cs="Calibri"/>
          <w:kern w:val="0"/>
        </w:rPr>
        <w:t xml:space="preserve"> Variation in aboveground biomass in forests and woodlands in Tanzania along gradients in environmental conditions and human use. </w:t>
      </w:r>
      <w:r w:rsidRPr="00AE2A0A">
        <w:rPr>
          <w:rFonts w:ascii="Calibri" w:hAnsi="Calibri" w:cs="Calibri"/>
          <w:i/>
          <w:iCs/>
          <w:kern w:val="0"/>
        </w:rPr>
        <w:t>Environ. Res. Lett.</w:t>
      </w:r>
      <w:r w:rsidRPr="00AE2A0A">
        <w:rPr>
          <w:rFonts w:ascii="Calibri" w:hAnsi="Calibri" w:cs="Calibri"/>
          <w:kern w:val="0"/>
        </w:rPr>
        <w:t xml:space="preserve"> </w:t>
      </w:r>
      <w:r w:rsidRPr="00AE2A0A">
        <w:rPr>
          <w:rFonts w:ascii="Calibri" w:hAnsi="Calibri" w:cs="Calibri"/>
          <w:b/>
          <w:bCs/>
          <w:kern w:val="0"/>
        </w:rPr>
        <w:t>16</w:t>
      </w:r>
      <w:r w:rsidRPr="00AE2A0A">
        <w:rPr>
          <w:rFonts w:ascii="Calibri" w:hAnsi="Calibri" w:cs="Calibri"/>
          <w:kern w:val="0"/>
        </w:rPr>
        <w:t>, 044014 (2021).</w:t>
      </w:r>
    </w:p>
    <w:p w14:paraId="4AF9654A"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12.</w:t>
      </w:r>
      <w:r w:rsidRPr="00AE2A0A">
        <w:rPr>
          <w:rFonts w:ascii="Calibri" w:hAnsi="Calibri" w:cs="Calibri"/>
          <w:kern w:val="0"/>
        </w:rPr>
        <w:tab/>
        <w:t xml:space="preserve">Hordijk, I. </w:t>
      </w:r>
      <w:r w:rsidRPr="00AE2A0A">
        <w:rPr>
          <w:rFonts w:ascii="Calibri" w:hAnsi="Calibri" w:cs="Calibri"/>
          <w:i/>
          <w:iCs/>
          <w:kern w:val="0"/>
        </w:rPr>
        <w:t>et al.</w:t>
      </w:r>
      <w:r w:rsidRPr="00AE2A0A">
        <w:rPr>
          <w:rFonts w:ascii="Calibri" w:hAnsi="Calibri" w:cs="Calibri"/>
          <w:kern w:val="0"/>
        </w:rPr>
        <w:t xml:space="preserve"> Land use history and landscape forest cover determine tropical forest recovery. </w:t>
      </w:r>
      <w:r w:rsidRPr="00AE2A0A">
        <w:rPr>
          <w:rFonts w:ascii="Calibri" w:hAnsi="Calibri" w:cs="Calibri"/>
          <w:i/>
          <w:iCs/>
          <w:kern w:val="0"/>
        </w:rPr>
        <w:t>Journal of Applied Ecology</w:t>
      </w:r>
      <w:r w:rsidRPr="00AE2A0A">
        <w:rPr>
          <w:rFonts w:ascii="Calibri" w:hAnsi="Calibri" w:cs="Calibri"/>
          <w:kern w:val="0"/>
        </w:rPr>
        <w:t xml:space="preserve"> </w:t>
      </w:r>
      <w:r w:rsidRPr="00AE2A0A">
        <w:rPr>
          <w:rFonts w:ascii="Calibri" w:hAnsi="Calibri" w:cs="Calibri"/>
          <w:b/>
          <w:bCs/>
          <w:kern w:val="0"/>
        </w:rPr>
        <w:t>61</w:t>
      </w:r>
      <w:r w:rsidRPr="00AE2A0A">
        <w:rPr>
          <w:rFonts w:ascii="Calibri" w:hAnsi="Calibri" w:cs="Calibri"/>
          <w:kern w:val="0"/>
        </w:rPr>
        <w:t>, 2365–2381 (2024).</w:t>
      </w:r>
    </w:p>
    <w:p w14:paraId="5CAFB1E8"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13.</w:t>
      </w:r>
      <w:r w:rsidRPr="00AE2A0A">
        <w:rPr>
          <w:rFonts w:ascii="Calibri" w:hAnsi="Calibri" w:cs="Calibri"/>
          <w:kern w:val="0"/>
        </w:rPr>
        <w:tab/>
        <w:t xml:space="preserve">Fricke, E. C., Cook-Patton, S. C., Harvey, C. F. &amp; Terrer, C. Seed dispersal disruption limits tropical forest regrowth. </w:t>
      </w:r>
      <w:r w:rsidRPr="00AE2A0A">
        <w:rPr>
          <w:rFonts w:ascii="Calibri" w:hAnsi="Calibri" w:cs="Calibri"/>
          <w:i/>
          <w:iCs/>
          <w:kern w:val="0"/>
        </w:rPr>
        <w:t>Proceedings of the National Academy of Sciences</w:t>
      </w:r>
      <w:r w:rsidRPr="00AE2A0A">
        <w:rPr>
          <w:rFonts w:ascii="Calibri" w:hAnsi="Calibri" w:cs="Calibri"/>
          <w:kern w:val="0"/>
        </w:rPr>
        <w:t xml:space="preserve"> </w:t>
      </w:r>
      <w:r w:rsidRPr="00AE2A0A">
        <w:rPr>
          <w:rFonts w:ascii="Calibri" w:hAnsi="Calibri" w:cs="Calibri"/>
          <w:b/>
          <w:bCs/>
          <w:kern w:val="0"/>
        </w:rPr>
        <w:t>122</w:t>
      </w:r>
      <w:r w:rsidRPr="00AE2A0A">
        <w:rPr>
          <w:rFonts w:ascii="Calibri" w:hAnsi="Calibri" w:cs="Calibri"/>
          <w:kern w:val="0"/>
        </w:rPr>
        <w:t>, e2500951122 (2025).</w:t>
      </w:r>
    </w:p>
    <w:p w14:paraId="5B48EBF1"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14.</w:t>
      </w:r>
      <w:r w:rsidRPr="00AE2A0A">
        <w:rPr>
          <w:rFonts w:ascii="Calibri" w:hAnsi="Calibri" w:cs="Calibri"/>
          <w:kern w:val="0"/>
        </w:rPr>
        <w:tab/>
        <w:t xml:space="preserve">Fick, S. E. &amp; Hijmans, R. J. WorldClim 2: new 1-km spatial resolution climate surfaces for global land areas. </w:t>
      </w:r>
      <w:r w:rsidRPr="00AE2A0A">
        <w:rPr>
          <w:rFonts w:ascii="Calibri" w:hAnsi="Calibri" w:cs="Calibri"/>
          <w:i/>
          <w:iCs/>
          <w:kern w:val="0"/>
        </w:rPr>
        <w:t>International Journal of Climatology</w:t>
      </w:r>
      <w:r w:rsidRPr="00AE2A0A">
        <w:rPr>
          <w:rFonts w:ascii="Calibri" w:hAnsi="Calibri" w:cs="Calibri"/>
          <w:kern w:val="0"/>
        </w:rPr>
        <w:t xml:space="preserve"> </w:t>
      </w:r>
      <w:r w:rsidRPr="00AE2A0A">
        <w:rPr>
          <w:rFonts w:ascii="Calibri" w:hAnsi="Calibri" w:cs="Calibri"/>
          <w:b/>
          <w:bCs/>
          <w:kern w:val="0"/>
        </w:rPr>
        <w:t>37</w:t>
      </w:r>
      <w:r w:rsidRPr="00AE2A0A">
        <w:rPr>
          <w:rFonts w:ascii="Calibri" w:hAnsi="Calibri" w:cs="Calibri"/>
          <w:kern w:val="0"/>
        </w:rPr>
        <w:t>, 4302–4315 (2017).</w:t>
      </w:r>
    </w:p>
    <w:p w14:paraId="17907484"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lastRenderedPageBreak/>
        <w:t>15.</w:t>
      </w:r>
      <w:r w:rsidRPr="00AE2A0A">
        <w:rPr>
          <w:rFonts w:ascii="Calibri" w:hAnsi="Calibri" w:cs="Calibri"/>
          <w:kern w:val="0"/>
        </w:rPr>
        <w:tab/>
        <w:t xml:space="preserve">Hansen, M. C. </w:t>
      </w:r>
      <w:r w:rsidRPr="00AE2A0A">
        <w:rPr>
          <w:rFonts w:ascii="Calibri" w:hAnsi="Calibri" w:cs="Calibri"/>
          <w:i/>
          <w:iCs/>
          <w:kern w:val="0"/>
        </w:rPr>
        <w:t>et al.</w:t>
      </w:r>
      <w:r w:rsidRPr="00AE2A0A">
        <w:rPr>
          <w:rFonts w:ascii="Calibri" w:hAnsi="Calibri" w:cs="Calibri"/>
          <w:kern w:val="0"/>
        </w:rPr>
        <w:t xml:space="preserve"> High-Resolution Global Maps of 21st-Century Forest Cover Change. </w:t>
      </w:r>
      <w:r w:rsidRPr="00AE2A0A">
        <w:rPr>
          <w:rFonts w:ascii="Calibri" w:hAnsi="Calibri" w:cs="Calibri"/>
          <w:i/>
          <w:iCs/>
          <w:kern w:val="0"/>
        </w:rPr>
        <w:t>Science</w:t>
      </w:r>
      <w:r w:rsidRPr="00AE2A0A">
        <w:rPr>
          <w:rFonts w:ascii="Calibri" w:hAnsi="Calibri" w:cs="Calibri"/>
          <w:kern w:val="0"/>
        </w:rPr>
        <w:t xml:space="preserve"> </w:t>
      </w:r>
      <w:r w:rsidRPr="00AE2A0A">
        <w:rPr>
          <w:rFonts w:ascii="Calibri" w:hAnsi="Calibri" w:cs="Calibri"/>
          <w:b/>
          <w:bCs/>
          <w:kern w:val="0"/>
        </w:rPr>
        <w:t>342</w:t>
      </w:r>
      <w:r w:rsidRPr="00AE2A0A">
        <w:rPr>
          <w:rFonts w:ascii="Calibri" w:hAnsi="Calibri" w:cs="Calibri"/>
          <w:kern w:val="0"/>
        </w:rPr>
        <w:t>, 850 LP – 853 (2013).</w:t>
      </w:r>
    </w:p>
    <w:p w14:paraId="1BD29803"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16.</w:t>
      </w:r>
      <w:r w:rsidRPr="00AE2A0A">
        <w:rPr>
          <w:rFonts w:ascii="Calibri" w:hAnsi="Calibri" w:cs="Calibri"/>
          <w:kern w:val="0"/>
        </w:rPr>
        <w:tab/>
        <w:t xml:space="preserve">Descals, A., Gaveau, D. L. A., Wich, S., Szantoi, Z. &amp; Meijaard, E. Global mapping of oil palm planting year from 1990 to 2021. </w:t>
      </w:r>
      <w:r w:rsidRPr="00AE2A0A">
        <w:rPr>
          <w:rFonts w:ascii="Calibri" w:hAnsi="Calibri" w:cs="Calibri"/>
          <w:i/>
          <w:iCs/>
          <w:kern w:val="0"/>
        </w:rPr>
        <w:t>Earth System Science Data</w:t>
      </w:r>
      <w:r w:rsidRPr="00AE2A0A">
        <w:rPr>
          <w:rFonts w:ascii="Calibri" w:hAnsi="Calibri" w:cs="Calibri"/>
          <w:kern w:val="0"/>
        </w:rPr>
        <w:t xml:space="preserve"> </w:t>
      </w:r>
      <w:r w:rsidRPr="00AE2A0A">
        <w:rPr>
          <w:rFonts w:ascii="Calibri" w:hAnsi="Calibri" w:cs="Calibri"/>
          <w:b/>
          <w:bCs/>
          <w:kern w:val="0"/>
        </w:rPr>
        <w:t>16</w:t>
      </w:r>
      <w:r w:rsidRPr="00AE2A0A">
        <w:rPr>
          <w:rFonts w:ascii="Calibri" w:hAnsi="Calibri" w:cs="Calibri"/>
          <w:kern w:val="0"/>
        </w:rPr>
        <w:t>, 5111–5129 (2024).</w:t>
      </w:r>
    </w:p>
    <w:p w14:paraId="791E7D6F"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17.</w:t>
      </w:r>
      <w:r w:rsidRPr="00AE2A0A">
        <w:rPr>
          <w:rFonts w:ascii="Calibri" w:hAnsi="Calibri" w:cs="Calibri"/>
          <w:kern w:val="0"/>
        </w:rPr>
        <w:tab/>
        <w:t xml:space="preserve">Hesselbarth, M. H. K., Sciaini, M., With, K. A., Wiegand, K. &amp; Nowosad, J. landscapemetrics: an open-source R tool to calculate landscape metrics. </w:t>
      </w:r>
      <w:r w:rsidRPr="00AE2A0A">
        <w:rPr>
          <w:rFonts w:ascii="Calibri" w:hAnsi="Calibri" w:cs="Calibri"/>
          <w:i/>
          <w:iCs/>
          <w:kern w:val="0"/>
        </w:rPr>
        <w:t>Ecography</w:t>
      </w:r>
      <w:r w:rsidRPr="00AE2A0A">
        <w:rPr>
          <w:rFonts w:ascii="Calibri" w:hAnsi="Calibri" w:cs="Calibri"/>
          <w:kern w:val="0"/>
        </w:rPr>
        <w:t xml:space="preserve"> </w:t>
      </w:r>
      <w:r w:rsidRPr="00AE2A0A">
        <w:rPr>
          <w:rFonts w:ascii="Calibri" w:hAnsi="Calibri" w:cs="Calibri"/>
          <w:b/>
          <w:bCs/>
          <w:kern w:val="0"/>
        </w:rPr>
        <w:t>42</w:t>
      </w:r>
      <w:r w:rsidRPr="00AE2A0A">
        <w:rPr>
          <w:rFonts w:ascii="Calibri" w:hAnsi="Calibri" w:cs="Calibri"/>
          <w:kern w:val="0"/>
        </w:rPr>
        <w:t>, 1648–1657 (2019).</w:t>
      </w:r>
    </w:p>
    <w:p w14:paraId="21BEFD11"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18.</w:t>
      </w:r>
      <w:r w:rsidRPr="00AE2A0A">
        <w:rPr>
          <w:rFonts w:ascii="Calibri" w:hAnsi="Calibri" w:cs="Calibri"/>
          <w:kern w:val="0"/>
        </w:rPr>
        <w:tab/>
        <w:t xml:space="preserve">Powers, J. S. &amp; Marín-Spiotta, E. Ecosystem Processes and Biogeochemical Cycles in Secondary Tropical Forest Succession. </w:t>
      </w:r>
      <w:r w:rsidRPr="00AE2A0A">
        <w:rPr>
          <w:rFonts w:ascii="Calibri" w:hAnsi="Calibri" w:cs="Calibri"/>
          <w:i/>
          <w:iCs/>
          <w:kern w:val="0"/>
        </w:rPr>
        <w:t>Annual Review of Ecology, Evolution, and Systematics</w:t>
      </w:r>
      <w:r w:rsidRPr="00AE2A0A">
        <w:rPr>
          <w:rFonts w:ascii="Calibri" w:hAnsi="Calibri" w:cs="Calibri"/>
          <w:kern w:val="0"/>
        </w:rPr>
        <w:t xml:space="preserve"> </w:t>
      </w:r>
      <w:r w:rsidRPr="00AE2A0A">
        <w:rPr>
          <w:rFonts w:ascii="Calibri" w:hAnsi="Calibri" w:cs="Calibri"/>
          <w:b/>
          <w:bCs/>
          <w:kern w:val="0"/>
        </w:rPr>
        <w:t>48</w:t>
      </w:r>
      <w:r w:rsidRPr="00AE2A0A">
        <w:rPr>
          <w:rFonts w:ascii="Calibri" w:hAnsi="Calibri" w:cs="Calibri"/>
          <w:kern w:val="0"/>
        </w:rPr>
        <w:t>, 497–519 (2017).</w:t>
      </w:r>
    </w:p>
    <w:p w14:paraId="36FF44D3"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19.</w:t>
      </w:r>
      <w:r w:rsidRPr="00AE2A0A">
        <w:rPr>
          <w:rFonts w:ascii="Calibri" w:hAnsi="Calibri" w:cs="Calibri"/>
          <w:kern w:val="0"/>
        </w:rPr>
        <w:tab/>
        <w:t xml:space="preserve">Bauters, M. </w:t>
      </w:r>
      <w:r w:rsidRPr="00AE2A0A">
        <w:rPr>
          <w:rFonts w:ascii="Calibri" w:hAnsi="Calibri" w:cs="Calibri"/>
          <w:i/>
          <w:iCs/>
          <w:kern w:val="0"/>
        </w:rPr>
        <w:t>et al.</w:t>
      </w:r>
      <w:r w:rsidRPr="00AE2A0A">
        <w:rPr>
          <w:rFonts w:ascii="Calibri" w:hAnsi="Calibri" w:cs="Calibri"/>
          <w:kern w:val="0"/>
        </w:rPr>
        <w:t xml:space="preserve"> Increasing calcium scarcity along Afrotropical forest succession. </w:t>
      </w:r>
      <w:r w:rsidRPr="00AE2A0A">
        <w:rPr>
          <w:rFonts w:ascii="Calibri" w:hAnsi="Calibri" w:cs="Calibri"/>
          <w:i/>
          <w:iCs/>
          <w:kern w:val="0"/>
        </w:rPr>
        <w:t>Nature Ecology &amp; Evolution</w:t>
      </w:r>
      <w:r w:rsidRPr="00AE2A0A">
        <w:rPr>
          <w:rFonts w:ascii="Calibri" w:hAnsi="Calibri" w:cs="Calibri"/>
          <w:kern w:val="0"/>
        </w:rPr>
        <w:t xml:space="preserve"> </w:t>
      </w:r>
      <w:r w:rsidRPr="00AE2A0A">
        <w:rPr>
          <w:rFonts w:ascii="Calibri" w:hAnsi="Calibri" w:cs="Calibri"/>
          <w:b/>
          <w:bCs/>
          <w:kern w:val="0"/>
        </w:rPr>
        <w:t>6</w:t>
      </w:r>
      <w:r w:rsidRPr="00AE2A0A">
        <w:rPr>
          <w:rFonts w:ascii="Calibri" w:hAnsi="Calibri" w:cs="Calibri"/>
          <w:kern w:val="0"/>
        </w:rPr>
        <w:t>, 1122–1131 (2022).</w:t>
      </w:r>
    </w:p>
    <w:p w14:paraId="7A002FB6"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20.</w:t>
      </w:r>
      <w:r w:rsidRPr="00AE2A0A">
        <w:rPr>
          <w:rFonts w:ascii="Calibri" w:hAnsi="Calibri" w:cs="Calibri"/>
          <w:kern w:val="0"/>
        </w:rPr>
        <w:tab/>
        <w:t xml:space="preserve">Matsuo, T. </w:t>
      </w:r>
      <w:r w:rsidRPr="00AE2A0A">
        <w:rPr>
          <w:rFonts w:ascii="Calibri" w:hAnsi="Calibri" w:cs="Calibri"/>
          <w:i/>
          <w:iCs/>
          <w:kern w:val="0"/>
        </w:rPr>
        <w:t>et al.</w:t>
      </w:r>
      <w:r w:rsidRPr="00AE2A0A">
        <w:rPr>
          <w:rFonts w:ascii="Calibri" w:hAnsi="Calibri" w:cs="Calibri"/>
          <w:kern w:val="0"/>
        </w:rPr>
        <w:t xml:space="preserve"> Drivers of biomass stocks and productivity of tropical secondary forests. </w:t>
      </w:r>
      <w:r w:rsidRPr="00AE2A0A">
        <w:rPr>
          <w:rFonts w:ascii="Calibri" w:hAnsi="Calibri" w:cs="Calibri"/>
          <w:i/>
          <w:iCs/>
          <w:kern w:val="0"/>
        </w:rPr>
        <w:t>Ecology</w:t>
      </w:r>
      <w:r w:rsidRPr="00AE2A0A">
        <w:rPr>
          <w:rFonts w:ascii="Calibri" w:hAnsi="Calibri" w:cs="Calibri"/>
          <w:kern w:val="0"/>
        </w:rPr>
        <w:t xml:space="preserve"> </w:t>
      </w:r>
      <w:r w:rsidRPr="00AE2A0A">
        <w:rPr>
          <w:rFonts w:ascii="Calibri" w:hAnsi="Calibri" w:cs="Calibri"/>
          <w:b/>
          <w:bCs/>
          <w:kern w:val="0"/>
        </w:rPr>
        <w:t>106</w:t>
      </w:r>
      <w:r w:rsidRPr="00AE2A0A">
        <w:rPr>
          <w:rFonts w:ascii="Calibri" w:hAnsi="Calibri" w:cs="Calibri"/>
          <w:kern w:val="0"/>
        </w:rPr>
        <w:t>, e4488 (2025).</w:t>
      </w:r>
    </w:p>
    <w:p w14:paraId="743349E2"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21.</w:t>
      </w:r>
      <w:r w:rsidRPr="00AE2A0A">
        <w:rPr>
          <w:rFonts w:ascii="Calibri" w:hAnsi="Calibri" w:cs="Calibri"/>
          <w:kern w:val="0"/>
        </w:rPr>
        <w:tab/>
        <w:t xml:space="preserve">Jakovac, C. C. </w:t>
      </w:r>
      <w:r w:rsidRPr="00AE2A0A">
        <w:rPr>
          <w:rFonts w:ascii="Calibri" w:hAnsi="Calibri" w:cs="Calibri"/>
          <w:i/>
          <w:iCs/>
          <w:kern w:val="0"/>
        </w:rPr>
        <w:t>et al.</w:t>
      </w:r>
      <w:r w:rsidRPr="00AE2A0A">
        <w:rPr>
          <w:rFonts w:ascii="Calibri" w:hAnsi="Calibri" w:cs="Calibri"/>
          <w:kern w:val="0"/>
        </w:rPr>
        <w:t xml:space="preserve"> The role of land-use history in driving successional pathways and its implications for the restoration of tropical forests. </w:t>
      </w:r>
      <w:r w:rsidRPr="00AE2A0A">
        <w:rPr>
          <w:rFonts w:ascii="Calibri" w:hAnsi="Calibri" w:cs="Calibri"/>
          <w:i/>
          <w:iCs/>
          <w:kern w:val="0"/>
        </w:rPr>
        <w:t>Biological Reviews</w:t>
      </w:r>
      <w:r w:rsidRPr="00AE2A0A">
        <w:rPr>
          <w:rFonts w:ascii="Calibri" w:hAnsi="Calibri" w:cs="Calibri"/>
          <w:kern w:val="0"/>
        </w:rPr>
        <w:t xml:space="preserve"> </w:t>
      </w:r>
      <w:r w:rsidRPr="00AE2A0A">
        <w:rPr>
          <w:rFonts w:ascii="Calibri" w:hAnsi="Calibri" w:cs="Calibri"/>
          <w:b/>
          <w:bCs/>
          <w:kern w:val="0"/>
        </w:rPr>
        <w:t>96</w:t>
      </w:r>
      <w:r w:rsidRPr="00AE2A0A">
        <w:rPr>
          <w:rFonts w:ascii="Calibri" w:hAnsi="Calibri" w:cs="Calibri"/>
          <w:kern w:val="0"/>
        </w:rPr>
        <w:t>, 1114–1134 (2021).</w:t>
      </w:r>
    </w:p>
    <w:p w14:paraId="6EA64B2D"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22.</w:t>
      </w:r>
      <w:r w:rsidRPr="00AE2A0A">
        <w:rPr>
          <w:rFonts w:ascii="Calibri" w:hAnsi="Calibri" w:cs="Calibri"/>
          <w:kern w:val="0"/>
        </w:rPr>
        <w:tab/>
        <w:t xml:space="preserve">Neina, D. The Role of Soil pH in Plant Nutrition and Soil Remediation. </w:t>
      </w:r>
      <w:r w:rsidRPr="00AE2A0A">
        <w:rPr>
          <w:rFonts w:ascii="Calibri" w:hAnsi="Calibri" w:cs="Calibri"/>
          <w:i/>
          <w:iCs/>
          <w:kern w:val="0"/>
        </w:rPr>
        <w:t>Applied and Environmental Soil Science</w:t>
      </w:r>
      <w:r w:rsidRPr="00AE2A0A">
        <w:rPr>
          <w:rFonts w:ascii="Calibri" w:hAnsi="Calibri" w:cs="Calibri"/>
          <w:kern w:val="0"/>
        </w:rPr>
        <w:t xml:space="preserve"> </w:t>
      </w:r>
      <w:r w:rsidRPr="00AE2A0A">
        <w:rPr>
          <w:rFonts w:ascii="Calibri" w:hAnsi="Calibri" w:cs="Calibri"/>
          <w:b/>
          <w:bCs/>
          <w:kern w:val="0"/>
        </w:rPr>
        <w:t>2019</w:t>
      </w:r>
      <w:r w:rsidRPr="00AE2A0A">
        <w:rPr>
          <w:rFonts w:ascii="Calibri" w:hAnsi="Calibri" w:cs="Calibri"/>
          <w:kern w:val="0"/>
        </w:rPr>
        <w:t>, 5794869 (2019).</w:t>
      </w:r>
    </w:p>
    <w:p w14:paraId="7C9EE2B9"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23.</w:t>
      </w:r>
      <w:r w:rsidRPr="00AE2A0A">
        <w:rPr>
          <w:rFonts w:ascii="Calibri" w:hAnsi="Calibri" w:cs="Calibri"/>
          <w:kern w:val="0"/>
        </w:rPr>
        <w:tab/>
        <w:t xml:space="preserve">Hengl, T. </w:t>
      </w:r>
      <w:r w:rsidRPr="00AE2A0A">
        <w:rPr>
          <w:rFonts w:ascii="Calibri" w:hAnsi="Calibri" w:cs="Calibri"/>
          <w:i/>
          <w:iCs/>
          <w:kern w:val="0"/>
        </w:rPr>
        <w:t>et al.</w:t>
      </w:r>
      <w:r w:rsidRPr="00AE2A0A">
        <w:rPr>
          <w:rFonts w:ascii="Calibri" w:hAnsi="Calibri" w:cs="Calibri"/>
          <w:kern w:val="0"/>
        </w:rPr>
        <w:t xml:space="preserve"> African soil properties and nutrients mapped at 30 m spatial resolution using two-scale ensemble machine learning. </w:t>
      </w:r>
      <w:r w:rsidRPr="00AE2A0A">
        <w:rPr>
          <w:rFonts w:ascii="Calibri" w:hAnsi="Calibri" w:cs="Calibri"/>
          <w:i/>
          <w:iCs/>
          <w:kern w:val="0"/>
        </w:rPr>
        <w:t>Sci Rep</w:t>
      </w:r>
      <w:r w:rsidRPr="00AE2A0A">
        <w:rPr>
          <w:rFonts w:ascii="Calibri" w:hAnsi="Calibri" w:cs="Calibri"/>
          <w:kern w:val="0"/>
        </w:rPr>
        <w:t xml:space="preserve"> </w:t>
      </w:r>
      <w:r w:rsidRPr="00AE2A0A">
        <w:rPr>
          <w:rFonts w:ascii="Calibri" w:hAnsi="Calibri" w:cs="Calibri"/>
          <w:b/>
          <w:bCs/>
          <w:kern w:val="0"/>
        </w:rPr>
        <w:t>11</w:t>
      </w:r>
      <w:r w:rsidRPr="00AE2A0A">
        <w:rPr>
          <w:rFonts w:ascii="Calibri" w:hAnsi="Calibri" w:cs="Calibri"/>
          <w:kern w:val="0"/>
        </w:rPr>
        <w:t>, 6130 (2021).</w:t>
      </w:r>
    </w:p>
    <w:p w14:paraId="766CCA44"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24.</w:t>
      </w:r>
      <w:r w:rsidRPr="00AE2A0A">
        <w:rPr>
          <w:rFonts w:ascii="Calibri" w:hAnsi="Calibri" w:cs="Calibri"/>
          <w:kern w:val="0"/>
        </w:rPr>
        <w:tab/>
        <w:t xml:space="preserve">Piironen, J., Paasiniemi, M. &amp; Vehtari, A. Projective inference in high-dimensional problems: Prediction and feature selection. </w:t>
      </w:r>
      <w:r w:rsidRPr="00AE2A0A">
        <w:rPr>
          <w:rFonts w:ascii="Calibri" w:hAnsi="Calibri" w:cs="Calibri"/>
          <w:i/>
          <w:iCs/>
          <w:kern w:val="0"/>
        </w:rPr>
        <w:t>Electronic Journal of Statistics</w:t>
      </w:r>
      <w:r w:rsidRPr="00AE2A0A">
        <w:rPr>
          <w:rFonts w:ascii="Calibri" w:hAnsi="Calibri" w:cs="Calibri"/>
          <w:kern w:val="0"/>
        </w:rPr>
        <w:t xml:space="preserve"> </w:t>
      </w:r>
      <w:r w:rsidRPr="00AE2A0A">
        <w:rPr>
          <w:rFonts w:ascii="Calibri" w:hAnsi="Calibri" w:cs="Calibri"/>
          <w:b/>
          <w:bCs/>
          <w:kern w:val="0"/>
        </w:rPr>
        <w:t>14</w:t>
      </w:r>
      <w:r w:rsidRPr="00AE2A0A">
        <w:rPr>
          <w:rFonts w:ascii="Calibri" w:hAnsi="Calibri" w:cs="Calibri"/>
          <w:kern w:val="0"/>
        </w:rPr>
        <w:t>, 2155–2197 (2020).</w:t>
      </w:r>
    </w:p>
    <w:p w14:paraId="469884AB"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25.</w:t>
      </w:r>
      <w:r w:rsidRPr="00AE2A0A">
        <w:rPr>
          <w:rFonts w:ascii="Calibri" w:hAnsi="Calibri" w:cs="Calibri"/>
          <w:kern w:val="0"/>
        </w:rPr>
        <w:tab/>
        <w:t xml:space="preserve">Piironen, J. &amp; Vehtari, A. Comparison of Bayesian predictive methods for model selection. </w:t>
      </w:r>
      <w:r w:rsidRPr="00AE2A0A">
        <w:rPr>
          <w:rFonts w:ascii="Calibri" w:hAnsi="Calibri" w:cs="Calibri"/>
          <w:i/>
          <w:iCs/>
          <w:kern w:val="0"/>
        </w:rPr>
        <w:t>Stat Comput</w:t>
      </w:r>
      <w:r w:rsidRPr="00AE2A0A">
        <w:rPr>
          <w:rFonts w:ascii="Calibri" w:hAnsi="Calibri" w:cs="Calibri"/>
          <w:kern w:val="0"/>
        </w:rPr>
        <w:t xml:space="preserve"> </w:t>
      </w:r>
      <w:r w:rsidRPr="00AE2A0A">
        <w:rPr>
          <w:rFonts w:ascii="Calibri" w:hAnsi="Calibri" w:cs="Calibri"/>
          <w:b/>
          <w:bCs/>
          <w:kern w:val="0"/>
        </w:rPr>
        <w:t>27</w:t>
      </w:r>
      <w:r w:rsidRPr="00AE2A0A">
        <w:rPr>
          <w:rFonts w:ascii="Calibri" w:hAnsi="Calibri" w:cs="Calibri"/>
          <w:kern w:val="0"/>
        </w:rPr>
        <w:t>, 711–735 (2017).</w:t>
      </w:r>
    </w:p>
    <w:p w14:paraId="64267899"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26.</w:t>
      </w:r>
      <w:r w:rsidRPr="00AE2A0A">
        <w:rPr>
          <w:rFonts w:ascii="Calibri" w:hAnsi="Calibri" w:cs="Calibri"/>
          <w:kern w:val="0"/>
        </w:rPr>
        <w:tab/>
        <w:t xml:space="preserve">McLatchie, Y., Rögnvaldsson, S., Weber, F. &amp; Vehtari, A. Advances in Projection Predictive Inference. </w:t>
      </w:r>
      <w:r w:rsidRPr="00AE2A0A">
        <w:rPr>
          <w:rFonts w:ascii="Calibri" w:hAnsi="Calibri" w:cs="Calibri"/>
          <w:i/>
          <w:iCs/>
          <w:kern w:val="0"/>
        </w:rPr>
        <w:t>Statistical Science</w:t>
      </w:r>
      <w:r w:rsidRPr="00AE2A0A">
        <w:rPr>
          <w:rFonts w:ascii="Calibri" w:hAnsi="Calibri" w:cs="Calibri"/>
          <w:kern w:val="0"/>
        </w:rPr>
        <w:t xml:space="preserve"> </w:t>
      </w:r>
      <w:r w:rsidRPr="00AE2A0A">
        <w:rPr>
          <w:rFonts w:ascii="Calibri" w:hAnsi="Calibri" w:cs="Calibri"/>
          <w:b/>
          <w:bCs/>
          <w:kern w:val="0"/>
        </w:rPr>
        <w:t>40</w:t>
      </w:r>
      <w:r w:rsidRPr="00AE2A0A">
        <w:rPr>
          <w:rFonts w:ascii="Calibri" w:hAnsi="Calibri" w:cs="Calibri"/>
          <w:kern w:val="0"/>
        </w:rPr>
        <w:t>, 128–147 (2025).</w:t>
      </w:r>
    </w:p>
    <w:p w14:paraId="32ED75AD"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27.</w:t>
      </w:r>
      <w:r w:rsidRPr="00AE2A0A">
        <w:rPr>
          <w:rFonts w:ascii="Calibri" w:hAnsi="Calibri" w:cs="Calibri"/>
          <w:kern w:val="0"/>
        </w:rPr>
        <w:tab/>
        <w:t xml:space="preserve">Piironen, J. </w:t>
      </w:r>
      <w:r w:rsidRPr="00AE2A0A">
        <w:rPr>
          <w:rFonts w:ascii="Calibri" w:hAnsi="Calibri" w:cs="Calibri"/>
          <w:i/>
          <w:iCs/>
          <w:kern w:val="0"/>
        </w:rPr>
        <w:t>et al.</w:t>
      </w:r>
      <w:r w:rsidRPr="00AE2A0A">
        <w:rPr>
          <w:rFonts w:ascii="Calibri" w:hAnsi="Calibri" w:cs="Calibri"/>
          <w:kern w:val="0"/>
        </w:rPr>
        <w:t xml:space="preserve"> projpred: Projection Predictive Feature Selection. (2025).</w:t>
      </w:r>
    </w:p>
    <w:p w14:paraId="5AC83D7F"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28.</w:t>
      </w:r>
      <w:r w:rsidRPr="00AE2A0A">
        <w:rPr>
          <w:rFonts w:ascii="Calibri" w:hAnsi="Calibri" w:cs="Calibri"/>
          <w:kern w:val="0"/>
        </w:rPr>
        <w:tab/>
        <w:t xml:space="preserve">Bürkner, P.-C. </w:t>
      </w:r>
      <w:r w:rsidRPr="00AE2A0A">
        <w:rPr>
          <w:rFonts w:ascii="Calibri" w:hAnsi="Calibri" w:cs="Calibri"/>
          <w:i/>
          <w:iCs/>
          <w:kern w:val="0"/>
        </w:rPr>
        <w:t>et al.</w:t>
      </w:r>
      <w:r w:rsidRPr="00AE2A0A">
        <w:rPr>
          <w:rFonts w:ascii="Calibri" w:hAnsi="Calibri" w:cs="Calibri"/>
          <w:kern w:val="0"/>
        </w:rPr>
        <w:t xml:space="preserve"> brms: Bayesian Regression Models using ‘Stan’. (2025).</w:t>
      </w:r>
    </w:p>
    <w:p w14:paraId="4EEC0E32"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lastRenderedPageBreak/>
        <w:t>29.</w:t>
      </w:r>
      <w:r w:rsidRPr="00AE2A0A">
        <w:rPr>
          <w:rFonts w:ascii="Calibri" w:hAnsi="Calibri" w:cs="Calibri"/>
          <w:kern w:val="0"/>
        </w:rPr>
        <w:tab/>
        <w:t xml:space="preserve">Meyer, H. </w:t>
      </w:r>
      <w:r w:rsidRPr="00AE2A0A">
        <w:rPr>
          <w:rFonts w:ascii="Calibri" w:hAnsi="Calibri" w:cs="Calibri"/>
          <w:i/>
          <w:iCs/>
          <w:kern w:val="0"/>
        </w:rPr>
        <w:t>et al.</w:t>
      </w:r>
      <w:r w:rsidRPr="00AE2A0A">
        <w:rPr>
          <w:rFonts w:ascii="Calibri" w:hAnsi="Calibri" w:cs="Calibri"/>
          <w:kern w:val="0"/>
        </w:rPr>
        <w:t xml:space="preserve"> CAST: ‘caret’ Applications for Spatial-Temporal Models. (2026).</w:t>
      </w:r>
    </w:p>
    <w:p w14:paraId="50E984EE"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30.</w:t>
      </w:r>
      <w:r w:rsidRPr="00AE2A0A">
        <w:rPr>
          <w:rFonts w:ascii="Calibri" w:hAnsi="Calibri" w:cs="Calibri"/>
          <w:kern w:val="0"/>
        </w:rPr>
        <w:tab/>
        <w:t xml:space="preserve">Dinerstein, E. </w:t>
      </w:r>
      <w:r w:rsidRPr="00AE2A0A">
        <w:rPr>
          <w:rFonts w:ascii="Calibri" w:hAnsi="Calibri" w:cs="Calibri"/>
          <w:i/>
          <w:iCs/>
          <w:kern w:val="0"/>
        </w:rPr>
        <w:t>et al.</w:t>
      </w:r>
      <w:r w:rsidRPr="00AE2A0A">
        <w:rPr>
          <w:rFonts w:ascii="Calibri" w:hAnsi="Calibri" w:cs="Calibri"/>
          <w:kern w:val="0"/>
        </w:rPr>
        <w:t xml:space="preserve"> An Ecoregion-Based Approach to Protecting Half the Terrestrial Realm. </w:t>
      </w:r>
      <w:r w:rsidRPr="00AE2A0A">
        <w:rPr>
          <w:rFonts w:ascii="Calibri" w:hAnsi="Calibri" w:cs="Calibri"/>
          <w:i/>
          <w:iCs/>
          <w:kern w:val="0"/>
        </w:rPr>
        <w:t>BioScience</w:t>
      </w:r>
      <w:r w:rsidRPr="00AE2A0A">
        <w:rPr>
          <w:rFonts w:ascii="Calibri" w:hAnsi="Calibri" w:cs="Calibri"/>
          <w:kern w:val="0"/>
        </w:rPr>
        <w:t xml:space="preserve"> </w:t>
      </w:r>
      <w:r w:rsidRPr="00AE2A0A">
        <w:rPr>
          <w:rFonts w:ascii="Calibri" w:hAnsi="Calibri" w:cs="Calibri"/>
          <w:b/>
          <w:bCs/>
          <w:kern w:val="0"/>
        </w:rPr>
        <w:t>67</w:t>
      </w:r>
      <w:r w:rsidRPr="00AE2A0A">
        <w:rPr>
          <w:rFonts w:ascii="Calibri" w:hAnsi="Calibri" w:cs="Calibri"/>
          <w:kern w:val="0"/>
        </w:rPr>
        <w:t>, 534–545 (2017).</w:t>
      </w:r>
    </w:p>
    <w:p w14:paraId="299D8677"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31.</w:t>
      </w:r>
      <w:r w:rsidRPr="00AE2A0A">
        <w:rPr>
          <w:rFonts w:ascii="Calibri" w:hAnsi="Calibri" w:cs="Calibri"/>
          <w:kern w:val="0"/>
        </w:rPr>
        <w:tab/>
        <w:t xml:space="preserve">Gelman, A., Goodrich ,Ben, Gabry ,Jonah &amp; and Vehtari, A. R-squared for Bayesian Regression Models. </w:t>
      </w:r>
      <w:r w:rsidRPr="00AE2A0A">
        <w:rPr>
          <w:rFonts w:ascii="Calibri" w:hAnsi="Calibri" w:cs="Calibri"/>
          <w:i/>
          <w:iCs/>
          <w:kern w:val="0"/>
        </w:rPr>
        <w:t>The American Statistician</w:t>
      </w:r>
      <w:r w:rsidRPr="00AE2A0A">
        <w:rPr>
          <w:rFonts w:ascii="Calibri" w:hAnsi="Calibri" w:cs="Calibri"/>
          <w:kern w:val="0"/>
        </w:rPr>
        <w:t xml:space="preserve"> </w:t>
      </w:r>
      <w:r w:rsidRPr="00AE2A0A">
        <w:rPr>
          <w:rFonts w:ascii="Calibri" w:hAnsi="Calibri" w:cs="Calibri"/>
          <w:b/>
          <w:bCs/>
          <w:kern w:val="0"/>
        </w:rPr>
        <w:t>73</w:t>
      </w:r>
      <w:r w:rsidRPr="00AE2A0A">
        <w:rPr>
          <w:rFonts w:ascii="Calibri" w:hAnsi="Calibri" w:cs="Calibri"/>
          <w:kern w:val="0"/>
        </w:rPr>
        <w:t>, 307–309 (2019).</w:t>
      </w:r>
    </w:p>
    <w:p w14:paraId="1B3C3B34" w14:textId="77777777" w:rsidR="00AE2A0A" w:rsidRPr="00AE2A0A" w:rsidRDefault="00AE2A0A" w:rsidP="00AE2A0A">
      <w:pPr>
        <w:pStyle w:val="Bibliography"/>
        <w:rPr>
          <w:rFonts w:ascii="Calibri" w:hAnsi="Calibri" w:cs="Calibri"/>
          <w:kern w:val="0"/>
        </w:rPr>
      </w:pPr>
      <w:r w:rsidRPr="00AE2A0A">
        <w:rPr>
          <w:rFonts w:ascii="Calibri" w:hAnsi="Calibri" w:cs="Calibri"/>
          <w:kern w:val="0"/>
        </w:rPr>
        <w:t>32.</w:t>
      </w:r>
      <w:r w:rsidRPr="00AE2A0A">
        <w:rPr>
          <w:rFonts w:ascii="Calibri" w:hAnsi="Calibri" w:cs="Calibri"/>
          <w:kern w:val="0"/>
        </w:rPr>
        <w:tab/>
        <w:t>R Core Team. The R Stats Package. (2025).</w:t>
      </w:r>
    </w:p>
    <w:p w14:paraId="3A0241F5" w14:textId="42298160" w:rsidR="00E67AC1" w:rsidRPr="00A155E2" w:rsidRDefault="004F7526" w:rsidP="00A155E2">
      <w:pPr>
        <w:rPr>
          <w:lang w:val="en-US"/>
        </w:rPr>
      </w:pPr>
      <w:r>
        <w:rPr>
          <w:lang w:val="en-US"/>
        </w:rPr>
        <w:fldChar w:fldCharType="end"/>
      </w:r>
    </w:p>
    <w:sectPr w:rsidR="00E67AC1" w:rsidRPr="00A155E2" w:rsidSect="00EC7264">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96FD4" w14:textId="77777777" w:rsidR="00A93115" w:rsidRDefault="00A93115" w:rsidP="003E62FB">
      <w:pPr>
        <w:spacing w:after="0" w:line="240" w:lineRule="auto"/>
      </w:pPr>
      <w:r>
        <w:separator/>
      </w:r>
    </w:p>
  </w:endnote>
  <w:endnote w:type="continuationSeparator" w:id="0">
    <w:p w14:paraId="0860070E" w14:textId="77777777" w:rsidR="00A93115" w:rsidRDefault="00A93115" w:rsidP="003E6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0592016"/>
      <w:docPartObj>
        <w:docPartGallery w:val="Page Numbers (Bottom of Page)"/>
        <w:docPartUnique/>
      </w:docPartObj>
    </w:sdtPr>
    <w:sdtEndPr>
      <w:rPr>
        <w:noProof/>
      </w:rPr>
    </w:sdtEndPr>
    <w:sdtContent>
      <w:p w14:paraId="75A92F2B" w14:textId="4BACCEA0" w:rsidR="003E62FB" w:rsidRDefault="003E62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4EBD94" w14:textId="77777777" w:rsidR="003E62FB" w:rsidRDefault="003E62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A65CD" w14:textId="77777777" w:rsidR="00A93115" w:rsidRDefault="00A93115" w:rsidP="003E62FB">
      <w:pPr>
        <w:spacing w:after="0" w:line="240" w:lineRule="auto"/>
      </w:pPr>
      <w:r>
        <w:separator/>
      </w:r>
    </w:p>
  </w:footnote>
  <w:footnote w:type="continuationSeparator" w:id="0">
    <w:p w14:paraId="7F414AEC" w14:textId="77777777" w:rsidR="00A93115" w:rsidRDefault="00A93115" w:rsidP="003E62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0207"/>
    <w:multiLevelType w:val="hybridMultilevel"/>
    <w:tmpl w:val="CE6483DE"/>
    <w:lvl w:ilvl="0" w:tplc="A328C292">
      <w:numFmt w:val="bullet"/>
      <w:lvlText w:val="-"/>
      <w:lvlJc w:val="left"/>
      <w:pPr>
        <w:ind w:left="360" w:hanging="360"/>
      </w:pPr>
      <w:rPr>
        <w:rFonts w:ascii="Calibri" w:eastAsiaTheme="minorHAnsi" w:hAnsi="Calibri" w:cs="Calibri"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18F36877"/>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2441708"/>
    <w:multiLevelType w:val="multilevel"/>
    <w:tmpl w:val="A6F8F718"/>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70124175"/>
    <w:multiLevelType w:val="hybridMultilevel"/>
    <w:tmpl w:val="2F22B6B4"/>
    <w:lvl w:ilvl="0" w:tplc="A53EB79A">
      <w:numFmt w:val="bullet"/>
      <w:lvlText w:val=""/>
      <w:lvlJc w:val="left"/>
      <w:pPr>
        <w:ind w:left="720" w:hanging="360"/>
      </w:pPr>
      <w:rPr>
        <w:rFonts w:ascii="Wingdings" w:eastAsiaTheme="minorHAnsi" w:hAnsi="Wingding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506481880">
    <w:abstractNumId w:val="2"/>
  </w:num>
  <w:num w:numId="2" w16cid:durableId="1881477554">
    <w:abstractNumId w:val="1"/>
  </w:num>
  <w:num w:numId="3" w16cid:durableId="1785344">
    <w:abstractNumId w:val="0"/>
  </w:num>
  <w:num w:numId="4" w16cid:durableId="18335231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K3MDIzMTc1NbQwNTFQ0lEKTi0uzszPAykwNKwFAGcpGRwtAAAA"/>
  </w:docVars>
  <w:rsids>
    <w:rsidRoot w:val="0064476E"/>
    <w:rsid w:val="00000E3D"/>
    <w:rsid w:val="0000610E"/>
    <w:rsid w:val="0001396B"/>
    <w:rsid w:val="00027070"/>
    <w:rsid w:val="00030F90"/>
    <w:rsid w:val="00032658"/>
    <w:rsid w:val="0003397C"/>
    <w:rsid w:val="00034FA5"/>
    <w:rsid w:val="00037966"/>
    <w:rsid w:val="000412FD"/>
    <w:rsid w:val="00042295"/>
    <w:rsid w:val="000423AF"/>
    <w:rsid w:val="000476C4"/>
    <w:rsid w:val="00053567"/>
    <w:rsid w:val="00056077"/>
    <w:rsid w:val="00063AB4"/>
    <w:rsid w:val="000650F1"/>
    <w:rsid w:val="00065CC1"/>
    <w:rsid w:val="00067B83"/>
    <w:rsid w:val="00074B90"/>
    <w:rsid w:val="0008110F"/>
    <w:rsid w:val="0008430F"/>
    <w:rsid w:val="00085FD5"/>
    <w:rsid w:val="000928BB"/>
    <w:rsid w:val="00093099"/>
    <w:rsid w:val="00094022"/>
    <w:rsid w:val="000960C7"/>
    <w:rsid w:val="000A0788"/>
    <w:rsid w:val="000A7022"/>
    <w:rsid w:val="000B1312"/>
    <w:rsid w:val="000B4EEA"/>
    <w:rsid w:val="000C0346"/>
    <w:rsid w:val="000C1E0E"/>
    <w:rsid w:val="000C53B0"/>
    <w:rsid w:val="000E0F6D"/>
    <w:rsid w:val="000E2FE7"/>
    <w:rsid w:val="000E4BDD"/>
    <w:rsid w:val="000E6132"/>
    <w:rsid w:val="000F0221"/>
    <w:rsid w:val="000F0E26"/>
    <w:rsid w:val="000F5BFE"/>
    <w:rsid w:val="00101D85"/>
    <w:rsid w:val="00102DE7"/>
    <w:rsid w:val="001232D8"/>
    <w:rsid w:val="00124938"/>
    <w:rsid w:val="00127AEF"/>
    <w:rsid w:val="00131105"/>
    <w:rsid w:val="001320FA"/>
    <w:rsid w:val="001330DA"/>
    <w:rsid w:val="00134083"/>
    <w:rsid w:val="00141521"/>
    <w:rsid w:val="00142935"/>
    <w:rsid w:val="001453A4"/>
    <w:rsid w:val="001459AA"/>
    <w:rsid w:val="0014600C"/>
    <w:rsid w:val="001609F9"/>
    <w:rsid w:val="0017208E"/>
    <w:rsid w:val="00172D0E"/>
    <w:rsid w:val="00173F48"/>
    <w:rsid w:val="001745F9"/>
    <w:rsid w:val="00174A90"/>
    <w:rsid w:val="001778D7"/>
    <w:rsid w:val="00180C39"/>
    <w:rsid w:val="00181A8A"/>
    <w:rsid w:val="001845BD"/>
    <w:rsid w:val="00186CF0"/>
    <w:rsid w:val="00191364"/>
    <w:rsid w:val="00192E6A"/>
    <w:rsid w:val="0019668B"/>
    <w:rsid w:val="001A1299"/>
    <w:rsid w:val="001A4C9A"/>
    <w:rsid w:val="001A79D5"/>
    <w:rsid w:val="001B051F"/>
    <w:rsid w:val="001B0C3B"/>
    <w:rsid w:val="001B2914"/>
    <w:rsid w:val="001B390C"/>
    <w:rsid w:val="001B39A2"/>
    <w:rsid w:val="001B3BAF"/>
    <w:rsid w:val="001B48F4"/>
    <w:rsid w:val="001B6E2A"/>
    <w:rsid w:val="001B6E91"/>
    <w:rsid w:val="001C0AA5"/>
    <w:rsid w:val="001C0F5A"/>
    <w:rsid w:val="001D278C"/>
    <w:rsid w:val="001D5198"/>
    <w:rsid w:val="001E19CE"/>
    <w:rsid w:val="001E2757"/>
    <w:rsid w:val="001E2FD0"/>
    <w:rsid w:val="001F20D0"/>
    <w:rsid w:val="001F4645"/>
    <w:rsid w:val="001F47B3"/>
    <w:rsid w:val="001F79B9"/>
    <w:rsid w:val="00200744"/>
    <w:rsid w:val="00201776"/>
    <w:rsid w:val="002019FE"/>
    <w:rsid w:val="00206D36"/>
    <w:rsid w:val="002077FC"/>
    <w:rsid w:val="00211102"/>
    <w:rsid w:val="00213473"/>
    <w:rsid w:val="00213AFA"/>
    <w:rsid w:val="002162D6"/>
    <w:rsid w:val="00220548"/>
    <w:rsid w:val="00224F79"/>
    <w:rsid w:val="00224FB5"/>
    <w:rsid w:val="0022698B"/>
    <w:rsid w:val="0023378D"/>
    <w:rsid w:val="002341E2"/>
    <w:rsid w:val="00236932"/>
    <w:rsid w:val="00244D84"/>
    <w:rsid w:val="00245DA4"/>
    <w:rsid w:val="0025550C"/>
    <w:rsid w:val="002602C2"/>
    <w:rsid w:val="00265877"/>
    <w:rsid w:val="002719BE"/>
    <w:rsid w:val="002742C6"/>
    <w:rsid w:val="002776ED"/>
    <w:rsid w:val="0027788D"/>
    <w:rsid w:val="00277F65"/>
    <w:rsid w:val="00280782"/>
    <w:rsid w:val="00283E94"/>
    <w:rsid w:val="00284A84"/>
    <w:rsid w:val="00284B86"/>
    <w:rsid w:val="00292373"/>
    <w:rsid w:val="00293EE0"/>
    <w:rsid w:val="00297C9E"/>
    <w:rsid w:val="002A0C7E"/>
    <w:rsid w:val="002A4973"/>
    <w:rsid w:val="002B39AF"/>
    <w:rsid w:val="002B5974"/>
    <w:rsid w:val="002B5F58"/>
    <w:rsid w:val="002C3916"/>
    <w:rsid w:val="002C553E"/>
    <w:rsid w:val="002D5A5D"/>
    <w:rsid w:val="002D7B11"/>
    <w:rsid w:val="002E145A"/>
    <w:rsid w:val="002E2C99"/>
    <w:rsid w:val="002E305C"/>
    <w:rsid w:val="002E395A"/>
    <w:rsid w:val="002E463A"/>
    <w:rsid w:val="002E4BF7"/>
    <w:rsid w:val="002F054E"/>
    <w:rsid w:val="002F0EBC"/>
    <w:rsid w:val="002F44E6"/>
    <w:rsid w:val="002F4F18"/>
    <w:rsid w:val="002F7554"/>
    <w:rsid w:val="002F7DA2"/>
    <w:rsid w:val="003018A8"/>
    <w:rsid w:val="00305928"/>
    <w:rsid w:val="003101C5"/>
    <w:rsid w:val="0031032C"/>
    <w:rsid w:val="00310577"/>
    <w:rsid w:val="00316108"/>
    <w:rsid w:val="0032134B"/>
    <w:rsid w:val="00321C57"/>
    <w:rsid w:val="003239D5"/>
    <w:rsid w:val="00333365"/>
    <w:rsid w:val="00336ACB"/>
    <w:rsid w:val="00341207"/>
    <w:rsid w:val="003412B9"/>
    <w:rsid w:val="0034171F"/>
    <w:rsid w:val="00341B18"/>
    <w:rsid w:val="00342770"/>
    <w:rsid w:val="0035069B"/>
    <w:rsid w:val="003524FF"/>
    <w:rsid w:val="003526EA"/>
    <w:rsid w:val="00353B9B"/>
    <w:rsid w:val="0036202B"/>
    <w:rsid w:val="0036350D"/>
    <w:rsid w:val="00370865"/>
    <w:rsid w:val="00371B2E"/>
    <w:rsid w:val="00371FB5"/>
    <w:rsid w:val="00372B04"/>
    <w:rsid w:val="00373870"/>
    <w:rsid w:val="003741A5"/>
    <w:rsid w:val="00377E1B"/>
    <w:rsid w:val="003808F6"/>
    <w:rsid w:val="00381376"/>
    <w:rsid w:val="003815A4"/>
    <w:rsid w:val="00381E1A"/>
    <w:rsid w:val="003831FD"/>
    <w:rsid w:val="003A501E"/>
    <w:rsid w:val="003A6785"/>
    <w:rsid w:val="003D1336"/>
    <w:rsid w:val="003D35F0"/>
    <w:rsid w:val="003D436C"/>
    <w:rsid w:val="003D533C"/>
    <w:rsid w:val="003E5A6B"/>
    <w:rsid w:val="003E6186"/>
    <w:rsid w:val="003E62FB"/>
    <w:rsid w:val="003F085E"/>
    <w:rsid w:val="003F4F04"/>
    <w:rsid w:val="003F58E1"/>
    <w:rsid w:val="003F68C0"/>
    <w:rsid w:val="003F7803"/>
    <w:rsid w:val="00416908"/>
    <w:rsid w:val="0042383D"/>
    <w:rsid w:val="004260E1"/>
    <w:rsid w:val="004315C1"/>
    <w:rsid w:val="0043386E"/>
    <w:rsid w:val="00434DD5"/>
    <w:rsid w:val="0043508C"/>
    <w:rsid w:val="0044112A"/>
    <w:rsid w:val="00443954"/>
    <w:rsid w:val="00443AD5"/>
    <w:rsid w:val="0045060A"/>
    <w:rsid w:val="00451F73"/>
    <w:rsid w:val="00467A0E"/>
    <w:rsid w:val="00470D57"/>
    <w:rsid w:val="00477998"/>
    <w:rsid w:val="0048034C"/>
    <w:rsid w:val="004811DE"/>
    <w:rsid w:val="004857FB"/>
    <w:rsid w:val="00485EBC"/>
    <w:rsid w:val="00486EB7"/>
    <w:rsid w:val="00490F36"/>
    <w:rsid w:val="00493C5E"/>
    <w:rsid w:val="00494CB2"/>
    <w:rsid w:val="004A670A"/>
    <w:rsid w:val="004A7BFB"/>
    <w:rsid w:val="004B0680"/>
    <w:rsid w:val="004B1FD5"/>
    <w:rsid w:val="004B303F"/>
    <w:rsid w:val="004B35BC"/>
    <w:rsid w:val="004B4CF1"/>
    <w:rsid w:val="004B62D4"/>
    <w:rsid w:val="004C0734"/>
    <w:rsid w:val="004C157B"/>
    <w:rsid w:val="004C183B"/>
    <w:rsid w:val="004C24DD"/>
    <w:rsid w:val="004C662D"/>
    <w:rsid w:val="004C72AF"/>
    <w:rsid w:val="004D0B40"/>
    <w:rsid w:val="004D3984"/>
    <w:rsid w:val="004D4AB2"/>
    <w:rsid w:val="004D4D42"/>
    <w:rsid w:val="004D512C"/>
    <w:rsid w:val="004D571C"/>
    <w:rsid w:val="004E1BCC"/>
    <w:rsid w:val="004E2235"/>
    <w:rsid w:val="004E3574"/>
    <w:rsid w:val="004F08CF"/>
    <w:rsid w:val="004F37D4"/>
    <w:rsid w:val="004F3BA9"/>
    <w:rsid w:val="004F3CB3"/>
    <w:rsid w:val="004F68E0"/>
    <w:rsid w:val="004F7526"/>
    <w:rsid w:val="00502AEE"/>
    <w:rsid w:val="0050447B"/>
    <w:rsid w:val="0050752C"/>
    <w:rsid w:val="00510712"/>
    <w:rsid w:val="00511B2D"/>
    <w:rsid w:val="0051373E"/>
    <w:rsid w:val="00513EF2"/>
    <w:rsid w:val="005201C3"/>
    <w:rsid w:val="00522DAD"/>
    <w:rsid w:val="00524F92"/>
    <w:rsid w:val="00527102"/>
    <w:rsid w:val="00527223"/>
    <w:rsid w:val="00531E25"/>
    <w:rsid w:val="00532079"/>
    <w:rsid w:val="00533D56"/>
    <w:rsid w:val="00536199"/>
    <w:rsid w:val="005368C7"/>
    <w:rsid w:val="005377B7"/>
    <w:rsid w:val="005405A4"/>
    <w:rsid w:val="00543D60"/>
    <w:rsid w:val="0055441B"/>
    <w:rsid w:val="00564435"/>
    <w:rsid w:val="00564BB7"/>
    <w:rsid w:val="00566ECC"/>
    <w:rsid w:val="00571314"/>
    <w:rsid w:val="00571EDB"/>
    <w:rsid w:val="005721AE"/>
    <w:rsid w:val="00572F77"/>
    <w:rsid w:val="005740C2"/>
    <w:rsid w:val="00574CA5"/>
    <w:rsid w:val="00580251"/>
    <w:rsid w:val="005813A8"/>
    <w:rsid w:val="00583F75"/>
    <w:rsid w:val="00590152"/>
    <w:rsid w:val="00591466"/>
    <w:rsid w:val="005A35A4"/>
    <w:rsid w:val="005A3603"/>
    <w:rsid w:val="005A63B4"/>
    <w:rsid w:val="005A708A"/>
    <w:rsid w:val="005B2868"/>
    <w:rsid w:val="005B3C31"/>
    <w:rsid w:val="005B52EA"/>
    <w:rsid w:val="005B7C7C"/>
    <w:rsid w:val="005C2A8B"/>
    <w:rsid w:val="005C5C4E"/>
    <w:rsid w:val="005C6040"/>
    <w:rsid w:val="005D3703"/>
    <w:rsid w:val="005D41FC"/>
    <w:rsid w:val="005E3CEF"/>
    <w:rsid w:val="005F0191"/>
    <w:rsid w:val="005F2B53"/>
    <w:rsid w:val="005F3063"/>
    <w:rsid w:val="005F4242"/>
    <w:rsid w:val="005F6998"/>
    <w:rsid w:val="005F6CE8"/>
    <w:rsid w:val="00601B55"/>
    <w:rsid w:val="006027CA"/>
    <w:rsid w:val="006040D1"/>
    <w:rsid w:val="006113FD"/>
    <w:rsid w:val="00615DCF"/>
    <w:rsid w:val="00620195"/>
    <w:rsid w:val="00622816"/>
    <w:rsid w:val="00624AC1"/>
    <w:rsid w:val="00625A6B"/>
    <w:rsid w:val="00632057"/>
    <w:rsid w:val="00633C79"/>
    <w:rsid w:val="006340AC"/>
    <w:rsid w:val="0064476E"/>
    <w:rsid w:val="00650AF9"/>
    <w:rsid w:val="00654494"/>
    <w:rsid w:val="00655F22"/>
    <w:rsid w:val="00656FF9"/>
    <w:rsid w:val="0066086F"/>
    <w:rsid w:val="00660D5E"/>
    <w:rsid w:val="00661681"/>
    <w:rsid w:val="006626B9"/>
    <w:rsid w:val="00662CDA"/>
    <w:rsid w:val="006657F4"/>
    <w:rsid w:val="00666187"/>
    <w:rsid w:val="00670317"/>
    <w:rsid w:val="006713BC"/>
    <w:rsid w:val="00680167"/>
    <w:rsid w:val="006819AE"/>
    <w:rsid w:val="00695EA5"/>
    <w:rsid w:val="006A3483"/>
    <w:rsid w:val="006A777F"/>
    <w:rsid w:val="006B2E3B"/>
    <w:rsid w:val="006D2E5B"/>
    <w:rsid w:val="006D2EEB"/>
    <w:rsid w:val="006D49E8"/>
    <w:rsid w:val="006D5938"/>
    <w:rsid w:val="006D79DF"/>
    <w:rsid w:val="006D7AE2"/>
    <w:rsid w:val="006E532E"/>
    <w:rsid w:val="006F1209"/>
    <w:rsid w:val="006F343E"/>
    <w:rsid w:val="006F6595"/>
    <w:rsid w:val="00717037"/>
    <w:rsid w:val="00717396"/>
    <w:rsid w:val="00720004"/>
    <w:rsid w:val="007254A8"/>
    <w:rsid w:val="0072582D"/>
    <w:rsid w:val="00726332"/>
    <w:rsid w:val="0073175F"/>
    <w:rsid w:val="00732F34"/>
    <w:rsid w:val="007341AC"/>
    <w:rsid w:val="00735290"/>
    <w:rsid w:val="00736D5C"/>
    <w:rsid w:val="007373DA"/>
    <w:rsid w:val="007379E7"/>
    <w:rsid w:val="007418C4"/>
    <w:rsid w:val="00750135"/>
    <w:rsid w:val="00750A92"/>
    <w:rsid w:val="00750FB8"/>
    <w:rsid w:val="00753FEF"/>
    <w:rsid w:val="007555ED"/>
    <w:rsid w:val="00756290"/>
    <w:rsid w:val="00760572"/>
    <w:rsid w:val="0076249D"/>
    <w:rsid w:val="00765B9F"/>
    <w:rsid w:val="007737D3"/>
    <w:rsid w:val="007753BD"/>
    <w:rsid w:val="00777DD3"/>
    <w:rsid w:val="00790A4A"/>
    <w:rsid w:val="00791A3E"/>
    <w:rsid w:val="00792A9C"/>
    <w:rsid w:val="0079697C"/>
    <w:rsid w:val="007A04A6"/>
    <w:rsid w:val="007A47F6"/>
    <w:rsid w:val="007A48AB"/>
    <w:rsid w:val="007A5480"/>
    <w:rsid w:val="007B0E48"/>
    <w:rsid w:val="007B2C9A"/>
    <w:rsid w:val="007B3646"/>
    <w:rsid w:val="007B5BA9"/>
    <w:rsid w:val="007C637C"/>
    <w:rsid w:val="007D34EF"/>
    <w:rsid w:val="007E0275"/>
    <w:rsid w:val="007E4C21"/>
    <w:rsid w:val="007E4F7F"/>
    <w:rsid w:val="007E5B84"/>
    <w:rsid w:val="007E6DA7"/>
    <w:rsid w:val="007F6DAE"/>
    <w:rsid w:val="00800159"/>
    <w:rsid w:val="00803EE1"/>
    <w:rsid w:val="0080473E"/>
    <w:rsid w:val="00806EF2"/>
    <w:rsid w:val="00820D0D"/>
    <w:rsid w:val="00821FA2"/>
    <w:rsid w:val="00822B79"/>
    <w:rsid w:val="0082402B"/>
    <w:rsid w:val="008246B8"/>
    <w:rsid w:val="00824804"/>
    <w:rsid w:val="008250B2"/>
    <w:rsid w:val="00830C9B"/>
    <w:rsid w:val="0084334E"/>
    <w:rsid w:val="00843D18"/>
    <w:rsid w:val="00850DA0"/>
    <w:rsid w:val="00860F8F"/>
    <w:rsid w:val="00866170"/>
    <w:rsid w:val="008670E4"/>
    <w:rsid w:val="0086772F"/>
    <w:rsid w:val="00872A39"/>
    <w:rsid w:val="00873826"/>
    <w:rsid w:val="00874703"/>
    <w:rsid w:val="0087664E"/>
    <w:rsid w:val="00877464"/>
    <w:rsid w:val="00883B95"/>
    <w:rsid w:val="00883F1C"/>
    <w:rsid w:val="00885142"/>
    <w:rsid w:val="00897954"/>
    <w:rsid w:val="00897EC6"/>
    <w:rsid w:val="008A7A1E"/>
    <w:rsid w:val="008A7A89"/>
    <w:rsid w:val="008B6EF5"/>
    <w:rsid w:val="008B7749"/>
    <w:rsid w:val="008C2A68"/>
    <w:rsid w:val="008C4930"/>
    <w:rsid w:val="008C49D2"/>
    <w:rsid w:val="008C4AD3"/>
    <w:rsid w:val="008D0021"/>
    <w:rsid w:val="008D0231"/>
    <w:rsid w:val="008D37CE"/>
    <w:rsid w:val="008D3938"/>
    <w:rsid w:val="008D5439"/>
    <w:rsid w:val="008E1931"/>
    <w:rsid w:val="008E399F"/>
    <w:rsid w:val="008F14E9"/>
    <w:rsid w:val="008F1AE8"/>
    <w:rsid w:val="008F2813"/>
    <w:rsid w:val="008F432C"/>
    <w:rsid w:val="008F5F4B"/>
    <w:rsid w:val="008F6216"/>
    <w:rsid w:val="008F656F"/>
    <w:rsid w:val="008F72E4"/>
    <w:rsid w:val="008F7D57"/>
    <w:rsid w:val="0090231C"/>
    <w:rsid w:val="00902794"/>
    <w:rsid w:val="00903195"/>
    <w:rsid w:val="009038FB"/>
    <w:rsid w:val="00904CE5"/>
    <w:rsid w:val="009064F8"/>
    <w:rsid w:val="00911E97"/>
    <w:rsid w:val="00913824"/>
    <w:rsid w:val="00914DBB"/>
    <w:rsid w:val="009150BA"/>
    <w:rsid w:val="0091715F"/>
    <w:rsid w:val="00920E7D"/>
    <w:rsid w:val="009210DC"/>
    <w:rsid w:val="009263D6"/>
    <w:rsid w:val="00926DAD"/>
    <w:rsid w:val="00926F44"/>
    <w:rsid w:val="0093015E"/>
    <w:rsid w:val="009313E9"/>
    <w:rsid w:val="00952DF9"/>
    <w:rsid w:val="00954052"/>
    <w:rsid w:val="00955648"/>
    <w:rsid w:val="00956E73"/>
    <w:rsid w:val="00956F69"/>
    <w:rsid w:val="00957700"/>
    <w:rsid w:val="0095795A"/>
    <w:rsid w:val="00963E58"/>
    <w:rsid w:val="00966906"/>
    <w:rsid w:val="00975088"/>
    <w:rsid w:val="00976D1F"/>
    <w:rsid w:val="00987204"/>
    <w:rsid w:val="009905B9"/>
    <w:rsid w:val="00990F9F"/>
    <w:rsid w:val="00994B85"/>
    <w:rsid w:val="009B0D78"/>
    <w:rsid w:val="009B1B20"/>
    <w:rsid w:val="009B392B"/>
    <w:rsid w:val="009B429E"/>
    <w:rsid w:val="009B56D4"/>
    <w:rsid w:val="009B5C1B"/>
    <w:rsid w:val="009B60E1"/>
    <w:rsid w:val="009B67A3"/>
    <w:rsid w:val="009B6BD8"/>
    <w:rsid w:val="009B6F3C"/>
    <w:rsid w:val="009C06E5"/>
    <w:rsid w:val="009C4413"/>
    <w:rsid w:val="009C50D9"/>
    <w:rsid w:val="009E2D98"/>
    <w:rsid w:val="009F04CB"/>
    <w:rsid w:val="009F2BFA"/>
    <w:rsid w:val="00A03209"/>
    <w:rsid w:val="00A0460A"/>
    <w:rsid w:val="00A10597"/>
    <w:rsid w:val="00A1293E"/>
    <w:rsid w:val="00A13C00"/>
    <w:rsid w:val="00A13C1C"/>
    <w:rsid w:val="00A155E2"/>
    <w:rsid w:val="00A176D5"/>
    <w:rsid w:val="00A2391A"/>
    <w:rsid w:val="00A273FC"/>
    <w:rsid w:val="00A33F50"/>
    <w:rsid w:val="00A35386"/>
    <w:rsid w:val="00A42A5F"/>
    <w:rsid w:val="00A50CF4"/>
    <w:rsid w:val="00A532E2"/>
    <w:rsid w:val="00A574A6"/>
    <w:rsid w:val="00A62C34"/>
    <w:rsid w:val="00A66E34"/>
    <w:rsid w:val="00A8014D"/>
    <w:rsid w:val="00A81F53"/>
    <w:rsid w:val="00A84367"/>
    <w:rsid w:val="00A849CF"/>
    <w:rsid w:val="00A864F0"/>
    <w:rsid w:val="00A87281"/>
    <w:rsid w:val="00A92652"/>
    <w:rsid w:val="00A93115"/>
    <w:rsid w:val="00A947A5"/>
    <w:rsid w:val="00AA3915"/>
    <w:rsid w:val="00AA3D6B"/>
    <w:rsid w:val="00AA6950"/>
    <w:rsid w:val="00AA7265"/>
    <w:rsid w:val="00AB158B"/>
    <w:rsid w:val="00AC0BE3"/>
    <w:rsid w:val="00AC37A4"/>
    <w:rsid w:val="00AC4442"/>
    <w:rsid w:val="00AC4F1B"/>
    <w:rsid w:val="00AD17DC"/>
    <w:rsid w:val="00AD5370"/>
    <w:rsid w:val="00AD6CED"/>
    <w:rsid w:val="00AE1207"/>
    <w:rsid w:val="00AE21F2"/>
    <w:rsid w:val="00AE2377"/>
    <w:rsid w:val="00AE2A0A"/>
    <w:rsid w:val="00AE4D4F"/>
    <w:rsid w:val="00AE5969"/>
    <w:rsid w:val="00AF0EFB"/>
    <w:rsid w:val="00AF15CA"/>
    <w:rsid w:val="00AF2A45"/>
    <w:rsid w:val="00B01F33"/>
    <w:rsid w:val="00B02DD0"/>
    <w:rsid w:val="00B03B13"/>
    <w:rsid w:val="00B06DC8"/>
    <w:rsid w:val="00B07A00"/>
    <w:rsid w:val="00B11672"/>
    <w:rsid w:val="00B13509"/>
    <w:rsid w:val="00B15338"/>
    <w:rsid w:val="00B16540"/>
    <w:rsid w:val="00B16E7C"/>
    <w:rsid w:val="00B172A6"/>
    <w:rsid w:val="00B22351"/>
    <w:rsid w:val="00B229C2"/>
    <w:rsid w:val="00B25364"/>
    <w:rsid w:val="00B26940"/>
    <w:rsid w:val="00B27FF8"/>
    <w:rsid w:val="00B30CBF"/>
    <w:rsid w:val="00B3259C"/>
    <w:rsid w:val="00B362ED"/>
    <w:rsid w:val="00B405DE"/>
    <w:rsid w:val="00B406F4"/>
    <w:rsid w:val="00B4772B"/>
    <w:rsid w:val="00B554F2"/>
    <w:rsid w:val="00B60EFC"/>
    <w:rsid w:val="00B61E9F"/>
    <w:rsid w:val="00B6228B"/>
    <w:rsid w:val="00B63EBA"/>
    <w:rsid w:val="00B64C1B"/>
    <w:rsid w:val="00B70CA5"/>
    <w:rsid w:val="00B70CEC"/>
    <w:rsid w:val="00B7405D"/>
    <w:rsid w:val="00B77D95"/>
    <w:rsid w:val="00B82192"/>
    <w:rsid w:val="00B82E50"/>
    <w:rsid w:val="00B91FC4"/>
    <w:rsid w:val="00B92394"/>
    <w:rsid w:val="00B93D4C"/>
    <w:rsid w:val="00B94B16"/>
    <w:rsid w:val="00B96EFB"/>
    <w:rsid w:val="00BA5796"/>
    <w:rsid w:val="00BA6259"/>
    <w:rsid w:val="00BB4AA3"/>
    <w:rsid w:val="00BB5D5C"/>
    <w:rsid w:val="00BC1B8F"/>
    <w:rsid w:val="00BC7F4F"/>
    <w:rsid w:val="00BD1294"/>
    <w:rsid w:val="00BD5CED"/>
    <w:rsid w:val="00BD5D48"/>
    <w:rsid w:val="00BE46C8"/>
    <w:rsid w:val="00BF4122"/>
    <w:rsid w:val="00BF4551"/>
    <w:rsid w:val="00BF4733"/>
    <w:rsid w:val="00BF4F49"/>
    <w:rsid w:val="00C00420"/>
    <w:rsid w:val="00C10323"/>
    <w:rsid w:val="00C16CB9"/>
    <w:rsid w:val="00C17129"/>
    <w:rsid w:val="00C33560"/>
    <w:rsid w:val="00C335FE"/>
    <w:rsid w:val="00C33F8A"/>
    <w:rsid w:val="00C35F9D"/>
    <w:rsid w:val="00C401D7"/>
    <w:rsid w:val="00C40ED1"/>
    <w:rsid w:val="00C4438A"/>
    <w:rsid w:val="00C4734A"/>
    <w:rsid w:val="00C519E9"/>
    <w:rsid w:val="00C52ED3"/>
    <w:rsid w:val="00C5737B"/>
    <w:rsid w:val="00C65F4E"/>
    <w:rsid w:val="00C66320"/>
    <w:rsid w:val="00C71B60"/>
    <w:rsid w:val="00C72AA8"/>
    <w:rsid w:val="00C7499F"/>
    <w:rsid w:val="00C80768"/>
    <w:rsid w:val="00C809C0"/>
    <w:rsid w:val="00C81678"/>
    <w:rsid w:val="00C85EEC"/>
    <w:rsid w:val="00C93469"/>
    <w:rsid w:val="00C936A6"/>
    <w:rsid w:val="00C9436B"/>
    <w:rsid w:val="00C9577F"/>
    <w:rsid w:val="00CA6BD8"/>
    <w:rsid w:val="00CB06C0"/>
    <w:rsid w:val="00CB1F83"/>
    <w:rsid w:val="00CB6407"/>
    <w:rsid w:val="00CC518E"/>
    <w:rsid w:val="00CC5D9D"/>
    <w:rsid w:val="00CC5DC1"/>
    <w:rsid w:val="00CD57AA"/>
    <w:rsid w:val="00CD6880"/>
    <w:rsid w:val="00CD6A5C"/>
    <w:rsid w:val="00CD70B8"/>
    <w:rsid w:val="00CE0D0D"/>
    <w:rsid w:val="00CE1A07"/>
    <w:rsid w:val="00CE39CB"/>
    <w:rsid w:val="00CF7221"/>
    <w:rsid w:val="00CF75E3"/>
    <w:rsid w:val="00CF7A5E"/>
    <w:rsid w:val="00D024F7"/>
    <w:rsid w:val="00D05B09"/>
    <w:rsid w:val="00D110C2"/>
    <w:rsid w:val="00D12B67"/>
    <w:rsid w:val="00D15F23"/>
    <w:rsid w:val="00D16C1B"/>
    <w:rsid w:val="00D1731A"/>
    <w:rsid w:val="00D17D8B"/>
    <w:rsid w:val="00D20F38"/>
    <w:rsid w:val="00D2556F"/>
    <w:rsid w:val="00D25AE2"/>
    <w:rsid w:val="00D32CF1"/>
    <w:rsid w:val="00D333B5"/>
    <w:rsid w:val="00D37853"/>
    <w:rsid w:val="00D4139A"/>
    <w:rsid w:val="00D43C44"/>
    <w:rsid w:val="00D45E17"/>
    <w:rsid w:val="00D50DF4"/>
    <w:rsid w:val="00D53AA3"/>
    <w:rsid w:val="00D53FF9"/>
    <w:rsid w:val="00D55033"/>
    <w:rsid w:val="00D604C9"/>
    <w:rsid w:val="00D63524"/>
    <w:rsid w:val="00D65117"/>
    <w:rsid w:val="00D72516"/>
    <w:rsid w:val="00D72CDD"/>
    <w:rsid w:val="00D75EE2"/>
    <w:rsid w:val="00D8764B"/>
    <w:rsid w:val="00D9125C"/>
    <w:rsid w:val="00D953A8"/>
    <w:rsid w:val="00D97DAC"/>
    <w:rsid w:val="00DA166D"/>
    <w:rsid w:val="00DA2260"/>
    <w:rsid w:val="00DB7BEB"/>
    <w:rsid w:val="00DC1974"/>
    <w:rsid w:val="00DC43AF"/>
    <w:rsid w:val="00DD2894"/>
    <w:rsid w:val="00DD35B8"/>
    <w:rsid w:val="00DE05B2"/>
    <w:rsid w:val="00DE6E2C"/>
    <w:rsid w:val="00DE793F"/>
    <w:rsid w:val="00DF00A6"/>
    <w:rsid w:val="00DF24C0"/>
    <w:rsid w:val="00DF32A0"/>
    <w:rsid w:val="00E0619A"/>
    <w:rsid w:val="00E11DEE"/>
    <w:rsid w:val="00E14ED0"/>
    <w:rsid w:val="00E203C0"/>
    <w:rsid w:val="00E2139A"/>
    <w:rsid w:val="00E22092"/>
    <w:rsid w:val="00E220CE"/>
    <w:rsid w:val="00E26857"/>
    <w:rsid w:val="00E31EB5"/>
    <w:rsid w:val="00E329BD"/>
    <w:rsid w:val="00E351B7"/>
    <w:rsid w:val="00E41391"/>
    <w:rsid w:val="00E43D01"/>
    <w:rsid w:val="00E53A09"/>
    <w:rsid w:val="00E56E31"/>
    <w:rsid w:val="00E5775F"/>
    <w:rsid w:val="00E62458"/>
    <w:rsid w:val="00E62A18"/>
    <w:rsid w:val="00E62E49"/>
    <w:rsid w:val="00E638D3"/>
    <w:rsid w:val="00E675F0"/>
    <w:rsid w:val="00E67AC1"/>
    <w:rsid w:val="00E70698"/>
    <w:rsid w:val="00E745BB"/>
    <w:rsid w:val="00E75C4C"/>
    <w:rsid w:val="00E75DAE"/>
    <w:rsid w:val="00E7670D"/>
    <w:rsid w:val="00E8386F"/>
    <w:rsid w:val="00E84931"/>
    <w:rsid w:val="00E86FE0"/>
    <w:rsid w:val="00E90161"/>
    <w:rsid w:val="00E93142"/>
    <w:rsid w:val="00E946A8"/>
    <w:rsid w:val="00EA141E"/>
    <w:rsid w:val="00EB0BA0"/>
    <w:rsid w:val="00EB54A0"/>
    <w:rsid w:val="00EC4AA2"/>
    <w:rsid w:val="00EC7264"/>
    <w:rsid w:val="00ED054B"/>
    <w:rsid w:val="00ED1BE5"/>
    <w:rsid w:val="00ED77E4"/>
    <w:rsid w:val="00EE0F88"/>
    <w:rsid w:val="00EE1E24"/>
    <w:rsid w:val="00EE2CCC"/>
    <w:rsid w:val="00EE70D3"/>
    <w:rsid w:val="00EE74B6"/>
    <w:rsid w:val="00EF2850"/>
    <w:rsid w:val="00EF3FAE"/>
    <w:rsid w:val="00EF5C7E"/>
    <w:rsid w:val="00F03EDB"/>
    <w:rsid w:val="00F04601"/>
    <w:rsid w:val="00F05786"/>
    <w:rsid w:val="00F05E89"/>
    <w:rsid w:val="00F070D0"/>
    <w:rsid w:val="00F16B26"/>
    <w:rsid w:val="00F2134F"/>
    <w:rsid w:val="00F23393"/>
    <w:rsid w:val="00F23E3B"/>
    <w:rsid w:val="00F262CF"/>
    <w:rsid w:val="00F27D76"/>
    <w:rsid w:val="00F3106A"/>
    <w:rsid w:val="00F32D02"/>
    <w:rsid w:val="00F345BE"/>
    <w:rsid w:val="00F42860"/>
    <w:rsid w:val="00F43C2D"/>
    <w:rsid w:val="00F43CA3"/>
    <w:rsid w:val="00F51670"/>
    <w:rsid w:val="00F61F72"/>
    <w:rsid w:val="00F64C48"/>
    <w:rsid w:val="00F65CAB"/>
    <w:rsid w:val="00F673F3"/>
    <w:rsid w:val="00F7001E"/>
    <w:rsid w:val="00F70D32"/>
    <w:rsid w:val="00F766F7"/>
    <w:rsid w:val="00F81768"/>
    <w:rsid w:val="00F831D1"/>
    <w:rsid w:val="00F83692"/>
    <w:rsid w:val="00F844F7"/>
    <w:rsid w:val="00F85807"/>
    <w:rsid w:val="00F86688"/>
    <w:rsid w:val="00F92DAB"/>
    <w:rsid w:val="00F92F63"/>
    <w:rsid w:val="00F93AC8"/>
    <w:rsid w:val="00F9460E"/>
    <w:rsid w:val="00F950B3"/>
    <w:rsid w:val="00F979F7"/>
    <w:rsid w:val="00FA1C00"/>
    <w:rsid w:val="00FA2448"/>
    <w:rsid w:val="00FA4E82"/>
    <w:rsid w:val="00FB0494"/>
    <w:rsid w:val="00FB1D5C"/>
    <w:rsid w:val="00FB5E10"/>
    <w:rsid w:val="00FC2FEE"/>
    <w:rsid w:val="00FC40F2"/>
    <w:rsid w:val="00FD30E5"/>
    <w:rsid w:val="00FD7D98"/>
    <w:rsid w:val="00FE028F"/>
    <w:rsid w:val="00FE0DA5"/>
    <w:rsid w:val="00FE7CBE"/>
    <w:rsid w:val="00FF049C"/>
    <w:rsid w:val="00FF7081"/>
    <w:rsid w:val="00FF728E"/>
    <w:rsid w:val="0DB8569B"/>
    <w:rsid w:val="16B335A0"/>
    <w:rsid w:val="19A1DC68"/>
    <w:rsid w:val="25B29873"/>
    <w:rsid w:val="2726676D"/>
    <w:rsid w:val="2A35A5AB"/>
    <w:rsid w:val="3250823D"/>
    <w:rsid w:val="36988A4B"/>
    <w:rsid w:val="37B215DE"/>
    <w:rsid w:val="41CBF8B2"/>
    <w:rsid w:val="4512CEAA"/>
    <w:rsid w:val="461F8786"/>
    <w:rsid w:val="4DA77645"/>
    <w:rsid w:val="53888F84"/>
    <w:rsid w:val="5AE8843E"/>
    <w:rsid w:val="5DBD35B2"/>
    <w:rsid w:val="6217140F"/>
    <w:rsid w:val="632A0E8D"/>
    <w:rsid w:val="6457DEA1"/>
    <w:rsid w:val="679DE29B"/>
    <w:rsid w:val="6911BB5E"/>
    <w:rsid w:val="6BBA1A0C"/>
    <w:rsid w:val="6F4C48BD"/>
    <w:rsid w:val="74807528"/>
    <w:rsid w:val="7B39068A"/>
    <w:rsid w:val="7FBDB12C"/>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5E278"/>
  <w15:chartTrackingRefBased/>
  <w15:docId w15:val="{7DF016F7-3425-4DE3-8825-7A18F9F1E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76E"/>
    <w:rPr>
      <w:lang w:val="fr-FR"/>
    </w:rPr>
  </w:style>
  <w:style w:type="paragraph" w:styleId="Heading1">
    <w:name w:val="heading 1"/>
    <w:basedOn w:val="Normal"/>
    <w:next w:val="Normal"/>
    <w:link w:val="Heading1Char"/>
    <w:uiPriority w:val="9"/>
    <w:qFormat/>
    <w:rsid w:val="006447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47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47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47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47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47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47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47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47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76E"/>
    <w:rPr>
      <w:rFonts w:asciiTheme="majorHAnsi" w:eastAsiaTheme="majorEastAsia" w:hAnsiTheme="majorHAnsi" w:cstheme="majorBidi"/>
      <w:color w:val="2F5496" w:themeColor="accent1" w:themeShade="BF"/>
      <w:sz w:val="40"/>
      <w:szCs w:val="40"/>
      <w:lang w:val="fr-FR"/>
    </w:rPr>
  </w:style>
  <w:style w:type="character" w:customStyle="1" w:styleId="Heading2Char">
    <w:name w:val="Heading 2 Char"/>
    <w:basedOn w:val="DefaultParagraphFont"/>
    <w:link w:val="Heading2"/>
    <w:uiPriority w:val="9"/>
    <w:semiHidden/>
    <w:rsid w:val="0064476E"/>
    <w:rPr>
      <w:rFonts w:asciiTheme="majorHAnsi" w:eastAsiaTheme="majorEastAsia" w:hAnsiTheme="majorHAnsi" w:cstheme="majorBidi"/>
      <w:color w:val="2F5496" w:themeColor="accent1" w:themeShade="BF"/>
      <w:sz w:val="32"/>
      <w:szCs w:val="32"/>
      <w:lang w:val="fr-FR"/>
    </w:rPr>
  </w:style>
  <w:style w:type="character" w:customStyle="1" w:styleId="Heading3Char">
    <w:name w:val="Heading 3 Char"/>
    <w:basedOn w:val="DefaultParagraphFont"/>
    <w:link w:val="Heading3"/>
    <w:uiPriority w:val="9"/>
    <w:semiHidden/>
    <w:rsid w:val="0064476E"/>
    <w:rPr>
      <w:rFonts w:eastAsiaTheme="majorEastAsia" w:cstheme="majorBidi"/>
      <w:color w:val="2F5496" w:themeColor="accent1" w:themeShade="BF"/>
      <w:sz w:val="28"/>
      <w:szCs w:val="28"/>
      <w:lang w:val="fr-FR"/>
    </w:rPr>
  </w:style>
  <w:style w:type="character" w:customStyle="1" w:styleId="Heading4Char">
    <w:name w:val="Heading 4 Char"/>
    <w:basedOn w:val="DefaultParagraphFont"/>
    <w:link w:val="Heading4"/>
    <w:uiPriority w:val="9"/>
    <w:semiHidden/>
    <w:rsid w:val="0064476E"/>
    <w:rPr>
      <w:rFonts w:eastAsiaTheme="majorEastAsia" w:cstheme="majorBidi"/>
      <w:i/>
      <w:iCs/>
      <w:color w:val="2F5496" w:themeColor="accent1" w:themeShade="BF"/>
      <w:lang w:val="fr-FR"/>
    </w:rPr>
  </w:style>
  <w:style w:type="character" w:customStyle="1" w:styleId="Heading5Char">
    <w:name w:val="Heading 5 Char"/>
    <w:basedOn w:val="DefaultParagraphFont"/>
    <w:link w:val="Heading5"/>
    <w:uiPriority w:val="9"/>
    <w:semiHidden/>
    <w:rsid w:val="0064476E"/>
    <w:rPr>
      <w:rFonts w:eastAsiaTheme="majorEastAsia" w:cstheme="majorBidi"/>
      <w:color w:val="2F5496" w:themeColor="accent1" w:themeShade="BF"/>
      <w:lang w:val="fr-FR"/>
    </w:rPr>
  </w:style>
  <w:style w:type="character" w:customStyle="1" w:styleId="Heading6Char">
    <w:name w:val="Heading 6 Char"/>
    <w:basedOn w:val="DefaultParagraphFont"/>
    <w:link w:val="Heading6"/>
    <w:uiPriority w:val="9"/>
    <w:semiHidden/>
    <w:rsid w:val="0064476E"/>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64476E"/>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64476E"/>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64476E"/>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6447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476E"/>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6447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476E"/>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64476E"/>
    <w:pPr>
      <w:spacing w:before="160"/>
      <w:jc w:val="center"/>
    </w:pPr>
    <w:rPr>
      <w:i/>
      <w:iCs/>
      <w:color w:val="404040" w:themeColor="text1" w:themeTint="BF"/>
    </w:rPr>
  </w:style>
  <w:style w:type="character" w:customStyle="1" w:styleId="QuoteChar">
    <w:name w:val="Quote Char"/>
    <w:basedOn w:val="DefaultParagraphFont"/>
    <w:link w:val="Quote"/>
    <w:uiPriority w:val="29"/>
    <w:rsid w:val="0064476E"/>
    <w:rPr>
      <w:i/>
      <w:iCs/>
      <w:color w:val="404040" w:themeColor="text1" w:themeTint="BF"/>
      <w:lang w:val="fr-FR"/>
    </w:rPr>
  </w:style>
  <w:style w:type="paragraph" w:styleId="ListParagraph">
    <w:name w:val="List Paragraph"/>
    <w:basedOn w:val="Normal"/>
    <w:uiPriority w:val="34"/>
    <w:qFormat/>
    <w:rsid w:val="0064476E"/>
    <w:pPr>
      <w:ind w:left="720"/>
      <w:contextualSpacing/>
    </w:pPr>
  </w:style>
  <w:style w:type="character" w:styleId="IntenseEmphasis">
    <w:name w:val="Intense Emphasis"/>
    <w:basedOn w:val="DefaultParagraphFont"/>
    <w:uiPriority w:val="21"/>
    <w:qFormat/>
    <w:rsid w:val="0064476E"/>
    <w:rPr>
      <w:i/>
      <w:iCs/>
      <w:color w:val="2F5496" w:themeColor="accent1" w:themeShade="BF"/>
    </w:rPr>
  </w:style>
  <w:style w:type="paragraph" w:styleId="IntenseQuote">
    <w:name w:val="Intense Quote"/>
    <w:basedOn w:val="Normal"/>
    <w:next w:val="Normal"/>
    <w:link w:val="IntenseQuoteChar"/>
    <w:uiPriority w:val="30"/>
    <w:qFormat/>
    <w:rsid w:val="006447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476E"/>
    <w:rPr>
      <w:i/>
      <w:iCs/>
      <w:color w:val="2F5496" w:themeColor="accent1" w:themeShade="BF"/>
      <w:lang w:val="fr-FR"/>
    </w:rPr>
  </w:style>
  <w:style w:type="character" w:styleId="IntenseReference">
    <w:name w:val="Intense Reference"/>
    <w:basedOn w:val="DefaultParagraphFont"/>
    <w:uiPriority w:val="32"/>
    <w:qFormat/>
    <w:rsid w:val="0064476E"/>
    <w:rPr>
      <w:b/>
      <w:bCs/>
      <w:smallCaps/>
      <w:color w:val="2F5496" w:themeColor="accent1" w:themeShade="BF"/>
      <w:spacing w:val="5"/>
    </w:rPr>
  </w:style>
  <w:style w:type="character" w:styleId="CommentReference">
    <w:name w:val="annotation reference"/>
    <w:basedOn w:val="DefaultParagraphFont"/>
    <w:uiPriority w:val="99"/>
    <w:semiHidden/>
    <w:unhideWhenUsed/>
    <w:rsid w:val="0064476E"/>
    <w:rPr>
      <w:sz w:val="16"/>
      <w:szCs w:val="16"/>
    </w:rPr>
  </w:style>
  <w:style w:type="paragraph" w:styleId="CommentText">
    <w:name w:val="annotation text"/>
    <w:basedOn w:val="Normal"/>
    <w:link w:val="CommentTextChar"/>
    <w:uiPriority w:val="99"/>
    <w:unhideWhenUsed/>
    <w:rsid w:val="0064476E"/>
    <w:pPr>
      <w:spacing w:line="240" w:lineRule="auto"/>
    </w:pPr>
    <w:rPr>
      <w:sz w:val="20"/>
      <w:szCs w:val="20"/>
    </w:rPr>
  </w:style>
  <w:style w:type="character" w:customStyle="1" w:styleId="CommentTextChar">
    <w:name w:val="Comment Text Char"/>
    <w:basedOn w:val="DefaultParagraphFont"/>
    <w:link w:val="CommentText"/>
    <w:uiPriority w:val="99"/>
    <w:rsid w:val="0064476E"/>
    <w:rPr>
      <w:sz w:val="20"/>
      <w:szCs w:val="20"/>
      <w:lang w:val="fr-FR"/>
    </w:rPr>
  </w:style>
  <w:style w:type="paragraph" w:styleId="CommentSubject">
    <w:name w:val="annotation subject"/>
    <w:basedOn w:val="CommentText"/>
    <w:next w:val="CommentText"/>
    <w:link w:val="CommentSubjectChar"/>
    <w:uiPriority w:val="99"/>
    <w:semiHidden/>
    <w:unhideWhenUsed/>
    <w:rsid w:val="00B405DE"/>
    <w:rPr>
      <w:b/>
      <w:bCs/>
    </w:rPr>
  </w:style>
  <w:style w:type="character" w:customStyle="1" w:styleId="CommentSubjectChar">
    <w:name w:val="Comment Subject Char"/>
    <w:basedOn w:val="CommentTextChar"/>
    <w:link w:val="CommentSubject"/>
    <w:uiPriority w:val="99"/>
    <w:semiHidden/>
    <w:rsid w:val="00B405DE"/>
    <w:rPr>
      <w:b/>
      <w:bCs/>
      <w:sz w:val="20"/>
      <w:szCs w:val="20"/>
      <w:lang w:val="fr-FR"/>
    </w:rPr>
  </w:style>
  <w:style w:type="paragraph" w:styleId="Header">
    <w:name w:val="header"/>
    <w:basedOn w:val="Normal"/>
    <w:link w:val="HeaderChar"/>
    <w:uiPriority w:val="99"/>
    <w:unhideWhenUsed/>
    <w:rsid w:val="003E62FB"/>
    <w:pPr>
      <w:tabs>
        <w:tab w:val="center" w:pos="4703"/>
        <w:tab w:val="right" w:pos="9406"/>
      </w:tabs>
      <w:spacing w:after="0" w:line="240" w:lineRule="auto"/>
    </w:pPr>
  </w:style>
  <w:style w:type="character" w:customStyle="1" w:styleId="HeaderChar">
    <w:name w:val="Header Char"/>
    <w:basedOn w:val="DefaultParagraphFont"/>
    <w:link w:val="Header"/>
    <w:uiPriority w:val="99"/>
    <w:rsid w:val="003E62FB"/>
    <w:rPr>
      <w:lang w:val="fr-FR"/>
    </w:rPr>
  </w:style>
  <w:style w:type="paragraph" w:styleId="Footer">
    <w:name w:val="footer"/>
    <w:basedOn w:val="Normal"/>
    <w:link w:val="FooterChar"/>
    <w:uiPriority w:val="99"/>
    <w:unhideWhenUsed/>
    <w:rsid w:val="003E62FB"/>
    <w:pPr>
      <w:tabs>
        <w:tab w:val="center" w:pos="4703"/>
        <w:tab w:val="right" w:pos="9406"/>
      </w:tabs>
      <w:spacing w:after="0" w:line="240" w:lineRule="auto"/>
    </w:pPr>
  </w:style>
  <w:style w:type="character" w:customStyle="1" w:styleId="FooterChar">
    <w:name w:val="Footer Char"/>
    <w:basedOn w:val="DefaultParagraphFont"/>
    <w:link w:val="Footer"/>
    <w:uiPriority w:val="99"/>
    <w:rsid w:val="003E62FB"/>
    <w:rPr>
      <w:lang w:val="fr-FR"/>
    </w:rPr>
  </w:style>
  <w:style w:type="paragraph" w:styleId="Bibliography">
    <w:name w:val="Bibliography"/>
    <w:basedOn w:val="Normal"/>
    <w:next w:val="Normal"/>
    <w:uiPriority w:val="37"/>
    <w:unhideWhenUsed/>
    <w:rsid w:val="004F7526"/>
    <w:pPr>
      <w:tabs>
        <w:tab w:val="left" w:pos="384"/>
      </w:tabs>
      <w:spacing w:after="0" w:line="480" w:lineRule="auto"/>
      <w:ind w:left="384" w:hanging="384"/>
    </w:pPr>
  </w:style>
  <w:style w:type="paragraph" w:styleId="NormalWeb">
    <w:name w:val="Normal (Web)"/>
    <w:basedOn w:val="Normal"/>
    <w:uiPriority w:val="99"/>
    <w:semiHidden/>
    <w:unhideWhenUsed/>
    <w:rsid w:val="00180C39"/>
    <w:rPr>
      <w:rFonts w:ascii="Times New Roman" w:hAnsi="Times New Roman" w:cs="Times New Roman"/>
      <w:sz w:val="24"/>
      <w:szCs w:val="24"/>
    </w:rPr>
  </w:style>
  <w:style w:type="paragraph" w:styleId="Revision">
    <w:name w:val="Revision"/>
    <w:hidden/>
    <w:uiPriority w:val="99"/>
    <w:semiHidden/>
    <w:rsid w:val="0036350D"/>
    <w:pPr>
      <w:spacing w:after="0" w:line="240" w:lineRule="auto"/>
    </w:pPr>
    <w:rPr>
      <w:lang w:val="fr-FR"/>
    </w:rPr>
  </w:style>
  <w:style w:type="character" w:styleId="LineNumber">
    <w:name w:val="line number"/>
    <w:basedOn w:val="DefaultParagraphFont"/>
    <w:uiPriority w:val="99"/>
    <w:semiHidden/>
    <w:unhideWhenUsed/>
    <w:rsid w:val="00196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89100-5892-4E01-9A9B-953E185D7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23</Pages>
  <Words>17585</Words>
  <Characters>100238</Characters>
  <Application>Microsoft Office Word</Application>
  <DocSecurity>0</DocSecurity>
  <Lines>835</Lines>
  <Paragraphs>235</Paragraphs>
  <ScaleCrop>false</ScaleCrop>
  <Company/>
  <LinksUpToDate>false</LinksUpToDate>
  <CharactersWithSpaces>117588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 Van de Velde</dc:creator>
  <cp:keywords/>
  <dc:description/>
  <cp:lastModifiedBy>Viktor Van de Velde</cp:lastModifiedBy>
  <cp:revision>522</cp:revision>
  <dcterms:created xsi:type="dcterms:W3CDTF">2025-05-20T00:56:00Z</dcterms:created>
  <dcterms:modified xsi:type="dcterms:W3CDTF">2026-07-06T13:10:00Z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55be828d-9f54-4c4a-ab84-710baf448df0</vt:lpwstr>
  </property>
  <property fmtid="{D5CDD505-2E9C-101B-9397-08002B2CF9AE}" pid="3" name="ZOTERO_PREF_1">
    <vt:lpwstr>&lt;data data-version="3" zotero-version="9.0.3"&gt;&lt;session id="tlXCIqxS"/&gt;&lt;style id="http://www.zotero.org/styles/nature" hasBibliography="1" bibliographyStyleHasBeenSet="1"/&gt;&lt;prefs&gt;&lt;pref name="fieldType" value="Field"/&gt;&lt;/prefs&gt;&lt;/data&gt;</vt:lpwstr>
  </property>
</Properties>
</file>