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6A988" w14:textId="3CD337E1" w:rsidR="006D46A2" w:rsidRPr="00F47622" w:rsidRDefault="007365AC" w:rsidP="006D46A2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bookmarkStart w:id="0" w:name="_Hlk227258648"/>
      <w:bookmarkEnd w:id="0"/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Supplementary Figures</w:t>
      </w:r>
      <w:bookmarkStart w:id="1" w:name="_Hlk141988278"/>
    </w:p>
    <w:p w14:paraId="1E72EE67" w14:textId="77777777" w:rsidR="00734576" w:rsidRPr="00F47622" w:rsidRDefault="007365AC" w:rsidP="00734576">
      <w:pPr>
        <w:rPr>
          <w:rFonts w:ascii="Arial" w:hAnsi="Arial" w:cs="Arial"/>
          <w:sz w:val="24"/>
          <w:szCs w:val="24"/>
        </w:rPr>
      </w:pPr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Article Title</w:t>
      </w:r>
      <w:r w:rsidRPr="00F4762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: </w:t>
      </w:r>
      <w:r w:rsidR="00734576" w:rsidRPr="00F47622">
        <w:rPr>
          <w:rFonts w:ascii="Arial" w:hAnsi="Arial" w:cs="Arial"/>
          <w:sz w:val="24"/>
          <w:szCs w:val="24"/>
        </w:rPr>
        <w:t>Construction of a Cancer Driver Gene Prognostic Index in Clear Cell Renal Cell Carcinoma Based on Machine Learning and Multi-omics Analysis for Improved Clinical Outcomes and Drug Sensitivity</w:t>
      </w:r>
    </w:p>
    <w:p w14:paraId="5D20B8BA" w14:textId="55F00A6C" w:rsidR="007365AC" w:rsidRPr="00F47622" w:rsidRDefault="007365AC" w:rsidP="007365AC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bookmarkStart w:id="2" w:name="OLE_LINK4"/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Running Title</w:t>
      </w:r>
      <w:r w:rsidRPr="00F4762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: </w:t>
      </w:r>
      <w:proofErr w:type="gramStart"/>
      <w:r w:rsidR="00734576" w:rsidRPr="00F47622">
        <w:rPr>
          <w:rFonts w:ascii="Arial" w:hAnsi="Arial" w:cs="Arial"/>
          <w:color w:val="000000" w:themeColor="text1"/>
          <w:sz w:val="24"/>
          <w:szCs w:val="24"/>
          <w:lang w:val="en-GB"/>
        </w:rPr>
        <w:t>an</w:t>
      </w:r>
      <w:proofErr w:type="gramEnd"/>
      <w:r w:rsidR="00734576" w:rsidRPr="00F47622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734576" w:rsidRPr="00F47622">
        <w:rPr>
          <w:rFonts w:ascii="Arial" w:hAnsi="Arial" w:cs="Arial"/>
          <w:sz w:val="24"/>
          <w:szCs w:val="24"/>
        </w:rPr>
        <w:t>Cancer Driver Gene Prognostic</w:t>
      </w:r>
      <w:r w:rsidRPr="00F47622">
        <w:rPr>
          <w:rFonts w:ascii="Arial" w:hAnsi="Arial" w:cs="Arial"/>
          <w:color w:val="C00000"/>
          <w:sz w:val="24"/>
          <w:szCs w:val="24"/>
          <w:lang w:val="en-GB"/>
        </w:rPr>
        <w:t xml:space="preserve"> </w:t>
      </w:r>
      <w:r w:rsidRPr="00F47622">
        <w:rPr>
          <w:rFonts w:ascii="Arial" w:hAnsi="Arial" w:cs="Arial"/>
          <w:sz w:val="24"/>
          <w:szCs w:val="24"/>
          <w:lang w:val="en-GB"/>
        </w:rPr>
        <w:t xml:space="preserve">index for </w:t>
      </w:r>
      <w:r w:rsidR="00734576" w:rsidRPr="00F47622">
        <w:rPr>
          <w:rFonts w:ascii="Arial" w:hAnsi="Arial" w:cs="Arial"/>
          <w:sz w:val="24"/>
          <w:szCs w:val="24"/>
          <w:lang w:val="en-GB"/>
        </w:rPr>
        <w:t>KIRC</w:t>
      </w:r>
      <w:r w:rsidRPr="00F47622">
        <w:rPr>
          <w:rFonts w:ascii="Arial" w:hAnsi="Arial" w:cs="Arial"/>
          <w:sz w:val="24"/>
          <w:szCs w:val="24"/>
          <w:lang w:val="en-GB"/>
        </w:rPr>
        <w:t xml:space="preserve"> patients</w:t>
      </w:r>
    </w:p>
    <w:bookmarkEnd w:id="2"/>
    <w:p w14:paraId="6E9084B5" w14:textId="79D4FD64" w:rsidR="00734576" w:rsidRPr="00F47622" w:rsidRDefault="007365AC" w:rsidP="007365AC">
      <w:pPr>
        <w:spacing w:line="480" w:lineRule="auto"/>
        <w:rPr>
          <w:rFonts w:ascii="Arial" w:hAnsi="Arial" w:cs="Arial"/>
          <w:sz w:val="24"/>
          <w:szCs w:val="24"/>
          <w:vertAlign w:val="superscript"/>
        </w:rPr>
      </w:pPr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Author Data</w:t>
      </w:r>
      <w:r w:rsidRPr="00F47622">
        <w:rPr>
          <w:rFonts w:ascii="Arial" w:hAnsi="Arial" w:cs="Arial"/>
          <w:color w:val="000000" w:themeColor="text1"/>
          <w:sz w:val="24"/>
          <w:szCs w:val="24"/>
          <w:lang w:val="en-GB"/>
        </w:rPr>
        <w:t>:</w:t>
      </w:r>
      <w:r w:rsidRPr="00F47622">
        <w:rPr>
          <w:rFonts w:ascii="Arial" w:hAnsi="Arial" w:cs="Arial"/>
          <w:color w:val="C00000"/>
          <w:sz w:val="24"/>
          <w:szCs w:val="24"/>
        </w:rPr>
        <w:t xml:space="preserve"> </w:t>
      </w:r>
      <w:proofErr w:type="spellStart"/>
      <w:r w:rsidR="00734576" w:rsidRPr="00F47622">
        <w:rPr>
          <w:rFonts w:ascii="Arial" w:hAnsi="Arial" w:cs="Arial"/>
          <w:sz w:val="24"/>
          <w:szCs w:val="24"/>
        </w:rPr>
        <w:t>Feifan</w:t>
      </w:r>
      <w:proofErr w:type="spellEnd"/>
      <w:r w:rsidR="00734576" w:rsidRPr="00F47622">
        <w:rPr>
          <w:rFonts w:ascii="Arial" w:hAnsi="Arial" w:cs="Arial"/>
          <w:sz w:val="24"/>
          <w:szCs w:val="24"/>
        </w:rPr>
        <w:t xml:space="preserve"> Tang</w:t>
      </w:r>
      <w:r w:rsidR="00734576" w:rsidRPr="00F47622">
        <w:rPr>
          <w:rFonts w:ascii="Arial" w:hAnsi="Arial" w:cs="Arial"/>
          <w:sz w:val="24"/>
          <w:szCs w:val="24"/>
          <w:vertAlign w:val="superscript"/>
        </w:rPr>
        <w:t>1</w:t>
      </w:r>
      <w:r w:rsidR="00875767" w:rsidRPr="00F47622">
        <w:rPr>
          <w:rFonts w:ascii="Arial" w:hAnsi="Arial" w:cs="Arial"/>
          <w:sz w:val="24"/>
          <w:szCs w:val="24"/>
        </w:rPr>
        <w:t xml:space="preserve"> Biao Zhang</w:t>
      </w:r>
      <w:r w:rsidR="00875767" w:rsidRPr="00F47622">
        <w:rPr>
          <w:rFonts w:ascii="Arial" w:hAnsi="Arial" w:cs="Arial"/>
          <w:sz w:val="24"/>
          <w:szCs w:val="24"/>
          <w:vertAlign w:val="superscript"/>
        </w:rPr>
        <w:t>2</w:t>
      </w:r>
    </w:p>
    <w:bookmarkEnd w:id="1"/>
    <w:p w14:paraId="004CF625" w14:textId="77777777" w:rsidR="00734576" w:rsidRPr="00F47622" w:rsidRDefault="00734576" w:rsidP="00734576">
      <w:pPr>
        <w:rPr>
          <w:rFonts w:ascii="Arial" w:hAnsi="Arial" w:cs="Arial"/>
          <w:sz w:val="24"/>
          <w:szCs w:val="24"/>
        </w:rPr>
      </w:pPr>
      <w:r w:rsidRPr="00F47622">
        <w:rPr>
          <w:rFonts w:ascii="Arial" w:hAnsi="Arial" w:cs="Arial"/>
          <w:sz w:val="24"/>
          <w:szCs w:val="24"/>
        </w:rPr>
        <w:t xml:space="preserve">1 Department of Urology, the </w:t>
      </w:r>
      <w:proofErr w:type="spellStart"/>
      <w:r w:rsidRPr="00F47622">
        <w:rPr>
          <w:rFonts w:ascii="Arial" w:hAnsi="Arial" w:cs="Arial"/>
          <w:sz w:val="24"/>
          <w:szCs w:val="24"/>
        </w:rPr>
        <w:t>Nanxishan</w:t>
      </w:r>
      <w:proofErr w:type="spellEnd"/>
      <w:r w:rsidRPr="00F47622">
        <w:rPr>
          <w:rFonts w:ascii="Arial" w:hAnsi="Arial" w:cs="Arial"/>
          <w:sz w:val="24"/>
          <w:szCs w:val="24"/>
        </w:rPr>
        <w:t xml:space="preserve"> Hospital of Guangxi Zhuang Autonomous Region, Guilin 541002, China.</w:t>
      </w:r>
    </w:p>
    <w:p w14:paraId="0C60020B" w14:textId="77777777" w:rsidR="00875767" w:rsidRPr="00F47622" w:rsidRDefault="00875767" w:rsidP="00734576">
      <w:pPr>
        <w:rPr>
          <w:rFonts w:ascii="Arial" w:hAnsi="Arial" w:cs="Arial"/>
          <w:sz w:val="24"/>
          <w:szCs w:val="24"/>
        </w:rPr>
      </w:pPr>
    </w:p>
    <w:p w14:paraId="4DF788D1" w14:textId="77777777" w:rsidR="00875767" w:rsidRPr="00F47622" w:rsidRDefault="00875767" w:rsidP="00875767">
      <w:pPr>
        <w:rPr>
          <w:rFonts w:ascii="Arial" w:hAnsi="Arial" w:cs="Arial"/>
          <w:sz w:val="24"/>
          <w:szCs w:val="24"/>
        </w:rPr>
      </w:pPr>
      <w:r w:rsidRPr="00F47622">
        <w:rPr>
          <w:rFonts w:ascii="Arial" w:hAnsi="Arial" w:cs="Arial"/>
          <w:sz w:val="24"/>
          <w:szCs w:val="24"/>
        </w:rPr>
        <w:t xml:space="preserve">2 Scientific Research Department, the Second Affiliated Hospital of Guilin Medical University, Guilin, 541199, China. </w:t>
      </w:r>
    </w:p>
    <w:p w14:paraId="1D1872C4" w14:textId="77777777" w:rsidR="00875767" w:rsidRPr="00F47622" w:rsidRDefault="00875767" w:rsidP="00734576">
      <w:pPr>
        <w:rPr>
          <w:rFonts w:ascii="Arial" w:hAnsi="Arial" w:cs="Arial"/>
          <w:sz w:val="24"/>
          <w:szCs w:val="24"/>
        </w:rPr>
      </w:pPr>
    </w:p>
    <w:p w14:paraId="6CE91691" w14:textId="77777777" w:rsidR="007365AC" w:rsidRPr="00F47622" w:rsidRDefault="007365AC" w:rsidP="007365AC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F47622">
        <w:rPr>
          <w:rFonts w:ascii="Arial" w:hAnsi="Arial" w:cs="Arial"/>
          <w:color w:val="000000" w:themeColor="text1"/>
          <w:sz w:val="24"/>
          <w:szCs w:val="24"/>
          <w:vertAlign w:val="superscript"/>
        </w:rPr>
        <w:t>†</w:t>
      </w:r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 w:rsidRPr="00F4762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Corresponding author:</w:t>
      </w:r>
    </w:p>
    <w:p w14:paraId="726F22A5" w14:textId="0ED1DB7D" w:rsidR="00734576" w:rsidRPr="00F47622" w:rsidRDefault="00734576" w:rsidP="00734576">
      <w:pPr>
        <w:widowControl/>
        <w:spacing w:line="360" w:lineRule="auto"/>
        <w:jc w:val="left"/>
        <w:rPr>
          <w:rFonts w:ascii="Arial" w:hAnsi="Arial" w:cs="Arial"/>
          <w:kern w:val="0"/>
          <w:sz w:val="24"/>
          <w:szCs w:val="24"/>
        </w:rPr>
      </w:pPr>
      <w:proofErr w:type="spellStart"/>
      <w:r w:rsidRPr="00F47622">
        <w:rPr>
          <w:rFonts w:ascii="Arial" w:hAnsi="Arial" w:cs="Arial"/>
          <w:sz w:val="24"/>
          <w:szCs w:val="24"/>
        </w:rPr>
        <w:t>Songbai</w:t>
      </w:r>
      <w:proofErr w:type="spellEnd"/>
      <w:r w:rsidRPr="00F47622">
        <w:rPr>
          <w:rFonts w:ascii="Arial" w:hAnsi="Arial" w:cs="Arial"/>
          <w:sz w:val="24"/>
          <w:szCs w:val="24"/>
        </w:rPr>
        <w:t xml:space="preserve"> Liao</w:t>
      </w:r>
    </w:p>
    <w:p w14:paraId="3E4FFCEE" w14:textId="77777777" w:rsidR="00734576" w:rsidRPr="00F47622" w:rsidRDefault="00734576" w:rsidP="00734576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F47622">
        <w:rPr>
          <w:rFonts w:ascii="Arial" w:hAnsi="Arial" w:cs="Arial"/>
          <w:sz w:val="24"/>
          <w:szCs w:val="24"/>
        </w:rPr>
        <w:t xml:space="preserve">Department of Urology, the </w:t>
      </w:r>
      <w:proofErr w:type="spellStart"/>
      <w:r w:rsidRPr="00F47622">
        <w:rPr>
          <w:rFonts w:ascii="Arial" w:hAnsi="Arial" w:cs="Arial"/>
          <w:sz w:val="24"/>
          <w:szCs w:val="24"/>
        </w:rPr>
        <w:t>Nanxishan</w:t>
      </w:r>
      <w:proofErr w:type="spellEnd"/>
      <w:r w:rsidRPr="00F47622">
        <w:rPr>
          <w:rFonts w:ascii="Arial" w:hAnsi="Arial" w:cs="Arial"/>
          <w:sz w:val="24"/>
          <w:szCs w:val="24"/>
        </w:rPr>
        <w:t xml:space="preserve"> Hospital of Guangxi Zhuang Autonomous Region, Guilin 541002, China. </w:t>
      </w:r>
    </w:p>
    <w:p w14:paraId="539F2E1F" w14:textId="20F05094" w:rsidR="00734576" w:rsidRPr="00F47622" w:rsidRDefault="00734576" w:rsidP="00734576">
      <w:pPr>
        <w:widowControl/>
        <w:spacing w:line="360" w:lineRule="auto"/>
        <w:jc w:val="left"/>
        <w:rPr>
          <w:rFonts w:ascii="Arial" w:hAnsi="Arial" w:cs="Arial"/>
          <w:kern w:val="0"/>
          <w:sz w:val="24"/>
          <w:szCs w:val="24"/>
        </w:rPr>
      </w:pPr>
      <w:r w:rsidRPr="00F47622"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Pr="00F47622">
          <w:rPr>
            <w:rStyle w:val="af2"/>
            <w:rFonts w:ascii="Arial" w:hAnsi="Arial" w:cs="Arial"/>
            <w:sz w:val="24"/>
            <w:szCs w:val="24"/>
          </w:rPr>
          <w:t>1182194916@qq.com</w:t>
        </w:r>
      </w:hyperlink>
    </w:p>
    <w:p w14:paraId="0B4AB5FB" w14:textId="4897D5AE" w:rsidR="00734576" w:rsidRPr="00F47622" w:rsidRDefault="00734576" w:rsidP="00734576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F47622">
        <w:rPr>
          <w:rFonts w:ascii="Arial" w:eastAsia="Times New Roman" w:hAnsi="Arial" w:cs="Arial"/>
          <w:kern w:val="0"/>
          <w:sz w:val="24"/>
          <w:szCs w:val="24"/>
        </w:rPr>
        <w:t>Xianliang Hou</w:t>
      </w:r>
    </w:p>
    <w:p w14:paraId="48DB1870" w14:textId="77777777" w:rsidR="00734576" w:rsidRPr="00F47622" w:rsidRDefault="00734576">
      <w:pPr>
        <w:rPr>
          <w:rFonts w:ascii="Arial" w:hAnsi="Arial" w:cs="Arial"/>
          <w:sz w:val="24"/>
          <w:szCs w:val="24"/>
        </w:rPr>
      </w:pPr>
      <w:r w:rsidRPr="00F47622">
        <w:rPr>
          <w:rFonts w:ascii="Arial" w:hAnsi="Arial" w:cs="Arial"/>
          <w:sz w:val="24"/>
          <w:szCs w:val="24"/>
        </w:rPr>
        <w:t xml:space="preserve">Research Administration Office, the Second Affiliated Hospital of Guilin Medical University, Guilin, 541199, China. </w:t>
      </w:r>
    </w:p>
    <w:p w14:paraId="16837E06" w14:textId="1F2E28AC" w:rsidR="000B5333" w:rsidRPr="00F47622" w:rsidRDefault="00734576">
      <w:pPr>
        <w:rPr>
          <w:rFonts w:ascii="Arial" w:hAnsi="Arial" w:cs="Arial"/>
          <w:color w:val="C00000"/>
          <w:sz w:val="24"/>
          <w:szCs w:val="24"/>
          <w:lang w:val="en-GB"/>
        </w:rPr>
      </w:pPr>
      <w:r w:rsidRPr="00F4762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F47622">
          <w:rPr>
            <w:rStyle w:val="af2"/>
            <w:rFonts w:ascii="Arial" w:hAnsi="Arial" w:cs="Arial"/>
            <w:sz w:val="24"/>
            <w:szCs w:val="24"/>
          </w:rPr>
          <w:t>houxl115@126.com</w:t>
        </w:r>
      </w:hyperlink>
    </w:p>
    <w:p w14:paraId="2DCC3E59" w14:textId="1D2A52EA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69412F95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3B55F611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C64C779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6CA53027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F7C7261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B46AD6E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3A074763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85BC23F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1F5321B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0D98BD4B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5041376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108BD7C2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125A22F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1B89092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67FDA9CD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5DD9A57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DD4D84A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C23C3EE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111288D2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1855BA51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2770B1A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45185DD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C179EAD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9B56EE7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B177902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267AF6F4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942D080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544A813A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15A24BA5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48AF568B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244131B1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75E0280F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16A51701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28D61738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60185CFF" w14:textId="77777777" w:rsidR="007365AC" w:rsidRPr="00F47622" w:rsidRDefault="007365AC">
      <w:pPr>
        <w:rPr>
          <w:rFonts w:ascii="Arial" w:hAnsi="Arial" w:cs="Arial"/>
          <w:noProof/>
          <w:sz w:val="24"/>
          <w:szCs w:val="24"/>
          <w:lang w:val="en-GB"/>
        </w:rPr>
      </w:pPr>
    </w:p>
    <w:p w14:paraId="08B6830D" w14:textId="77777777" w:rsidR="007365AC" w:rsidRPr="00F47622" w:rsidRDefault="007365AC">
      <w:pPr>
        <w:rPr>
          <w:rFonts w:ascii="Arial" w:hAnsi="Arial" w:cs="Arial"/>
          <w:sz w:val="24"/>
          <w:szCs w:val="24"/>
          <w:lang w:val="en-GB"/>
        </w:rPr>
      </w:pPr>
    </w:p>
    <w:p w14:paraId="584F625A" w14:textId="4D4F73C7" w:rsidR="007365AC" w:rsidRPr="00F47622" w:rsidRDefault="007365AC">
      <w:pPr>
        <w:rPr>
          <w:rFonts w:ascii="Arial" w:hAnsi="Arial" w:cs="Arial"/>
          <w:sz w:val="24"/>
          <w:szCs w:val="24"/>
          <w:lang w:val="en-GB"/>
        </w:rPr>
      </w:pPr>
      <w:r w:rsidRPr="00F47622">
        <w:rPr>
          <w:rFonts w:ascii="Arial" w:hAnsi="Arial" w:cs="Arial"/>
          <w:noProof/>
          <w:sz w:val="24"/>
          <w:szCs w:val="24"/>
          <w:lang w:val="en-GB"/>
        </w:rPr>
        <w:lastRenderedPageBreak/>
        <w:drawing>
          <wp:inline distT="0" distB="0" distL="0" distR="0" wp14:anchorId="7C196903" wp14:editId="06FDEC3A">
            <wp:extent cx="6147691" cy="6528435"/>
            <wp:effectExtent l="0" t="0" r="5715" b="5715"/>
            <wp:docPr id="5991789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11" cy="655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9427" w14:textId="4DB56945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Figure S1.</w:t>
      </w:r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The overall design of this study.</w:t>
      </w:r>
    </w:p>
    <w:p w14:paraId="5DAF942F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FBD120C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22B7C9C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1F8F481F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4F9191C4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5E1EE692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2BA2065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B0C2CD7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1CF7B700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B356C7F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522FF42D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55CBE0C1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2E6DAF0C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1828F00F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6C56E7CE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DB3C0D5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52AFD299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2FD3015D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EA35660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31E1BFEA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3E424AA9" w14:textId="4B71E7A6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CBFD472" wp14:editId="3AB1CC40">
            <wp:extent cx="6014317" cy="3028950"/>
            <wp:effectExtent l="0" t="0" r="5715" b="0"/>
            <wp:docPr id="186590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408" cy="303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9CA49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259FDB0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48FFFF35" w14:textId="2816D42B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Figure S2</w:t>
      </w:r>
      <w:r w:rsidR="00B67DBB"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.</w:t>
      </w: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 xml:space="preserve"> </w:t>
      </w:r>
      <w:r w:rsidRPr="00F47622">
        <w:rPr>
          <w:rFonts w:ascii="Arial" w:hAnsi="Arial" w:cs="Arial"/>
          <w:sz w:val="24"/>
          <w:szCs w:val="24"/>
        </w:rPr>
        <w:t>MCODE plug-in gets a main network module.</w:t>
      </w:r>
    </w:p>
    <w:p w14:paraId="17282132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6185B9E2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3E79191E" w14:textId="77777777" w:rsidR="00BB04B6" w:rsidRPr="00F47622" w:rsidRDefault="00BB04B6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3EE647E8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6A1926CB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24B7302D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38411690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35B9A069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498EF8E1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39A4B32E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48527460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33EB976E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277661B8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389E798F" w14:textId="77777777" w:rsidR="00BB04B6" w:rsidRPr="00F47622" w:rsidRDefault="00BB04B6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695EE807" w14:textId="77777777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672EB3B5" w14:textId="11E9A37F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EA6A5C3" wp14:editId="61F1BCEC">
            <wp:extent cx="5272405" cy="7534910"/>
            <wp:effectExtent l="0" t="0" r="4445" b="8890"/>
            <wp:docPr id="1060556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5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997B7" w14:textId="7932ACA9" w:rsidR="00B67DBB" w:rsidRPr="00F47622" w:rsidRDefault="00B67DBB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 xml:space="preserve">Figure S3. </w:t>
      </w:r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Univariate Cox regression forest plot identifying 105 prognostic DECDRGs in the TCGA-KIRC cohort.</w:t>
      </w:r>
    </w:p>
    <w:p w14:paraId="3F6F41E7" w14:textId="77777777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7671F344" w14:textId="77777777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51E84207" w14:textId="77777777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03B5948C" w14:textId="77777777" w:rsidR="00B67DBB" w:rsidRPr="00F47622" w:rsidRDefault="00B67DBB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</w:p>
    <w:p w14:paraId="54B0938F" w14:textId="5DB378EE" w:rsidR="007365AC" w:rsidRPr="00F47622" w:rsidRDefault="007365AC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  <w:t>A</w:t>
      </w:r>
    </w:p>
    <w:p w14:paraId="791BE974" w14:textId="64F0A25C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5848C0B" wp14:editId="173FCF67">
            <wp:extent cx="2977730" cy="3389687"/>
            <wp:effectExtent l="0" t="0" r="0" b="1270"/>
            <wp:docPr id="10472922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8" cy="342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1A294" w14:textId="177E1419" w:rsidR="007365AC" w:rsidRPr="00F47622" w:rsidRDefault="007365AC">
      <w:pPr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bCs/>
          <w:color w:val="000000" w:themeColor="text1"/>
          <w:sz w:val="24"/>
          <w:szCs w:val="24"/>
        </w:rPr>
        <w:t>B</w:t>
      </w:r>
    </w:p>
    <w:p w14:paraId="64C3B41E" w14:textId="650A0880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34E098D8" wp14:editId="014DDCC9">
            <wp:extent cx="5780890" cy="2894629"/>
            <wp:effectExtent l="0" t="0" r="0" b="1270"/>
            <wp:docPr id="12180536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029" cy="289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78208" w14:textId="1247EF44" w:rsidR="007365AC" w:rsidRPr="00F47622" w:rsidRDefault="007365AC">
      <w:pPr>
        <w:rPr>
          <w:rFonts w:ascii="Arial" w:hAnsi="Arial" w:cs="Arial"/>
          <w:sz w:val="24"/>
          <w:szCs w:val="24"/>
        </w:rPr>
      </w:pP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Figure S</w:t>
      </w:r>
      <w:r w:rsidR="00B67DBB"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4</w:t>
      </w: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.</w:t>
      </w:r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</w:t>
      </w:r>
      <w:r w:rsidRPr="00F47622">
        <w:rPr>
          <w:rFonts w:ascii="Arial" w:hAnsi="Arial" w:cs="Arial"/>
          <w:sz w:val="24"/>
          <w:szCs w:val="24"/>
        </w:rPr>
        <w:t>Immunohistochemistry analysis of the five hub genes and three characteristic DE</w:t>
      </w:r>
      <w:r w:rsidR="00B67DBB" w:rsidRPr="00F47622">
        <w:rPr>
          <w:rFonts w:ascii="Arial" w:hAnsi="Arial" w:cs="Arial"/>
          <w:sz w:val="24"/>
          <w:szCs w:val="24"/>
        </w:rPr>
        <w:t>CDR</w:t>
      </w:r>
      <w:r w:rsidRPr="00F47622">
        <w:rPr>
          <w:rFonts w:ascii="Arial" w:hAnsi="Arial" w:cs="Arial"/>
          <w:sz w:val="24"/>
          <w:szCs w:val="24"/>
        </w:rPr>
        <w:t>Gs. (A) Immunohistochemical results of the DE</w:t>
      </w:r>
      <w:r w:rsidR="00B67DBB" w:rsidRPr="00F47622">
        <w:rPr>
          <w:rFonts w:ascii="Arial" w:hAnsi="Arial" w:cs="Arial"/>
          <w:sz w:val="24"/>
          <w:szCs w:val="24"/>
        </w:rPr>
        <w:t>CDR</w:t>
      </w:r>
      <w:r w:rsidRPr="00F47622">
        <w:rPr>
          <w:rFonts w:ascii="Arial" w:hAnsi="Arial" w:cs="Arial"/>
          <w:sz w:val="24"/>
          <w:szCs w:val="24"/>
        </w:rPr>
        <w:t>Gs in tumor and normal tissues. (B) Differential expression of the DE</w:t>
      </w:r>
      <w:r w:rsidR="00B67DBB" w:rsidRPr="00F47622">
        <w:rPr>
          <w:rFonts w:ascii="Arial" w:hAnsi="Arial" w:cs="Arial"/>
          <w:sz w:val="24"/>
          <w:szCs w:val="24"/>
        </w:rPr>
        <w:t>CDR</w:t>
      </w:r>
      <w:r w:rsidRPr="00F47622">
        <w:rPr>
          <w:rFonts w:ascii="Arial" w:hAnsi="Arial" w:cs="Arial"/>
          <w:sz w:val="24"/>
          <w:szCs w:val="24"/>
        </w:rPr>
        <w:t>Gs between tumor tissue and normal tissue in the TCGA-LUAD cohort, * p &lt; 0.05, **p &lt; 0.01, ***p &lt; 0.001.</w:t>
      </w:r>
    </w:p>
    <w:p w14:paraId="52CB4FE5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p w14:paraId="0710CFE2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p w14:paraId="4CDAF971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p w14:paraId="2BBAAB40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p w14:paraId="7D182A36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p w14:paraId="7837BF3D" w14:textId="2D326B91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E46B25" wp14:editId="3C12B28E">
            <wp:extent cx="6435745" cy="5511817"/>
            <wp:effectExtent l="0" t="0" r="3175" b="0"/>
            <wp:docPr id="1581974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768" cy="554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8BBF6" w14:textId="1045DB5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bookmarkStart w:id="3" w:name="OLE_LINK1"/>
      <w:bookmarkStart w:id="4" w:name="_Hlk9157539"/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Figure S</w:t>
      </w:r>
      <w:bookmarkEnd w:id="3"/>
      <w:r w:rsidR="00E5701C"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5</w:t>
      </w: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.</w:t>
      </w:r>
      <w:bookmarkEnd w:id="4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Six other algorithms, including the MCP-counter algorithm, EPIC algorithm,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xCell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algorithm, CIBERSORT algorithm,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quanTIseq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algorithm, and TIMER algorithm, further verified the stability and robustness of the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ssGSEA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results for two clusters.</w:t>
      </w:r>
    </w:p>
    <w:p w14:paraId="5D4DDBF7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5A445CB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DD50872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D93B8B6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605FBF3A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066F88E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5DBA1415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35635436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7561EAA3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C24F4A0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447D8770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8CBBE6E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601ACDE8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42E75BE0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1A27DBF7" w14:textId="763FE695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8651CBE" wp14:editId="3CFDF8D5">
            <wp:extent cx="5271135" cy="7454900"/>
            <wp:effectExtent l="0" t="0" r="5715" b="0"/>
            <wp:docPr id="1279874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56EA" w14:textId="06A0408B" w:rsidR="007365AC" w:rsidRPr="00F47622" w:rsidRDefault="007365AC" w:rsidP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  <w:bookmarkStart w:id="5" w:name="OLE_LINK2"/>
      <w:bookmarkStart w:id="6" w:name="OLE_LINK3"/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Figure S</w:t>
      </w:r>
      <w:bookmarkEnd w:id="5"/>
      <w:r w:rsidR="00E5701C"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6</w:t>
      </w: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.</w:t>
      </w:r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CIBERSORT score of immune cell infiltration between the two CDPI groups.</w:t>
      </w:r>
    </w:p>
    <w:bookmarkEnd w:id="6"/>
    <w:p w14:paraId="39C95F99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2F8EFDCF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2454A547" w14:textId="77777777" w:rsidR="007365AC" w:rsidRPr="00F47622" w:rsidRDefault="007365AC">
      <w:pPr>
        <w:rPr>
          <w:rFonts w:ascii="Arial" w:eastAsia="宋体" w:hAnsi="Arial" w:cs="Arial"/>
          <w:color w:val="000000" w:themeColor="text1"/>
          <w:sz w:val="24"/>
          <w:szCs w:val="24"/>
        </w:rPr>
      </w:pPr>
    </w:p>
    <w:p w14:paraId="0BB36EDC" w14:textId="77777777" w:rsidR="007365AC" w:rsidRPr="00F47622" w:rsidRDefault="007365AC">
      <w:pPr>
        <w:rPr>
          <w:rFonts w:ascii="Arial" w:hAnsi="Arial" w:cs="Arial"/>
          <w:sz w:val="24"/>
          <w:szCs w:val="24"/>
          <w:lang w:val="en-GB"/>
        </w:rPr>
      </w:pPr>
    </w:p>
    <w:p w14:paraId="68F27578" w14:textId="52CD1D0A" w:rsidR="007365AC" w:rsidRPr="00F47622" w:rsidRDefault="007365AC">
      <w:pPr>
        <w:rPr>
          <w:rFonts w:ascii="Arial" w:hAnsi="Arial" w:cs="Arial"/>
          <w:sz w:val="24"/>
          <w:szCs w:val="24"/>
          <w:lang w:val="en-GB"/>
        </w:rPr>
      </w:pPr>
      <w:r w:rsidRPr="00F47622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7A9FBB58" wp14:editId="6C374850">
            <wp:extent cx="6206121" cy="7757839"/>
            <wp:effectExtent l="0" t="0" r="4445" b="0"/>
            <wp:docPr id="7878059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21" cy="775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C04B" w14:textId="34D27DBD" w:rsidR="007365AC" w:rsidRPr="00F47622" w:rsidRDefault="007365AC" w:rsidP="007365AC">
      <w:pPr>
        <w:spacing w:line="480" w:lineRule="auto"/>
        <w:rPr>
          <w:rFonts w:ascii="Arial" w:eastAsia="宋体" w:hAnsi="Arial" w:cs="Arial"/>
          <w:color w:val="000000" w:themeColor="text1"/>
          <w:sz w:val="24"/>
          <w:szCs w:val="24"/>
        </w:rPr>
      </w:pP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lastRenderedPageBreak/>
        <w:t>Figure S</w:t>
      </w:r>
      <w:r w:rsidR="00E5701C"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7</w:t>
      </w:r>
      <w:r w:rsidRPr="00F47622">
        <w:rPr>
          <w:rFonts w:ascii="Arial" w:eastAsia="宋体" w:hAnsi="Arial" w:cs="Arial"/>
          <w:b/>
          <w:color w:val="000000" w:themeColor="text1"/>
          <w:sz w:val="24"/>
          <w:szCs w:val="24"/>
        </w:rPr>
        <w:t>.</w:t>
      </w:r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Six other algorithms, including the MCP-counter algorithm, EPIC algorithm,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xCell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algorithm, CIBERSORT algorithm,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quanTIseq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algorithm, and TIMER algorithm, further verified the stability and robustness of the </w:t>
      </w:r>
      <w:proofErr w:type="spellStart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>ssGSEA</w:t>
      </w:r>
      <w:proofErr w:type="spellEnd"/>
      <w:r w:rsidRPr="00F47622">
        <w:rPr>
          <w:rFonts w:ascii="Arial" w:eastAsia="宋体" w:hAnsi="Arial" w:cs="Arial"/>
          <w:color w:val="000000" w:themeColor="text1"/>
          <w:sz w:val="24"/>
          <w:szCs w:val="24"/>
        </w:rPr>
        <w:t xml:space="preserve"> results for two CDPI groups.</w:t>
      </w:r>
    </w:p>
    <w:p w14:paraId="2354CC8F" w14:textId="77777777" w:rsidR="007365AC" w:rsidRPr="00F47622" w:rsidRDefault="007365AC">
      <w:pPr>
        <w:rPr>
          <w:rFonts w:ascii="Arial" w:hAnsi="Arial" w:cs="Arial"/>
          <w:sz w:val="24"/>
          <w:szCs w:val="24"/>
        </w:rPr>
      </w:pPr>
    </w:p>
    <w:sectPr w:rsidR="007365AC" w:rsidRPr="00F47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3015" w14:textId="77777777" w:rsidR="005975D1" w:rsidRDefault="005975D1" w:rsidP="007365AC">
      <w:pPr>
        <w:rPr>
          <w:rFonts w:hint="eastAsia"/>
        </w:rPr>
      </w:pPr>
      <w:r>
        <w:separator/>
      </w:r>
    </w:p>
  </w:endnote>
  <w:endnote w:type="continuationSeparator" w:id="0">
    <w:p w14:paraId="671E0A89" w14:textId="77777777" w:rsidR="005975D1" w:rsidRDefault="005975D1" w:rsidP="007365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EF3D" w14:textId="77777777" w:rsidR="005975D1" w:rsidRDefault="005975D1" w:rsidP="007365AC">
      <w:pPr>
        <w:rPr>
          <w:rFonts w:hint="eastAsia"/>
        </w:rPr>
      </w:pPr>
      <w:r>
        <w:separator/>
      </w:r>
    </w:p>
  </w:footnote>
  <w:footnote w:type="continuationSeparator" w:id="0">
    <w:p w14:paraId="1D5F7C3C" w14:textId="77777777" w:rsidR="005975D1" w:rsidRDefault="005975D1" w:rsidP="007365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CD"/>
    <w:rsid w:val="00025B9D"/>
    <w:rsid w:val="0003637E"/>
    <w:rsid w:val="000B5333"/>
    <w:rsid w:val="001478C2"/>
    <w:rsid w:val="0017639F"/>
    <w:rsid w:val="001B01D3"/>
    <w:rsid w:val="00201E56"/>
    <w:rsid w:val="002439BD"/>
    <w:rsid w:val="002966B2"/>
    <w:rsid w:val="00352B46"/>
    <w:rsid w:val="00361554"/>
    <w:rsid w:val="004F4429"/>
    <w:rsid w:val="005975D1"/>
    <w:rsid w:val="005C65B5"/>
    <w:rsid w:val="00627D7A"/>
    <w:rsid w:val="006D46A2"/>
    <w:rsid w:val="00713107"/>
    <w:rsid w:val="00734576"/>
    <w:rsid w:val="007365AC"/>
    <w:rsid w:val="008537CD"/>
    <w:rsid w:val="0086607A"/>
    <w:rsid w:val="00875767"/>
    <w:rsid w:val="00AC67AD"/>
    <w:rsid w:val="00B67DBB"/>
    <w:rsid w:val="00BB04B6"/>
    <w:rsid w:val="00D27F5C"/>
    <w:rsid w:val="00D879E1"/>
    <w:rsid w:val="00E5701C"/>
    <w:rsid w:val="00F2428D"/>
    <w:rsid w:val="00F37189"/>
    <w:rsid w:val="00F47622"/>
    <w:rsid w:val="00F7621E"/>
    <w:rsid w:val="00FA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30BCB7"/>
  <w15:chartTrackingRefBased/>
  <w15:docId w15:val="{D4029FB3-82E9-4195-867A-EAD8643F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5A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37C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7C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7C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7C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7C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7C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7C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7C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7C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7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3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3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37C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37C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537C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37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37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37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37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53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7C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537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37C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537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37CD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537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3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537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37C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65AC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365A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365AC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365AC"/>
    <w:rPr>
      <w:sz w:val="18"/>
      <w:szCs w:val="18"/>
    </w:rPr>
  </w:style>
  <w:style w:type="paragraph" w:customStyle="1" w:styleId="Affiliation">
    <w:name w:val="Affiliation"/>
    <w:basedOn w:val="a"/>
    <w:qFormat/>
    <w:rsid w:val="007365AC"/>
    <w:pPr>
      <w:widowControl/>
      <w:spacing w:before="240" w:line="360" w:lineRule="auto"/>
      <w:jc w:val="left"/>
    </w:pPr>
    <w:rPr>
      <w:rFonts w:ascii="Times New Roman" w:eastAsia="等线" w:hAnsi="Times New Roman" w:cs="Times New Roman"/>
      <w:i/>
      <w:kern w:val="0"/>
      <w:sz w:val="24"/>
      <w:szCs w:val="24"/>
      <w:lang w:val="en-GB" w:eastAsia="en-GB"/>
    </w:rPr>
  </w:style>
  <w:style w:type="character" w:styleId="af2">
    <w:name w:val="Hyperlink"/>
    <w:uiPriority w:val="99"/>
    <w:unhideWhenUsed/>
    <w:qFormat/>
    <w:rsid w:val="00734576"/>
    <w:rPr>
      <w:color w:val="0026E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houxl115@126.com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1182194916@qq.com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飞凡 唐</dc:creator>
  <cp:keywords/>
  <dc:description/>
  <cp:lastModifiedBy>飞凡 唐</cp:lastModifiedBy>
  <cp:revision>12</cp:revision>
  <dcterms:created xsi:type="dcterms:W3CDTF">2026-04-16T11:01:00Z</dcterms:created>
  <dcterms:modified xsi:type="dcterms:W3CDTF">2026-07-07T08:22:00Z</dcterms:modified>
</cp:coreProperties>
</file>