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820DD" w14:textId="77777777" w:rsidR="00401B1C" w:rsidRDefault="00401B1C" w:rsidP="00401B1C">
      <w:pPr>
        <w:spacing w:line="360" w:lineRule="auto"/>
        <w:ind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u</w:t>
      </w:r>
      <w:r>
        <w:rPr>
          <w:rFonts w:ascii="Times New Roman" w:hAnsi="Times New Roman" w:cs="Times New Roman"/>
        </w:rPr>
        <w:t>pplementary Material</w:t>
      </w:r>
    </w:p>
    <w:p w14:paraId="3311CBE7" w14:textId="77777777" w:rsidR="00401B1C" w:rsidRDefault="00401B1C" w:rsidP="00401B1C">
      <w:pPr>
        <w:spacing w:line="360" w:lineRule="auto"/>
        <w:ind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A47841E" wp14:editId="64A45534">
            <wp:simplePos x="0" y="0"/>
            <wp:positionH relativeFrom="column">
              <wp:posOffset>111369</wp:posOffset>
            </wp:positionH>
            <wp:positionV relativeFrom="paragraph">
              <wp:posOffset>40737</wp:posOffset>
            </wp:positionV>
            <wp:extent cx="5274310" cy="6518275"/>
            <wp:effectExtent l="0" t="0" r="2540" b="0"/>
            <wp:wrapTopAndBottom/>
            <wp:docPr id="90599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950" name="图片 905995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1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81C15" w14:textId="77777777" w:rsidR="00401B1C" w:rsidRPr="00C923E8" w:rsidRDefault="00401B1C" w:rsidP="00401B1C">
      <w:pPr>
        <w:spacing w:line="360" w:lineRule="auto"/>
        <w:ind w:firstLine="480"/>
        <w:jc w:val="both"/>
        <w:rPr>
          <w:rFonts w:ascii="Times New Roman" w:hAnsi="Times New Roman" w:cs="Times New Roman"/>
          <w:sz w:val="21"/>
          <w:szCs w:val="21"/>
        </w:rPr>
      </w:pPr>
      <w:r w:rsidRPr="00C923E8">
        <w:rPr>
          <w:rFonts w:ascii="Times New Roman" w:hAnsi="Times New Roman" w:cs="Times New Roman"/>
          <w:sz w:val="21"/>
          <w:szCs w:val="21"/>
        </w:rPr>
        <w:t>S</w:t>
      </w:r>
      <w:r w:rsidRPr="00C923E8">
        <w:rPr>
          <w:rFonts w:ascii="Times New Roman" w:hAnsi="Times New Roman" w:cs="Times New Roman" w:hint="eastAsia"/>
          <w:sz w:val="21"/>
          <w:szCs w:val="21"/>
        </w:rPr>
        <w:t>upp</w:t>
      </w:r>
      <w:r w:rsidRPr="00C923E8">
        <w:rPr>
          <w:rFonts w:ascii="Times New Roman" w:hAnsi="Times New Roman" w:cs="Times New Roman"/>
          <w:sz w:val="21"/>
          <w:szCs w:val="21"/>
        </w:rPr>
        <w:t>lementary Figure1</w:t>
      </w:r>
      <w:r w:rsidRPr="00C923E8">
        <w:rPr>
          <w:rFonts w:ascii="Times New Roman" w:hAnsi="Times New Roman" w:cs="Times New Roman" w:hint="eastAsia"/>
          <w:sz w:val="21"/>
          <w:szCs w:val="21"/>
        </w:rPr>
        <w:t>.</w:t>
      </w:r>
      <w:r w:rsidRPr="00C923E8">
        <w:rPr>
          <w:rFonts w:ascii="Times New Roman" w:hAnsi="Times New Roman" w:cs="Times New Roman"/>
          <w:sz w:val="21"/>
          <w:szCs w:val="21"/>
        </w:rPr>
        <w:t xml:space="preserve"> Integrated multi-omics analysis of esophageal transcriptome and serum/hypothalamic metabolome in M, P, and MP groups</w:t>
      </w:r>
    </w:p>
    <w:p w14:paraId="450A17BF" w14:textId="33EA3031" w:rsidR="00443B50" w:rsidRDefault="00401B1C" w:rsidP="00401B1C">
      <w:pPr>
        <w:rPr>
          <w:rFonts w:hint="eastAsia"/>
        </w:rPr>
      </w:pPr>
      <w:r w:rsidRPr="00C923E8">
        <w:rPr>
          <w:rFonts w:ascii="Times New Roman" w:hAnsi="Times New Roman" w:cs="Times New Roman"/>
          <w:b/>
          <w:bCs/>
          <w:sz w:val="21"/>
          <w:szCs w:val="21"/>
        </w:rPr>
        <w:t>(A–B) Esophageal transcriptomic profiling.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923E8">
        <w:rPr>
          <w:rFonts w:ascii="Times New Roman" w:hAnsi="Times New Roman" w:cs="Times New Roman"/>
          <w:sz w:val="21"/>
          <w:szCs w:val="21"/>
        </w:rPr>
        <w:t>(A) Volcano plot showing differentially expressed genes (DEGs) in esophageal tissues in the MP versus M comparison. In total, 512 upregulated genes (red), 386 downregulated genes (blue), and 20,019 non-significant genes (gray) were identified with the screening thresholds of |</w:t>
      </w:r>
      <w:proofErr w:type="spellStart"/>
      <w:r w:rsidRPr="00C923E8">
        <w:rPr>
          <w:rFonts w:ascii="Times New Roman" w:hAnsi="Times New Roman" w:cs="Times New Roman"/>
          <w:sz w:val="21"/>
          <w:szCs w:val="21"/>
        </w:rPr>
        <w:t>log₂FC</w:t>
      </w:r>
      <w:proofErr w:type="spellEnd"/>
      <w:r w:rsidRPr="00C923E8">
        <w:rPr>
          <w:rFonts w:ascii="Times New Roman" w:hAnsi="Times New Roman" w:cs="Times New Roman"/>
          <w:sz w:val="21"/>
          <w:szCs w:val="21"/>
        </w:rPr>
        <w:t>| ≥ 1 and adjusted P &lt; 0.05.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923E8">
        <w:rPr>
          <w:rFonts w:ascii="Times New Roman" w:hAnsi="Times New Roman" w:cs="Times New Roman"/>
          <w:sz w:val="21"/>
          <w:szCs w:val="21"/>
        </w:rPr>
        <w:t xml:space="preserve">(B) Volcano plot of esophageal DEGs in the P versus M comparison. Under identical statistical criteria, 352 </w:t>
      </w:r>
      <w:r w:rsidRPr="00C923E8">
        <w:rPr>
          <w:rFonts w:ascii="Times New Roman" w:hAnsi="Times New Roman" w:cs="Times New Roman"/>
          <w:sz w:val="21"/>
          <w:szCs w:val="21"/>
        </w:rPr>
        <w:lastRenderedPageBreak/>
        <w:t>upregulated, 475 downregulated, and 19,630 non-significant genes were detected.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923E8">
        <w:rPr>
          <w:rFonts w:ascii="Times New Roman" w:hAnsi="Times New Roman" w:cs="Times New Roman"/>
          <w:b/>
          <w:bCs/>
          <w:sz w:val="21"/>
          <w:szCs w:val="21"/>
        </w:rPr>
        <w:t>(C–F) Serum metabolomic profiling.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C923E8">
        <w:rPr>
          <w:rFonts w:ascii="Times New Roman" w:hAnsi="Times New Roman" w:cs="Times New Roman"/>
          <w:sz w:val="21"/>
          <w:szCs w:val="21"/>
        </w:rPr>
        <w:t>(C) Partial least squares discriminant analysis (PLS-DA) score plot of serum metabolites. A clear metabolic separation was observed between the MP and M groups (R² = 0.3246, P = 0.002), indicating robust systemic metabolic dysregulation induced by combined stress intervention.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923E8">
        <w:rPr>
          <w:rFonts w:ascii="Times New Roman" w:hAnsi="Times New Roman" w:cs="Times New Roman"/>
          <w:sz w:val="21"/>
          <w:szCs w:val="21"/>
        </w:rPr>
        <w:t>(D) Volcano plot illustrating differentially abundant serum metabolites in the MP vs M group comparison.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923E8">
        <w:rPr>
          <w:rFonts w:ascii="Times New Roman" w:hAnsi="Times New Roman" w:cs="Times New Roman"/>
          <w:sz w:val="21"/>
          <w:szCs w:val="21"/>
        </w:rPr>
        <w:t>(E) Volcano plot of altered serum metabolites in the P vs M group comparison.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923E8">
        <w:rPr>
          <w:rFonts w:ascii="Times New Roman" w:hAnsi="Times New Roman" w:cs="Times New Roman"/>
          <w:sz w:val="21"/>
          <w:szCs w:val="21"/>
        </w:rPr>
        <w:t>(F) KEGG pathway enrichment analysis of differential serum metabolites. Significantly enriched pathways included protein digestion and absorption, PPAR signaling pathway, steroid hormone biosynthesis,</w:t>
      </w:r>
      <w:r>
        <w:rPr>
          <w:rFonts w:ascii="Times New Roman" w:hAnsi="Times New Roman" w:cs="Times New Roman" w:hint="eastAsia"/>
          <w:sz w:val="21"/>
          <w:szCs w:val="21"/>
        </w:rPr>
        <w:t xml:space="preserve"> and etc</w:t>
      </w:r>
      <w:r w:rsidRPr="00C923E8">
        <w:rPr>
          <w:rFonts w:ascii="Times New Roman" w:hAnsi="Times New Roman" w:cs="Times New Roman"/>
          <w:sz w:val="21"/>
          <w:szCs w:val="21"/>
        </w:rPr>
        <w:t xml:space="preserve">. </w:t>
      </w:r>
      <w:r w:rsidRPr="00C923E8">
        <w:rPr>
          <w:rFonts w:ascii="Times New Roman" w:hAnsi="Times New Roman" w:cs="Times New Roman"/>
          <w:b/>
          <w:bCs/>
          <w:sz w:val="21"/>
          <w:szCs w:val="21"/>
        </w:rPr>
        <w:t>(G–K) Hypothalamic metabolomic profiling.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923E8">
        <w:rPr>
          <w:rFonts w:ascii="Times New Roman" w:hAnsi="Times New Roman" w:cs="Times New Roman"/>
          <w:sz w:val="21"/>
          <w:szCs w:val="21"/>
        </w:rPr>
        <w:t>(G) PLS-DA score plot of hypothalamic metabolites showing distinct metabolic separation between the MP and M groups.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923E8">
        <w:rPr>
          <w:rFonts w:ascii="Times New Roman" w:hAnsi="Times New Roman" w:cs="Times New Roman"/>
          <w:sz w:val="21"/>
          <w:szCs w:val="21"/>
        </w:rPr>
        <w:t xml:space="preserve">(H) PLS-DA score plot demonstrating significant hypothalamic metabolic profiling differences between the P and M </w:t>
      </w:r>
      <w:proofErr w:type="gramStart"/>
      <w:r w:rsidRPr="00C923E8">
        <w:rPr>
          <w:rFonts w:ascii="Times New Roman" w:hAnsi="Times New Roman" w:cs="Times New Roman"/>
          <w:sz w:val="21"/>
          <w:szCs w:val="21"/>
        </w:rPr>
        <w:t>groups.(</w:t>
      </w:r>
      <w:proofErr w:type="gramEnd"/>
      <w:r w:rsidRPr="00C923E8">
        <w:rPr>
          <w:rFonts w:ascii="Times New Roman" w:hAnsi="Times New Roman" w:cs="Times New Roman"/>
          <w:sz w:val="21"/>
          <w:szCs w:val="21"/>
        </w:rPr>
        <w:t xml:space="preserve">I) Volcano plot of differentially expressed hypothalamic metabolites in the MP vs M </w:t>
      </w:r>
      <w:proofErr w:type="gramStart"/>
      <w:r w:rsidRPr="00C923E8">
        <w:rPr>
          <w:rFonts w:ascii="Times New Roman" w:hAnsi="Times New Roman" w:cs="Times New Roman"/>
          <w:sz w:val="21"/>
          <w:szCs w:val="21"/>
        </w:rPr>
        <w:t>comparison.(</w:t>
      </w:r>
      <w:proofErr w:type="gramEnd"/>
      <w:r w:rsidRPr="00C923E8">
        <w:rPr>
          <w:rFonts w:ascii="Times New Roman" w:hAnsi="Times New Roman" w:cs="Times New Roman"/>
          <w:sz w:val="21"/>
          <w:szCs w:val="21"/>
        </w:rPr>
        <w:t xml:space="preserve">J) Volcano plot of altered hypothalamic metabolites in the P vs M </w:t>
      </w:r>
      <w:proofErr w:type="gramStart"/>
      <w:r w:rsidRPr="00C923E8">
        <w:rPr>
          <w:rFonts w:ascii="Times New Roman" w:hAnsi="Times New Roman" w:cs="Times New Roman"/>
          <w:sz w:val="21"/>
          <w:szCs w:val="21"/>
        </w:rPr>
        <w:t>comparison.(</w:t>
      </w:r>
      <w:proofErr w:type="gramEnd"/>
      <w:r w:rsidRPr="00C923E8">
        <w:rPr>
          <w:rFonts w:ascii="Times New Roman" w:hAnsi="Times New Roman" w:cs="Times New Roman"/>
          <w:sz w:val="21"/>
          <w:szCs w:val="21"/>
        </w:rPr>
        <w:t xml:space="preserve">K) KEGG pathway enrichment analysis of differential hypothalamic metabolites. The core enriched pathways encompassed </w:t>
      </w:r>
      <w:r>
        <w:rPr>
          <w:rFonts w:ascii="Times New Roman" w:hAnsi="Times New Roman" w:cs="Times New Roman" w:hint="eastAsia"/>
          <w:sz w:val="21"/>
          <w:szCs w:val="21"/>
        </w:rPr>
        <w:t>Choline metabolism in cancer, Glycerophospholipid metabolism, and etc.</w:t>
      </w:r>
    </w:p>
    <w:sectPr w:rsidR="00443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1C"/>
    <w:rsid w:val="00086587"/>
    <w:rsid w:val="00401B1C"/>
    <w:rsid w:val="00443B50"/>
    <w:rsid w:val="0094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B2F30"/>
  <w15:chartTrackingRefBased/>
  <w15:docId w15:val="{21665349-E0B6-4055-8B32-7D6A9EA0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B1C"/>
    <w:rPr>
      <w:rFonts w:ascii="宋体" w:eastAsia="宋体" w:hAnsi="宋体" w:cs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1B1C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B1C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B1C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B1C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B1C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B1C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B1C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B1C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B1C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B1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01B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01B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01B1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01B1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01B1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01B1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01B1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01B1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01B1C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01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1B1C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01B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1B1C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401B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1B1C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a">
    <w:name w:val="Intense Emphasis"/>
    <w:basedOn w:val="a0"/>
    <w:uiPriority w:val="21"/>
    <w:qFormat/>
    <w:rsid w:val="00401B1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1B1C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401B1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01B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LI</dc:creator>
  <cp:keywords/>
  <dc:description/>
  <cp:lastModifiedBy>M LI</cp:lastModifiedBy>
  <cp:revision>1</cp:revision>
  <dcterms:created xsi:type="dcterms:W3CDTF">2026-07-22T14:28:00Z</dcterms:created>
  <dcterms:modified xsi:type="dcterms:W3CDTF">2026-07-22T14:28:00Z</dcterms:modified>
</cp:coreProperties>
</file>