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55" w:rsidRPr="00571F55" w:rsidRDefault="00571F55" w:rsidP="00571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CARE Checklist for Case Report</w:t>
      </w:r>
    </w:p>
    <w:tbl>
      <w:tblPr>
        <w:tblW w:w="95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5"/>
        <w:gridCol w:w="5220"/>
        <w:gridCol w:w="1904"/>
      </w:tblGrid>
      <w:tr w:rsidR="00571F55" w:rsidRPr="00571F55" w:rsidTr="00571F55">
        <w:trPr>
          <w:trHeight w:val="579"/>
          <w:tblHeader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CARE Item</w:t>
            </w:r>
          </w:p>
        </w:tc>
        <w:tc>
          <w:tcPr>
            <w:tcW w:w="5190" w:type="dxa"/>
            <w:tcBorders>
              <w:top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Location in Manuscript</w:t>
            </w:r>
          </w:p>
        </w:tc>
      </w:tr>
      <w:tr w:rsidR="00571F55" w:rsidRPr="00571F55" w:rsidTr="00571F55">
        <w:trPr>
          <w:trHeight w:val="1105"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Title, Keywords, and Abstract</w:t>
            </w:r>
          </w:p>
        </w:tc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The title identifies the report as a case report. The abstract includes the background, case presentation, and conclusion with key clinical findings and learning message.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Title page; Abstract</w:t>
            </w:r>
          </w:p>
        </w:tc>
      </w:tr>
      <w:tr w:rsidR="00571F55" w:rsidRPr="00571F55" w:rsidTr="00571F55">
        <w:trPr>
          <w:trHeight w:val="824"/>
          <w:tblCellSpacing w:w="15" w:type="dxa"/>
        </w:trPr>
        <w:tc>
          <w:tcPr>
            <w:tcW w:w="2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5190" w:type="dxa"/>
            <w:tcBorders>
              <w:bottom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 xml:space="preserve">Brief background on left ventricular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pseudoaneurysm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>, its clinical significance, and rationale for reporting this case.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Background</w:t>
            </w:r>
          </w:p>
        </w:tc>
      </w:tr>
      <w:tr w:rsidR="00571F55" w:rsidRPr="00571F55" w:rsidTr="00571F55">
        <w:trPr>
          <w:trHeight w:val="843"/>
          <w:tblCellSpacing w:w="15" w:type="dxa"/>
        </w:trPr>
        <w:tc>
          <w:tcPr>
            <w:tcW w:w="23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Patient Information and Clinical Findings</w:t>
            </w:r>
          </w:p>
        </w:tc>
        <w:tc>
          <w:tcPr>
            <w:tcW w:w="5190" w:type="dxa"/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Patient demographics, relevant medical history, presenting symptoms, physical examination, and initial clinical assessment.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Case Presentation</w:t>
            </w:r>
          </w:p>
        </w:tc>
      </w:tr>
      <w:tr w:rsidR="00571F55" w:rsidRPr="00571F55" w:rsidTr="00571F55">
        <w:trPr>
          <w:trHeight w:val="843"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Timeline</w:t>
            </w:r>
          </w:p>
        </w:tc>
        <w:tc>
          <w:tcPr>
            <w:tcW w:w="5190" w:type="dxa"/>
            <w:tcBorders>
              <w:top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Chronological summary of major clinical events from myocardial infarction through diagnosis, surgery, and follow-up.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Table 1 (Timeline of Clinical Events)</w:t>
            </w:r>
          </w:p>
        </w:tc>
      </w:tr>
      <w:tr w:rsidR="00571F55" w:rsidRPr="00571F55" w:rsidTr="00571F55">
        <w:trPr>
          <w:trHeight w:val="843"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Diagnostic Assessment</w:t>
            </w:r>
          </w:p>
        </w:tc>
        <w:tc>
          <w:tcPr>
            <w:tcW w:w="5190" w:type="dxa"/>
            <w:tcBorders>
              <w:top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 xml:space="preserve">Electrocardiography,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transthoracic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 xml:space="preserve"> echocardiography, cardiac magnetic resonance imaging, coronary angiography, differential diagnosis, and final diagnosis.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Case Presentation; Figures 1–3</w:t>
            </w:r>
          </w:p>
        </w:tc>
      </w:tr>
      <w:tr w:rsidR="00571F55" w:rsidRPr="00571F55" w:rsidTr="00571F55">
        <w:trPr>
          <w:trHeight w:val="1105"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Therapeutic Intervention</w:t>
            </w:r>
          </w:p>
        </w:tc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 xml:space="preserve">Surgical management with isolated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Dor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endoventricular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 xml:space="preserve"> circular patch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plasty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 xml:space="preserve"> using a bovine pericardial patch, including rationale for not performing concomitant CABG.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Case Presentation; Figure 4</w:t>
            </w:r>
          </w:p>
        </w:tc>
      </w:tr>
      <w:tr w:rsidR="00571F55" w:rsidRPr="00571F55" w:rsidTr="00571F55">
        <w:trPr>
          <w:trHeight w:val="843"/>
          <w:tblCellSpacing w:w="15" w:type="dxa"/>
        </w:trPr>
        <w:tc>
          <w:tcPr>
            <w:tcW w:w="23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Follow-up and Outcomes</w:t>
            </w:r>
          </w:p>
        </w:tc>
        <w:tc>
          <w:tcPr>
            <w:tcW w:w="5190" w:type="dxa"/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 xml:space="preserve">Clinical and </w:t>
            </w:r>
            <w:proofErr w:type="spellStart"/>
            <w:r w:rsidRPr="00571F55">
              <w:rPr>
                <w:rFonts w:ascii="Times New Roman" w:eastAsia="Times New Roman" w:hAnsi="Times New Roman" w:cs="Times New Roman"/>
              </w:rPr>
              <w:t>echocardiographic</w:t>
            </w:r>
            <w:proofErr w:type="spellEnd"/>
            <w:r w:rsidRPr="00571F55">
              <w:rPr>
                <w:rFonts w:ascii="Times New Roman" w:eastAsia="Times New Roman" w:hAnsi="Times New Roman" w:cs="Times New Roman"/>
              </w:rPr>
              <w:t xml:space="preserve"> outcomes during hospitalization and at 7 days, 1 month, 3 months, and 6 months after surgery.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Case Presentation; Figure 5</w:t>
            </w:r>
          </w:p>
        </w:tc>
      </w:tr>
      <w:tr w:rsidR="00571F55" w:rsidRPr="00571F55" w:rsidTr="00571F55">
        <w:trPr>
          <w:trHeight w:val="843"/>
          <w:tblCellSpacing w:w="15" w:type="dxa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Interpretation of findings, comparison with published literature, strengths and limitations of the case, and clinical implications.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Discussion</w:t>
            </w:r>
          </w:p>
        </w:tc>
      </w:tr>
      <w:tr w:rsidR="00571F55" w:rsidRPr="00571F55" w:rsidTr="00571F55">
        <w:trPr>
          <w:trHeight w:val="824"/>
          <w:tblCellSpacing w:w="15" w:type="dxa"/>
        </w:trPr>
        <w:tc>
          <w:tcPr>
            <w:tcW w:w="2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  <w:b/>
                <w:bCs/>
              </w:rPr>
              <w:t>Patient Perspective, Informed Consent, and Ethical Considerations</w:t>
            </w:r>
          </w:p>
        </w:tc>
        <w:tc>
          <w:tcPr>
            <w:tcW w:w="5190" w:type="dxa"/>
            <w:tcBorders>
              <w:bottom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Written informed consent obtained for publication. Patient perspective included (if applicable).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55" w:rsidRPr="00571F55" w:rsidRDefault="00571F55" w:rsidP="00571F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1F55">
              <w:rPr>
                <w:rFonts w:ascii="Times New Roman" w:eastAsia="Times New Roman" w:hAnsi="Times New Roman" w:cs="Times New Roman"/>
              </w:rPr>
              <w:t>Patient Perspective; Consent Statement</w:t>
            </w:r>
          </w:p>
        </w:tc>
      </w:tr>
    </w:tbl>
    <w:p w:rsidR="003F7437" w:rsidRPr="003F7437" w:rsidRDefault="003F7437" w:rsidP="003F7437">
      <w:pPr>
        <w:rPr>
          <w:rFonts w:ascii="Times New Roman" w:hAnsi="Times New Roman" w:cs="Times New Roman"/>
          <w:sz w:val="24"/>
          <w:szCs w:val="24"/>
        </w:rPr>
      </w:pPr>
    </w:p>
    <w:sectPr w:rsidR="003F7437" w:rsidRPr="003F7437" w:rsidSect="00D45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3F7437"/>
    <w:rsid w:val="003F7437"/>
    <w:rsid w:val="00571F55"/>
    <w:rsid w:val="007274C9"/>
    <w:rsid w:val="00D4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827"/>
  </w:style>
  <w:style w:type="paragraph" w:styleId="Heading3">
    <w:name w:val="heading 3"/>
    <w:basedOn w:val="Normal"/>
    <w:link w:val="Heading3Char"/>
    <w:uiPriority w:val="9"/>
    <w:qFormat/>
    <w:rsid w:val="00571F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1F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71F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2026-07-07T06:25:00Z</dcterms:created>
  <dcterms:modified xsi:type="dcterms:W3CDTF">2026-07-07T06:25:00Z</dcterms:modified>
</cp:coreProperties>
</file>