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D663" w14:textId="77777777" w:rsidR="00010453" w:rsidRDefault="00010453" w:rsidP="00010453">
      <w:pPr>
        <w:pStyle w:val="Heading1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Material</w:t>
      </w:r>
    </w:p>
    <w:p w14:paraId="255D4F4F" w14:textId="77777777" w:rsidR="00010453" w:rsidRDefault="00010453" w:rsidP="00010453">
      <w:pPr>
        <w:pStyle w:val="Heading2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S1. Model Equations and Coefficients</w:t>
      </w:r>
    </w:p>
    <w:p w14:paraId="07B85E26" w14:textId="77777777" w:rsidR="00010453" w:rsidRDefault="00010453" w:rsidP="00010453">
      <w:pPr>
        <w:spacing w:line="480" w:lineRule="auto"/>
        <w:ind w:firstLine="720"/>
        <w:jc w:val="both"/>
      </w:pPr>
      <w:r w:rsidRPr="560531A9">
        <w:rPr>
          <w:color w:val="000000"/>
          <w:lang w:val="en-US"/>
        </w:rPr>
        <w:t xml:space="preserve">ASCVD (2013 PCE, Goff et al.): The pooled cohort equations employ sex- and race-specific Cox regression models. For White women: log-hazard = 12.344 × ln(age) + 11.853 × </w:t>
      </w:r>
      <w:proofErr w:type="gramStart"/>
      <w:r w:rsidRPr="560531A9">
        <w:rPr>
          <w:color w:val="000000"/>
          <w:lang w:val="en-US"/>
        </w:rPr>
        <w:t>ln(</w:t>
      </w:r>
      <w:proofErr w:type="gramEnd"/>
      <w:r w:rsidRPr="560531A9">
        <w:rPr>
          <w:color w:val="000000"/>
          <w:lang w:val="en-US"/>
        </w:rPr>
        <w:t xml:space="preserve">total cholesterol) − 2.664 × </w:t>
      </w:r>
      <w:proofErr w:type="gramStart"/>
      <w:r w:rsidRPr="560531A9">
        <w:rPr>
          <w:color w:val="000000"/>
          <w:lang w:val="en-US"/>
        </w:rPr>
        <w:t>ln(</w:t>
      </w:r>
      <w:proofErr w:type="gramEnd"/>
      <w:r w:rsidRPr="560531A9">
        <w:rPr>
          <w:color w:val="000000"/>
          <w:lang w:val="en-US"/>
        </w:rPr>
        <w:t>HDL cholesterol) + ... [full equation as published in Goff et al., 2014, Table A]. Risk = 1 − 0.9665^</w:t>
      </w:r>
      <w:proofErr w:type="gramStart"/>
      <w:r w:rsidRPr="560531A9">
        <w:rPr>
          <w:color w:val="000000"/>
          <w:lang w:val="en-US"/>
        </w:rPr>
        <w:t>exp(</w:t>
      </w:r>
      <w:proofErr w:type="gramEnd"/>
      <w:r w:rsidRPr="560531A9">
        <w:rPr>
          <w:color w:val="000000"/>
          <w:lang w:val="en-US"/>
        </w:rPr>
        <w:t xml:space="preserve">sum − </w:t>
      </w:r>
      <w:proofErr w:type="spellStart"/>
      <w:r w:rsidRPr="560531A9">
        <w:rPr>
          <w:color w:val="000000"/>
          <w:lang w:val="en-US"/>
        </w:rPr>
        <w:t>mean_coeff</w:t>
      </w:r>
      <w:proofErr w:type="spellEnd"/>
      <w:r w:rsidRPr="560531A9">
        <w:rPr>
          <w:color w:val="000000"/>
          <w:lang w:val="en-US"/>
        </w:rPr>
        <w:t xml:space="preserve">). Analogous equations apply for White men, </w:t>
      </w:r>
      <w:proofErr w:type="gramStart"/>
      <w:r w:rsidRPr="560531A9">
        <w:rPr>
          <w:color w:val="000000"/>
          <w:lang w:val="en-US"/>
        </w:rPr>
        <w:t>African-American</w:t>
      </w:r>
      <w:proofErr w:type="gramEnd"/>
      <w:r w:rsidRPr="560531A9">
        <w:rPr>
          <w:color w:val="000000"/>
          <w:lang w:val="en-US"/>
        </w:rPr>
        <w:t xml:space="preserve"> women, and </w:t>
      </w:r>
      <w:proofErr w:type="gramStart"/>
      <w:r w:rsidRPr="560531A9">
        <w:rPr>
          <w:color w:val="000000"/>
          <w:lang w:val="en-US"/>
        </w:rPr>
        <w:t>African-American</w:t>
      </w:r>
      <w:proofErr w:type="gramEnd"/>
      <w:r w:rsidRPr="560531A9">
        <w:rPr>
          <w:color w:val="000000"/>
          <w:lang w:val="en-US"/>
        </w:rPr>
        <w:t xml:space="preserve"> men. All other race/ethnicity groups were handled using White equations as specified in the original publication.</w:t>
      </w:r>
    </w:p>
    <w:p w14:paraId="4700801E" w14:textId="77777777" w:rsidR="00010453" w:rsidRDefault="00010453" w:rsidP="00010453">
      <w:pPr>
        <w:spacing w:line="480" w:lineRule="auto"/>
        <w:ind w:firstLine="720"/>
        <w:jc w:val="both"/>
      </w:pPr>
      <w:r w:rsidRPr="560531A9">
        <w:rPr>
          <w:color w:val="000000"/>
        </w:rPr>
        <w:t>FRS (2008, D'Agostino et al.): Weibull survival model. Separate equations for men and women. Predictors: age, total cholesterol, HDL cholesterol, systolic blood pressure (treated/untreated), smoking, diabetes. Risk categories: Low &lt;10%, Intermediate 10-20%, High &gt;20%.</w:t>
      </w:r>
    </w:p>
    <w:p w14:paraId="793FCE18" w14:textId="77777777" w:rsidR="00010453" w:rsidRDefault="00010453" w:rsidP="00010453">
      <w:pPr>
        <w:spacing w:line="480" w:lineRule="auto"/>
        <w:ind w:firstLine="720"/>
        <w:jc w:val="both"/>
      </w:pPr>
      <w:proofErr w:type="spellStart"/>
      <w:r w:rsidRPr="560531A9">
        <w:rPr>
          <w:color w:val="000000"/>
          <w:lang w:val="en-US"/>
        </w:rPr>
        <w:t>Globorisk</w:t>
      </w:r>
      <w:proofErr w:type="spellEnd"/>
      <w:r w:rsidRPr="560531A9">
        <w:rPr>
          <w:color w:val="000000"/>
          <w:lang w:val="en-US"/>
        </w:rPr>
        <w:t xml:space="preserve"> (UK-specific calibration, </w:t>
      </w:r>
      <w:proofErr w:type="spellStart"/>
      <w:r w:rsidRPr="560531A9">
        <w:rPr>
          <w:color w:val="000000"/>
          <w:lang w:val="en-US"/>
        </w:rPr>
        <w:t>Hajifathalian</w:t>
      </w:r>
      <w:proofErr w:type="spellEnd"/>
      <w:r w:rsidRPr="560531A9">
        <w:rPr>
          <w:color w:val="000000"/>
          <w:lang w:val="en-US"/>
        </w:rPr>
        <w:t xml:space="preserve"> et al., 2015): Country-specific calibration applied to the pooled hazard model using UK national CVD mortality rates and risk factor distributions as published in the online supplementary data of </w:t>
      </w:r>
      <w:proofErr w:type="spellStart"/>
      <w:r w:rsidRPr="560531A9">
        <w:rPr>
          <w:color w:val="000000"/>
          <w:lang w:val="en-US"/>
        </w:rPr>
        <w:t>Hajifathalian</w:t>
      </w:r>
      <w:proofErr w:type="spellEnd"/>
      <w:r w:rsidRPr="560531A9">
        <w:rPr>
          <w:color w:val="000000"/>
          <w:lang w:val="en-US"/>
        </w:rPr>
        <w:t xml:space="preserve"> et al. The baseline survival probability and mean risk factor levels were updated to UK-specific values.</w:t>
      </w:r>
    </w:p>
    <w:p w14:paraId="1FD26EB3" w14:textId="77777777" w:rsidR="00010453" w:rsidRDefault="00010453" w:rsidP="00010453">
      <w:pPr>
        <w:spacing w:line="480" w:lineRule="auto"/>
        <w:ind w:firstLine="720"/>
        <w:jc w:val="both"/>
      </w:pPr>
      <w:r w:rsidRPr="560531A9">
        <w:rPr>
          <w:color w:val="000000"/>
          <w:lang w:val="en-US"/>
        </w:rPr>
        <w:t xml:space="preserve">PREVENT (2023, Khan et al., AHA): Age- and sex-specific logistic models incorporating systolic blood pressure, total cholesterol, HDL cholesterol, statin use, antihypertensive use, diabetes, smoking, BMI, eGFR, and urine albumin-to-creatinine ratio where available. Total CVD score </w:t>
      </w:r>
      <w:proofErr w:type="gramStart"/>
      <w:r w:rsidRPr="560531A9">
        <w:rPr>
          <w:color w:val="000000"/>
          <w:lang w:val="en-US"/>
        </w:rPr>
        <w:t>used</w:t>
      </w:r>
      <w:proofErr w:type="gramEnd"/>
      <w:r w:rsidRPr="560531A9">
        <w:rPr>
          <w:color w:val="000000"/>
          <w:lang w:val="en-US"/>
        </w:rPr>
        <w:t xml:space="preserve"> in this analysis. Risk categories: Low &lt;5%, Borderline 5-7.4%, Intermediate 7.5-14.9%, High ≥15%.</w:t>
      </w:r>
    </w:p>
    <w:p w14:paraId="61C58C90" w14:textId="1B6F17CD" w:rsidR="00022B99" w:rsidRPr="00010453" w:rsidRDefault="00022B99">
      <w:pPr>
        <w:rPr>
          <w:lang w:val="en-US"/>
        </w:rPr>
      </w:pPr>
    </w:p>
    <w:sectPr w:rsidR="00022B99" w:rsidRPr="00010453" w:rsidSect="00010453">
      <w:headerReference w:type="default" r:id="rId4"/>
      <w:footerReference w:type="default" r:id="rId5"/>
      <w:pgSz w:w="12240" w:h="15840"/>
      <w:pgMar w:top="1800" w:right="1800" w:bottom="1800" w:left="1800" w:header="708" w:footer="708" w:gutter="0"/>
      <w:cols w:space="17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D59A" w14:textId="77777777" w:rsidR="00010453" w:rsidRDefault="00010453" w:rsidP="560531A9">
    <w:pPr>
      <w:pStyle w:val="Footer"/>
      <w:jc w:val="center"/>
      <w:rPr>
        <w:sz w:val="20"/>
        <w:szCs w:val="20"/>
      </w:rPr>
    </w:pPr>
    <w:r w:rsidRPr="560531A9">
      <w:rPr>
        <w:sz w:val="20"/>
        <w:szCs w:val="20"/>
      </w:rPr>
      <w:t xml:space="preserve">Page </w:t>
    </w:r>
    <w:r w:rsidRPr="560531A9">
      <w:rPr>
        <w:sz w:val="20"/>
        <w:szCs w:val="20"/>
      </w:rPr>
      <w:fldChar w:fldCharType="begin"/>
    </w:r>
    <w:r>
      <w:instrText>PAGE</w:instrText>
    </w:r>
    <w:r w:rsidRPr="560531A9">
      <w:fldChar w:fldCharType="separate"/>
    </w:r>
    <w:r w:rsidRPr="560531A9">
      <w:rPr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85CB" w14:textId="77777777" w:rsidR="00010453" w:rsidRDefault="00010453" w:rsidP="560531A9">
    <w:pPr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53"/>
    <w:rsid w:val="00010453"/>
    <w:rsid w:val="00022B99"/>
    <w:rsid w:val="00510144"/>
    <w:rsid w:val="0074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A666"/>
  <w15:chartTrackingRefBased/>
  <w15:docId w15:val="{C935A135-D234-470E-8EE4-2A9FC7BB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5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104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104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4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4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4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4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4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4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4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0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0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4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0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4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0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4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0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45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10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453"/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1388</Characters>
  <Application>Microsoft Office Word</Application>
  <DocSecurity>0</DocSecurity>
  <Lines>35</Lines>
  <Paragraphs>21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Deepthi Prasad</dc:creator>
  <cp:keywords/>
  <dc:description/>
  <cp:lastModifiedBy>Deepthi Prasad</cp:lastModifiedBy>
  <cp:revision>1</cp:revision>
  <dcterms:created xsi:type="dcterms:W3CDTF">2026-07-07T06:26:00Z</dcterms:created>
  <dcterms:modified xsi:type="dcterms:W3CDTF">2026-07-07T06:26:00Z</dcterms:modified>
</cp:coreProperties>
</file>