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13760" w14:textId="77777777" w:rsidR="00BF676B" w:rsidRPr="009934C7" w:rsidRDefault="00BF676B" w:rsidP="00BF676B">
      <w:pPr>
        <w:pStyle w:val="ANMapapertitle"/>
        <w:jc w:val="both"/>
        <w:rPr>
          <w:rStyle w:val="ANMmaintextCarCar"/>
          <w:rFonts w:ascii="Times New Roman" w:hAnsi="Times New Roman"/>
          <w:b w:val="0"/>
          <w:bCs/>
          <w:sz w:val="22"/>
          <w:szCs w:val="22"/>
          <w:lang w:val="en-US"/>
        </w:rPr>
      </w:pPr>
      <w:r w:rsidRPr="009934C7">
        <w:rPr>
          <w:rStyle w:val="ANMmaintextCarCar"/>
          <w:rFonts w:ascii="Times New Roman" w:hAnsi="Times New Roman"/>
          <w:b w:val="0"/>
          <w:bCs/>
          <w:sz w:val="22"/>
          <w:szCs w:val="22"/>
          <w:lang w:val="en-US"/>
        </w:rPr>
        <w:t xml:space="preserve">Performance and feeding behavior of Holstein and Holstein × </w:t>
      </w:r>
      <w:proofErr w:type="spellStart"/>
      <w:r w:rsidRPr="009934C7">
        <w:rPr>
          <w:rStyle w:val="ANMmaintextCarCar"/>
          <w:rFonts w:ascii="Times New Roman" w:hAnsi="Times New Roman"/>
          <w:b w:val="0"/>
          <w:bCs/>
          <w:sz w:val="22"/>
          <w:szCs w:val="22"/>
          <w:lang w:val="en-US"/>
        </w:rPr>
        <w:t>Gyr</w:t>
      </w:r>
      <w:proofErr w:type="spellEnd"/>
      <w:r w:rsidRPr="009934C7">
        <w:rPr>
          <w:rStyle w:val="ANMmaintextCarCar"/>
          <w:rFonts w:ascii="Times New Roman" w:hAnsi="Times New Roman"/>
          <w:b w:val="0"/>
          <w:bCs/>
          <w:sz w:val="22"/>
          <w:szCs w:val="22"/>
          <w:lang w:val="en-US"/>
        </w:rPr>
        <w:t xml:space="preserve"> crossbred heifers grazing temperate forages</w:t>
      </w:r>
    </w:p>
    <w:p w14:paraId="03836A49" w14:textId="77777777" w:rsidR="00BF676B" w:rsidRDefault="00BF676B" w:rsidP="00C54BA2">
      <w:pPr>
        <w:spacing w:line="360" w:lineRule="auto"/>
        <w:rPr>
          <w:rFonts w:ascii="Times New Roman" w:hAnsi="Times New Roman" w:cs="Times New Roman"/>
          <w:sz w:val="24"/>
          <w:szCs w:val="24"/>
          <w:lang w:val="en-US"/>
        </w:rPr>
      </w:pPr>
    </w:p>
    <w:p w14:paraId="3EDD3B93" w14:textId="7B04D59A" w:rsidR="00546C39" w:rsidRPr="005048FE" w:rsidRDefault="005048FE" w:rsidP="00C54BA2">
      <w:pPr>
        <w:spacing w:line="360" w:lineRule="auto"/>
        <w:rPr>
          <w:rFonts w:ascii="Times New Roman" w:hAnsi="Times New Roman" w:cs="Times New Roman"/>
          <w:sz w:val="24"/>
          <w:szCs w:val="24"/>
          <w:lang w:val="en-US"/>
        </w:rPr>
      </w:pPr>
      <w:r w:rsidRPr="005048FE">
        <w:rPr>
          <w:rFonts w:ascii="Times New Roman" w:hAnsi="Times New Roman" w:cs="Times New Roman"/>
          <w:sz w:val="24"/>
          <w:szCs w:val="24"/>
          <w:lang w:val="en-US"/>
        </w:rPr>
        <w:t xml:space="preserve">Supplemental Fig </w:t>
      </w:r>
      <w:r w:rsidR="00D24053">
        <w:rPr>
          <w:rFonts w:ascii="Times New Roman" w:hAnsi="Times New Roman" w:cs="Times New Roman"/>
          <w:sz w:val="24"/>
          <w:szCs w:val="24"/>
          <w:lang w:val="en-US"/>
        </w:rPr>
        <w:t>S</w:t>
      </w:r>
      <w:r w:rsidRPr="005048FE">
        <w:rPr>
          <w:rFonts w:ascii="Times New Roman" w:hAnsi="Times New Roman" w:cs="Times New Roman"/>
          <w:sz w:val="24"/>
          <w:szCs w:val="24"/>
          <w:lang w:val="en-US"/>
        </w:rPr>
        <w:t>1</w:t>
      </w:r>
    </w:p>
    <w:p w14:paraId="34F80048" w14:textId="77777777" w:rsidR="00711E8B" w:rsidRPr="00C54BA2" w:rsidRDefault="00A63D82" w:rsidP="00C54BA2">
      <w:pPr>
        <w:keepNext/>
        <w:spacing w:line="360" w:lineRule="auto"/>
        <w:jc w:val="center"/>
        <w:rPr>
          <w:rFonts w:ascii="Times New Roman" w:hAnsi="Times New Roman" w:cs="Times New Roman"/>
          <w:sz w:val="24"/>
          <w:szCs w:val="24"/>
        </w:rPr>
      </w:pPr>
      <w:r w:rsidRPr="00C54BA2">
        <w:rPr>
          <w:rFonts w:ascii="Times New Roman" w:hAnsi="Times New Roman" w:cs="Times New Roman"/>
          <w:noProof/>
          <w:sz w:val="24"/>
          <w:szCs w:val="24"/>
        </w:rPr>
        <w:drawing>
          <wp:inline distT="0" distB="0" distL="0" distR="0" wp14:anchorId="0A504B32" wp14:editId="14C7D158">
            <wp:extent cx="5276850" cy="3333750"/>
            <wp:effectExtent l="0" t="0" r="0" b="0"/>
            <wp:docPr id="3" name="Gráfico 3" descr="ggg">
              <a:extLst xmlns:a="http://schemas.openxmlformats.org/drawingml/2006/main">
                <a:ext uri="{FF2B5EF4-FFF2-40B4-BE49-F238E27FC236}">
                  <a16:creationId xmlns:a16="http://schemas.microsoft.com/office/drawing/2014/main" id="{009E32D9-3B96-414C-B211-325D23D9F2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9761CFF" w14:textId="7880E93F" w:rsidR="009D6D9C" w:rsidRPr="00C54BA2" w:rsidRDefault="009D6D9C" w:rsidP="00C54BA2">
      <w:pPr>
        <w:spacing w:line="360" w:lineRule="auto"/>
        <w:rPr>
          <w:rFonts w:ascii="Times New Roman" w:hAnsi="Times New Roman" w:cs="Times New Roman"/>
          <w:sz w:val="24"/>
          <w:szCs w:val="24"/>
          <w:lang w:val="en-US"/>
        </w:rPr>
      </w:pPr>
      <w:r w:rsidRPr="00C54BA2">
        <w:rPr>
          <w:rFonts w:ascii="Times New Roman" w:hAnsi="Times New Roman" w:cs="Times New Roman"/>
          <w:sz w:val="24"/>
          <w:szCs w:val="24"/>
          <w:lang w:val="en-US"/>
        </w:rPr>
        <w:t xml:space="preserve">Air humidity (%), minimal, average, maximum (°C) temperatures during three experimental periods where Holstein and Holstein × </w:t>
      </w:r>
      <w:proofErr w:type="spellStart"/>
      <w:r w:rsidRPr="00C54BA2">
        <w:rPr>
          <w:rFonts w:ascii="Times New Roman" w:hAnsi="Times New Roman" w:cs="Times New Roman"/>
          <w:sz w:val="24"/>
          <w:szCs w:val="24"/>
          <w:lang w:val="en-US"/>
        </w:rPr>
        <w:t>Gyr</w:t>
      </w:r>
      <w:proofErr w:type="spellEnd"/>
      <w:r w:rsidRPr="00C54BA2">
        <w:rPr>
          <w:rFonts w:ascii="Times New Roman" w:hAnsi="Times New Roman" w:cs="Times New Roman"/>
          <w:sz w:val="24"/>
          <w:szCs w:val="24"/>
          <w:lang w:val="en-US"/>
        </w:rPr>
        <w:t xml:space="preserve"> heifers grazed temperate forages.</w:t>
      </w:r>
      <w:r w:rsidRPr="00C54BA2">
        <w:rPr>
          <w:rFonts w:ascii="Times New Roman" w:hAnsi="Times New Roman" w:cs="Times New Roman"/>
          <w:color w:val="000000"/>
          <w:sz w:val="24"/>
          <w:szCs w:val="24"/>
          <w:lang w:val="en-US"/>
        </w:rPr>
        <w:t xml:space="preserve"> </w:t>
      </w:r>
    </w:p>
    <w:p w14:paraId="12555F83" w14:textId="63432CF7" w:rsidR="00A63D82" w:rsidRPr="00C54BA2" w:rsidRDefault="00A63D82" w:rsidP="00C54BA2">
      <w:pPr>
        <w:spacing w:line="360" w:lineRule="auto"/>
        <w:rPr>
          <w:rFonts w:ascii="Times New Roman" w:hAnsi="Times New Roman" w:cs="Times New Roman"/>
          <w:sz w:val="24"/>
          <w:szCs w:val="24"/>
          <w:lang w:val="en-US"/>
        </w:rPr>
      </w:pPr>
    </w:p>
    <w:p w14:paraId="50D5A6D7" w14:textId="4629A8BA" w:rsidR="00546C39" w:rsidRPr="00D24053" w:rsidRDefault="00D24053" w:rsidP="00D24053">
      <w:pPr>
        <w:pStyle w:val="ANMheading2"/>
        <w:spacing w:before="240"/>
        <w:rPr>
          <w:rFonts w:ascii="Times New Roman" w:hAnsi="Times New Roman"/>
          <w:i w:val="0"/>
          <w:iCs/>
          <w:lang w:val="en-US"/>
        </w:rPr>
      </w:pPr>
      <w:r w:rsidRPr="00D24053">
        <w:rPr>
          <w:rFonts w:ascii="Times New Roman" w:hAnsi="Times New Roman"/>
          <w:i w:val="0"/>
          <w:iCs/>
          <w:lang w:val="en-US"/>
        </w:rPr>
        <w:t>Supplemental Fig S2</w:t>
      </w:r>
    </w:p>
    <w:p w14:paraId="2F6E64D1" w14:textId="7C836DBA" w:rsidR="005C29F4" w:rsidRPr="00C54BA2" w:rsidRDefault="00546C39" w:rsidP="00D24053">
      <w:pPr>
        <w:spacing w:line="480" w:lineRule="auto"/>
        <w:ind w:firstLine="270"/>
        <w:rPr>
          <w:rFonts w:ascii="Times New Roman" w:eastAsia="Times New Roman" w:hAnsi="Times New Roman" w:cs="Times New Roman"/>
          <w:sz w:val="24"/>
          <w:szCs w:val="24"/>
          <w:lang w:val="en-US" w:eastAsia="fr-FR"/>
        </w:rPr>
      </w:pPr>
      <w:r w:rsidRPr="00C54BA2">
        <w:rPr>
          <w:rFonts w:ascii="Times New Roman" w:eastAsia="Times New Roman" w:hAnsi="Times New Roman" w:cs="Times New Roman"/>
          <w:sz w:val="24"/>
          <w:szCs w:val="24"/>
          <w:lang w:val="en-US" w:eastAsia="fr-FR"/>
        </w:rPr>
        <w:t>The 1.5-hectare area was established with a seeding density of 35 kg of ryegrass and 35 kg of Bristle oat per hectare. The planting was performed on May 1st, 2017. The seeding was done in rows, with a row spacing of 50 cm. During the establishment, the pasture was irrigated and fertilized with 200 kg of N and K</w:t>
      </w:r>
      <w:r w:rsidRPr="00C54BA2">
        <w:rPr>
          <w:rFonts w:ascii="Times New Roman" w:eastAsia="Times New Roman" w:hAnsi="Times New Roman" w:cs="Times New Roman"/>
          <w:sz w:val="24"/>
          <w:szCs w:val="24"/>
          <w:vertAlign w:val="subscript"/>
          <w:lang w:val="en-US" w:eastAsia="fr-FR"/>
        </w:rPr>
        <w:t>2</w:t>
      </w:r>
      <w:r w:rsidRPr="00C54BA2">
        <w:rPr>
          <w:rFonts w:ascii="Times New Roman" w:eastAsia="Times New Roman" w:hAnsi="Times New Roman" w:cs="Times New Roman"/>
          <w:sz w:val="24"/>
          <w:szCs w:val="24"/>
          <w:lang w:val="en-US" w:eastAsia="fr-FR"/>
        </w:rPr>
        <w:t>O/hectare/year. The area was divided into 25 paddocks of 580 m</w:t>
      </w:r>
      <w:r w:rsidRPr="00C54BA2">
        <w:rPr>
          <w:rFonts w:ascii="Times New Roman" w:eastAsia="Times New Roman" w:hAnsi="Times New Roman" w:cs="Times New Roman"/>
          <w:sz w:val="24"/>
          <w:szCs w:val="24"/>
          <w:vertAlign w:val="superscript"/>
          <w:lang w:val="en-US" w:eastAsia="fr-FR"/>
        </w:rPr>
        <w:t>2</w:t>
      </w:r>
      <w:r w:rsidRPr="00C54BA2">
        <w:rPr>
          <w:rFonts w:ascii="Times New Roman" w:eastAsia="Times New Roman" w:hAnsi="Times New Roman" w:cs="Times New Roman"/>
          <w:sz w:val="24"/>
          <w:szCs w:val="24"/>
          <w:lang w:val="en-US" w:eastAsia="fr-FR"/>
        </w:rPr>
        <w:t xml:space="preserve"> (Supplementary Figure </w:t>
      </w:r>
      <w:r w:rsidR="00711E8B" w:rsidRPr="00C54BA2">
        <w:rPr>
          <w:rFonts w:ascii="Times New Roman" w:eastAsia="Times New Roman" w:hAnsi="Times New Roman" w:cs="Times New Roman"/>
          <w:sz w:val="24"/>
          <w:szCs w:val="24"/>
          <w:lang w:val="en-US" w:eastAsia="fr-FR"/>
        </w:rPr>
        <w:t>2</w:t>
      </w:r>
      <w:r w:rsidRPr="00C54BA2">
        <w:rPr>
          <w:rFonts w:ascii="Times New Roman" w:eastAsia="Times New Roman" w:hAnsi="Times New Roman" w:cs="Times New Roman"/>
          <w:sz w:val="24"/>
          <w:szCs w:val="24"/>
          <w:lang w:val="en-US" w:eastAsia="fr-FR"/>
        </w:rPr>
        <w:t>). All paddocks had free access to a resting area with shade (3 m2/animal), water, and mineral supplement ad li</w:t>
      </w:r>
      <w:r w:rsidR="007942E1" w:rsidRPr="00C54BA2">
        <w:rPr>
          <w:rFonts w:ascii="Times New Roman" w:eastAsia="Times New Roman" w:hAnsi="Times New Roman" w:cs="Times New Roman"/>
          <w:sz w:val="24"/>
          <w:szCs w:val="24"/>
          <w:lang w:val="en-US" w:eastAsia="fr-FR"/>
        </w:rPr>
        <w:t>bitum.</w:t>
      </w:r>
    </w:p>
    <w:p w14:paraId="620766DC" w14:textId="77777777" w:rsidR="009D6D9C" w:rsidRPr="00C54BA2" w:rsidRDefault="00711E8B" w:rsidP="00C54BA2">
      <w:pPr>
        <w:keepNext/>
        <w:spacing w:line="360" w:lineRule="auto"/>
        <w:ind w:firstLine="270"/>
        <w:rPr>
          <w:rFonts w:ascii="Times New Roman" w:hAnsi="Times New Roman" w:cs="Times New Roman"/>
          <w:sz w:val="24"/>
          <w:szCs w:val="24"/>
        </w:rPr>
      </w:pPr>
      <w:r w:rsidRPr="00C54BA2">
        <w:rPr>
          <w:rFonts w:ascii="Times New Roman" w:hAnsi="Times New Roman" w:cs="Times New Roman"/>
          <w:noProof/>
          <w:sz w:val="24"/>
          <w:szCs w:val="24"/>
        </w:rPr>
        <w:lastRenderedPageBreak/>
        <w:drawing>
          <wp:inline distT="0" distB="0" distL="0" distR="0" wp14:anchorId="309E0565" wp14:editId="10FC7722">
            <wp:extent cx="3590290" cy="50734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8840" cy="5085520"/>
                    </a:xfrm>
                    <a:prstGeom prst="rect">
                      <a:avLst/>
                    </a:prstGeom>
                    <a:noFill/>
                    <a:ln>
                      <a:noFill/>
                    </a:ln>
                  </pic:spPr>
                </pic:pic>
              </a:graphicData>
            </a:graphic>
          </wp:inline>
        </w:drawing>
      </w:r>
    </w:p>
    <w:p w14:paraId="7493E32D" w14:textId="33B4C818" w:rsidR="00711E8B" w:rsidRPr="00C54BA2" w:rsidRDefault="00AE6F08" w:rsidP="00C54BA2">
      <w:pPr>
        <w:spacing w:line="360" w:lineRule="auto"/>
        <w:rPr>
          <w:rFonts w:ascii="Times New Roman" w:hAnsi="Times New Roman" w:cs="Times New Roman"/>
          <w:sz w:val="24"/>
          <w:szCs w:val="24"/>
          <w:lang w:val="en-US"/>
        </w:rPr>
      </w:pPr>
      <w:r w:rsidRPr="00C54BA2">
        <w:rPr>
          <w:rFonts w:ascii="Times New Roman" w:hAnsi="Times New Roman" w:cs="Times New Roman"/>
          <w:sz w:val="24"/>
          <w:szCs w:val="24"/>
          <w:lang w:val="en-US"/>
        </w:rPr>
        <w:t>Paddocks representation</w:t>
      </w:r>
      <w:r w:rsidR="009D6D9C" w:rsidRPr="00C54BA2">
        <w:rPr>
          <w:rFonts w:ascii="Times New Roman" w:hAnsi="Times New Roman" w:cs="Times New Roman"/>
          <w:sz w:val="24"/>
          <w:szCs w:val="24"/>
          <w:lang w:val="en-US"/>
        </w:rPr>
        <w:t xml:space="preserve"> where Holstein and Holstein × </w:t>
      </w:r>
      <w:proofErr w:type="spellStart"/>
      <w:r w:rsidR="009D6D9C" w:rsidRPr="00C54BA2">
        <w:rPr>
          <w:rFonts w:ascii="Times New Roman" w:hAnsi="Times New Roman" w:cs="Times New Roman"/>
          <w:sz w:val="24"/>
          <w:szCs w:val="24"/>
          <w:lang w:val="en-US"/>
        </w:rPr>
        <w:t>Gyr</w:t>
      </w:r>
      <w:proofErr w:type="spellEnd"/>
      <w:r w:rsidR="009D6D9C" w:rsidRPr="00C54BA2">
        <w:rPr>
          <w:rFonts w:ascii="Times New Roman" w:hAnsi="Times New Roman" w:cs="Times New Roman"/>
          <w:sz w:val="24"/>
          <w:szCs w:val="24"/>
          <w:lang w:val="en-US"/>
        </w:rPr>
        <w:t xml:space="preserve"> were </w:t>
      </w:r>
      <w:proofErr w:type="spellStart"/>
      <w:r w:rsidR="009D6D9C" w:rsidRPr="00C54BA2">
        <w:rPr>
          <w:rFonts w:ascii="Times New Roman" w:hAnsi="Times New Roman" w:cs="Times New Roman"/>
          <w:sz w:val="24"/>
          <w:szCs w:val="24"/>
          <w:lang w:val="en-US"/>
        </w:rPr>
        <w:t>managemented</w:t>
      </w:r>
      <w:proofErr w:type="spellEnd"/>
      <w:r w:rsidR="009D6D9C" w:rsidRPr="00C54BA2">
        <w:rPr>
          <w:rFonts w:ascii="Times New Roman" w:hAnsi="Times New Roman" w:cs="Times New Roman"/>
          <w:sz w:val="24"/>
          <w:szCs w:val="24"/>
          <w:lang w:val="en-US"/>
        </w:rPr>
        <w:t xml:space="preserve"> under rotationally grazed system.</w:t>
      </w:r>
    </w:p>
    <w:p w14:paraId="391E702E" w14:textId="77777777" w:rsidR="009D3C42" w:rsidRPr="00C54BA2" w:rsidRDefault="009D3C42" w:rsidP="00C54BA2">
      <w:pPr>
        <w:pStyle w:val="ANMheading2"/>
        <w:spacing w:line="360" w:lineRule="auto"/>
        <w:rPr>
          <w:rFonts w:ascii="Times New Roman" w:hAnsi="Times New Roman"/>
          <w:lang w:val="en-US"/>
        </w:rPr>
      </w:pPr>
    </w:p>
    <w:p w14:paraId="5FC26EC6" w14:textId="763804CF" w:rsidR="009D3C42" w:rsidRPr="00C54BA2" w:rsidRDefault="00D24053" w:rsidP="00C54BA2">
      <w:pPr>
        <w:pStyle w:val="ANMheading2"/>
        <w:spacing w:line="360" w:lineRule="auto"/>
        <w:rPr>
          <w:rFonts w:ascii="Times New Roman" w:hAnsi="Times New Roman"/>
          <w:lang w:val="en-US"/>
        </w:rPr>
      </w:pPr>
      <w:r>
        <w:rPr>
          <w:rFonts w:ascii="Times New Roman" w:hAnsi="Times New Roman"/>
          <w:lang w:val="en-US"/>
        </w:rPr>
        <w:t>Supplemental equation S3</w:t>
      </w:r>
      <w:r w:rsidR="009D3C42" w:rsidRPr="00C54BA2">
        <w:rPr>
          <w:rFonts w:ascii="Times New Roman" w:hAnsi="Times New Roman"/>
          <w:lang w:val="en-US"/>
        </w:rPr>
        <w:t xml:space="preserve"> </w:t>
      </w:r>
    </w:p>
    <w:p w14:paraId="41208882" w14:textId="77777777" w:rsidR="009D3C42" w:rsidRPr="00C54BA2" w:rsidRDefault="009D3C42" w:rsidP="00C54BA2">
      <w:pPr>
        <w:pStyle w:val="ANMmaintext"/>
        <w:spacing w:line="360" w:lineRule="auto"/>
        <w:rPr>
          <w:rFonts w:ascii="Times New Roman" w:hAnsi="Times New Roman"/>
          <w:lang w:val="en-US"/>
        </w:rPr>
      </w:pPr>
      <w:r w:rsidRPr="00C54BA2">
        <w:rPr>
          <w:rFonts w:ascii="Times New Roman" w:hAnsi="Times New Roman"/>
          <w:lang w:val="en-US"/>
        </w:rPr>
        <w:t xml:space="preserve">Estimates of fecal excretion (FE) </w:t>
      </w:r>
      <w:r w:rsidRPr="00C54BA2">
        <w:rPr>
          <w:rFonts w:ascii="Times New Roman" w:hAnsi="Times New Roman"/>
          <w:noProof/>
          <w:lang w:val="en-US"/>
        </w:rPr>
        <w:t>was</w:t>
      </w:r>
      <w:r w:rsidRPr="00C54BA2">
        <w:rPr>
          <w:rFonts w:ascii="Times New Roman" w:hAnsi="Times New Roman"/>
          <w:lang w:val="en-US"/>
        </w:rPr>
        <w:t xml:space="preserve"> determined </w:t>
      </w:r>
      <w:r w:rsidRPr="00C54BA2">
        <w:rPr>
          <w:rFonts w:ascii="Times New Roman" w:hAnsi="Times New Roman"/>
          <w:noProof/>
          <w:lang w:val="en-US"/>
        </w:rPr>
        <w:t>according to</w:t>
      </w:r>
      <w:r w:rsidRPr="00C54BA2">
        <w:rPr>
          <w:rFonts w:ascii="Times New Roman" w:hAnsi="Times New Roman"/>
          <w:lang w:val="en-US"/>
        </w:rPr>
        <w:t xml:space="preserve"> </w:t>
      </w:r>
      <w:r w:rsidRPr="00C54BA2">
        <w:rPr>
          <w:rFonts w:ascii="Times New Roman" w:hAnsi="Times New Roman"/>
          <w:lang w:val="en-US"/>
        </w:rPr>
        <w:fldChar w:fldCharType="begin" w:fldLock="1"/>
      </w:r>
      <w:r w:rsidRPr="00C54BA2">
        <w:rPr>
          <w:rFonts w:ascii="Times New Roman" w:hAnsi="Times New Roman"/>
          <w:lang w:val="en-US"/>
        </w:rPr>
        <w:instrText>ADDIN CSL_CITATION {"citationItems":[{"id":"ITEM-1","itemData":{"DOI":"10.1590/S1516-35982001000600030","ISSN":"1516-3598","abstract":"Avaliaram-se os valores de consumo de matéria seca (CMS) em situação de pastejo, obtidos por intermédio do cromo, em infusão contínua, na forma de óxido crômico, dosado uma (CR1x) ou duas vezes (CR2x) ao dia, e em sua forma mordantada (CRMord), aliado aos indicadores internos de digestibilidade: digestibilidade in vitro da MS (DIVMS), MS indigestível (MSi) e fibra em detergente neutro (FDNi) e fibra em detergente ácido (FDAi) indigestíveis. Foram utilizados cinco novilhos F1 Limousin x Nelore, fistulados no esôfago e rúmen, suplementados em pastagem de Brachiaria decumbens. Foi utilizado delineamento em blocos casualizados, segundo um esquema de parcelas sub-subdivididas, sendo os suplementos considerados parcelas; as metodologias de cromo, subparcelas; e os indicadores, sub-subparcelas. Não foram observados efeitos de suplemento sobre o CMS. O emprego da metodologia CR1x levou a subestimativas da excreção fecal e CMS (2,11% PV em MS) sendo inferior às metodologias CR2x e CRMord (3,11 e 2,93% PV), que apresentaram melhores valores de CMS, não diferiram entre si. Foi observado efeito interativo entre suplemento e indicadores, não sendo encontradas variações nos valores fornecidos pelo mesmo indicador frente aos diferentes suplementos. A DIVMS, apesar de ter sido o indicador de maior precisão, apresentou valor médio de 3,16% PV, superestimando o consumo em todos os suplementos. A MSi e FDNi mostraram-se constantes entre suplementos (2,48 e 2,54% PV), não diferindo entre si, sendo recomendados para estudos com animais em pastejo. A FDAi mostrou resultados variáveis entre tratamentos, sendo, em média, superior à MSi e FDNi e inferior à DIVMS (2,72%PV).","author":[{"dropping-particle":"","family":"Detmann","given":"Edenio","non-dropping-particle":"","parse-names":false,"suffix":""},{"dropping-particle":"","family":"Paulino","given":"Mário Fonseca","non-dropping-particle":"","parse-names":false,"suffix":""},{"dropping-particle":"","family":"Zervoudakis","given":"Joanis Tilemahos","non-dropping-particle":"","parse-names":false,"suffix":""},{"dropping-particle":"","family":"De","given":"Sebastião","non-dropping-particle":"","parse-names":false,"suffix":""}],"container-title":"Revista Brasileira de Zootecnia","id":"ITEM-1","issue":"5","issued":{"date-parts":[["2001"]]},"page":"1600-1609","title":"Cromo e Indicadores Internos na Determinação do Consumo de Novilhos Mestiços , Suplementados , a Pasto Chromium and Internal Markers in Intake Determination by Crossbred Steers , Supplemented at Pasture","type":"article-journal","volume":"30"},"uris":["http://www.mendeley.com/documents/?uuid=984a4e12-26de-4bb5-9763-069aa43fb6c9","http://www.mendeley.com/documents/?uuid=3a00c667-94f2-44f7-a551-8dcd2bd32c59"]}],"mendeley":{"formattedCitation":"(Detmann et al., 2001)","plainTextFormattedCitation":"(Detmann et al., 2001)","previouslyFormattedCitation":"(Detmann et al., 2001)"},"properties":{"noteIndex":0},"schema":"https://github.com/citation-style-language/schema/raw/master/csl-citation.json"}</w:instrText>
      </w:r>
      <w:r w:rsidRPr="00C54BA2">
        <w:rPr>
          <w:rFonts w:ascii="Times New Roman" w:hAnsi="Times New Roman"/>
          <w:lang w:val="en-US"/>
        </w:rPr>
        <w:fldChar w:fldCharType="separate"/>
      </w:r>
      <w:r w:rsidRPr="00C54BA2">
        <w:rPr>
          <w:rFonts w:ascii="Times New Roman" w:hAnsi="Times New Roman"/>
          <w:noProof/>
          <w:lang w:val="en-US"/>
        </w:rPr>
        <w:t>(Detmann et al., 2001)</w:t>
      </w:r>
      <w:r w:rsidRPr="00C54BA2">
        <w:rPr>
          <w:rFonts w:ascii="Times New Roman" w:hAnsi="Times New Roman"/>
          <w:lang w:val="en-US"/>
        </w:rPr>
        <w:fldChar w:fldCharType="end"/>
      </w:r>
      <w:r w:rsidRPr="00C54BA2">
        <w:rPr>
          <w:rFonts w:ascii="Times New Roman" w:hAnsi="Times New Roman"/>
          <w:lang w:val="en-US"/>
        </w:rPr>
        <w:t xml:space="preserve">, which was accessed through to </w:t>
      </w:r>
      <w:r w:rsidRPr="00C54BA2">
        <w:rPr>
          <w:rFonts w:ascii="Times New Roman" w:hAnsi="Times New Roman"/>
          <w:noProof/>
          <w:lang w:val="en-US"/>
        </w:rPr>
        <w:t>Equation</w:t>
      </w:r>
      <w:r w:rsidRPr="00C54BA2">
        <w:rPr>
          <w:rFonts w:ascii="Times New Roman" w:hAnsi="Times New Roman"/>
          <w:lang w:val="en-US"/>
        </w:rPr>
        <w:t xml:space="preserve"> 1:</w:t>
      </w:r>
    </w:p>
    <w:tbl>
      <w:tblPr>
        <w:tblStyle w:val="Tabelacomgrade1"/>
        <w:tblW w:w="10490" w:type="dxa"/>
        <w:tblBorders>
          <w:top w:val="none" w:sz="0" w:space="0" w:color="auto"/>
          <w:bottom w:val="none" w:sz="0" w:space="0" w:color="auto"/>
        </w:tblBorders>
        <w:tblLook w:val="04A0" w:firstRow="1" w:lastRow="0" w:firstColumn="1" w:lastColumn="0" w:noHBand="0" w:noVBand="1"/>
      </w:tblPr>
      <w:tblGrid>
        <w:gridCol w:w="7083"/>
        <w:gridCol w:w="1989"/>
        <w:gridCol w:w="108"/>
        <w:gridCol w:w="1310"/>
      </w:tblGrid>
      <w:tr w:rsidR="009D3C42" w:rsidRPr="00BF676B" w14:paraId="6C8DD0EA" w14:textId="77777777" w:rsidTr="003B027C">
        <w:trPr>
          <w:gridAfter w:val="2"/>
          <w:wAfter w:w="1418" w:type="dxa"/>
        </w:trPr>
        <w:tc>
          <w:tcPr>
            <w:tcW w:w="7083" w:type="dxa"/>
            <w:vAlign w:val="center"/>
          </w:tcPr>
          <w:p w14:paraId="1821B041" w14:textId="77777777" w:rsidR="009D3C42" w:rsidRPr="00C54BA2" w:rsidRDefault="009D3C42" w:rsidP="00C54BA2">
            <w:pPr>
              <w:pStyle w:val="ANMmaintext"/>
              <w:spacing w:line="360" w:lineRule="auto"/>
              <w:rPr>
                <w:rFonts w:ascii="Times New Roman" w:hAnsi="Times New Roman"/>
                <w:lang w:val="en-US"/>
              </w:rPr>
            </w:pPr>
            <m:oMathPara>
              <m:oMath>
                <m:r>
                  <w:rPr>
                    <w:rFonts w:ascii="Cambria Math" w:hAnsi="Cambria Math"/>
                    <w:lang w:val="en-US"/>
                  </w:rPr>
                  <m:t>FE</m:t>
                </m:r>
                <m:r>
                  <m:rPr>
                    <m:sty m:val="p"/>
                  </m:rPr>
                  <w:rPr>
                    <w:rFonts w:ascii="Cambria Math" w:hAnsi="Cambria Math"/>
                    <w:lang w:val="en-US"/>
                  </w:rPr>
                  <m:t xml:space="preserve">= </m:t>
                </m:r>
                <m:f>
                  <m:fPr>
                    <m:ctrlPr>
                      <w:rPr>
                        <w:rFonts w:ascii="Cambria Math" w:hAnsi="Cambria Math"/>
                        <w:lang w:val="en-US"/>
                      </w:rPr>
                    </m:ctrlPr>
                  </m:fPr>
                  <m:num>
                    <m:r>
                      <w:rPr>
                        <w:rFonts w:ascii="Cambria Math" w:hAnsi="Cambria Math"/>
                        <w:lang w:val="en-US"/>
                      </w:rPr>
                      <m:t>Infusion</m:t>
                    </m:r>
                    <m:r>
                      <m:rPr>
                        <m:sty m:val="p"/>
                      </m:rPr>
                      <w:rPr>
                        <w:rFonts w:ascii="Cambria Math" w:hAnsi="Cambria Math"/>
                        <w:lang w:val="en-US"/>
                      </w:rPr>
                      <m:t xml:space="preserve"> of </m:t>
                    </m:r>
                    <m:r>
                      <w:rPr>
                        <w:rFonts w:ascii="Cambria Math" w:hAnsi="Cambria Math"/>
                        <w:lang w:val="en-US"/>
                      </w:rPr>
                      <m:t>chromium</m:t>
                    </m:r>
                    <m:r>
                      <m:rPr>
                        <m:sty m:val="p"/>
                      </m:rPr>
                      <w:rPr>
                        <w:rFonts w:ascii="Cambria Math" w:hAnsi="Cambria Math"/>
                        <w:lang w:val="en-US"/>
                      </w:rPr>
                      <m:t xml:space="preserve"> </m:t>
                    </m:r>
                    <m:r>
                      <w:rPr>
                        <w:rFonts w:ascii="Cambria Math" w:hAnsi="Cambria Math"/>
                        <w:lang w:val="en-US"/>
                      </w:rPr>
                      <m:t>oxide</m:t>
                    </m:r>
                    <m:r>
                      <m:rPr>
                        <m:sty m:val="p"/>
                      </m:rPr>
                      <w:rPr>
                        <w:rFonts w:ascii="Cambria Math" w:hAnsi="Cambria Math"/>
                        <w:lang w:val="en-US"/>
                      </w:rPr>
                      <m:t xml:space="preserve"> </m:t>
                    </m:r>
                    <m:r>
                      <w:rPr>
                        <w:rFonts w:ascii="Cambria Math" w:hAnsi="Cambria Math"/>
                        <w:lang w:val="en-US"/>
                      </w:rPr>
                      <m:t>g</m:t>
                    </m:r>
                    <m:r>
                      <m:rPr>
                        <m:sty m:val="p"/>
                      </m:rPr>
                      <w:rPr>
                        <w:rFonts w:ascii="Cambria Math" w:hAnsi="Cambria Math"/>
                        <w:lang w:val="en-US"/>
                      </w:rPr>
                      <m:t>/</m:t>
                    </m:r>
                    <m:r>
                      <w:rPr>
                        <w:rFonts w:ascii="Cambria Math" w:hAnsi="Cambria Math"/>
                        <w:lang w:val="en-US"/>
                      </w:rPr>
                      <m:t>day</m:t>
                    </m:r>
                    <m:r>
                      <m:rPr>
                        <m:sty m:val="p"/>
                      </m:rPr>
                      <w:rPr>
                        <w:rFonts w:ascii="Cambria Math" w:hAnsi="Cambria Math"/>
                        <w:lang w:val="en-US"/>
                      </w:rPr>
                      <m:t xml:space="preserve"> </m:t>
                    </m:r>
                  </m:num>
                  <m:den>
                    <m:r>
                      <w:rPr>
                        <w:rFonts w:ascii="Cambria Math" w:hAnsi="Cambria Math"/>
                        <w:lang w:val="en-US"/>
                      </w:rPr>
                      <m:t>Concentration</m:t>
                    </m:r>
                    <m:r>
                      <m:rPr>
                        <m:sty m:val="p"/>
                      </m:rPr>
                      <w:rPr>
                        <w:rFonts w:ascii="Cambria Math" w:hAnsi="Cambria Math"/>
                        <w:lang w:val="en-US"/>
                      </w:rPr>
                      <m:t xml:space="preserve"> </m:t>
                    </m:r>
                    <m:r>
                      <w:rPr>
                        <w:rFonts w:ascii="Cambria Math" w:hAnsi="Cambria Math"/>
                        <w:lang w:val="en-US"/>
                      </w:rPr>
                      <m:t>chromium</m:t>
                    </m:r>
                    <m:r>
                      <m:rPr>
                        <m:sty m:val="p"/>
                      </m:rPr>
                      <w:rPr>
                        <w:rFonts w:ascii="Cambria Math" w:hAnsi="Cambria Math"/>
                        <w:lang w:val="en-US"/>
                      </w:rPr>
                      <m:t xml:space="preserve"> </m:t>
                    </m:r>
                    <m:r>
                      <w:rPr>
                        <w:rFonts w:ascii="Cambria Math" w:hAnsi="Cambria Math"/>
                        <w:lang w:val="en-US"/>
                      </w:rPr>
                      <m:t>oxide</m:t>
                    </m:r>
                    <m:r>
                      <m:rPr>
                        <m:sty m:val="p"/>
                      </m:rPr>
                      <w:rPr>
                        <w:rFonts w:ascii="Cambria Math" w:hAnsi="Cambria Math"/>
                        <w:lang w:val="en-US"/>
                      </w:rPr>
                      <m:t xml:space="preserve"> </m:t>
                    </m:r>
                    <m:r>
                      <w:rPr>
                        <w:rFonts w:ascii="Cambria Math" w:hAnsi="Cambria Math"/>
                        <w:lang w:val="en-US"/>
                      </w:rPr>
                      <m:t>in</m:t>
                    </m:r>
                    <m:r>
                      <m:rPr>
                        <m:sty m:val="p"/>
                      </m:rPr>
                      <w:rPr>
                        <w:rFonts w:ascii="Cambria Math" w:hAnsi="Cambria Math"/>
                        <w:lang w:val="en-US"/>
                      </w:rPr>
                      <m:t xml:space="preserve"> </m:t>
                    </m:r>
                    <m:r>
                      <w:rPr>
                        <w:rFonts w:ascii="Cambria Math" w:hAnsi="Cambria Math"/>
                        <w:lang w:val="en-US"/>
                      </w:rPr>
                      <m:t>the</m:t>
                    </m:r>
                    <m:r>
                      <m:rPr>
                        <m:sty m:val="p"/>
                      </m:rPr>
                      <w:rPr>
                        <w:rFonts w:ascii="Cambria Math" w:hAnsi="Cambria Math"/>
                        <w:lang w:val="en-US"/>
                      </w:rPr>
                      <m:t xml:space="preserve"> </m:t>
                    </m:r>
                    <m:r>
                      <w:rPr>
                        <w:rFonts w:ascii="Cambria Math" w:hAnsi="Cambria Math"/>
                        <w:lang w:val="en-US"/>
                      </w:rPr>
                      <m:t>faeces</m:t>
                    </m:r>
                    <m:f>
                      <m:fPr>
                        <m:ctrlPr>
                          <w:rPr>
                            <w:rFonts w:ascii="Cambria Math" w:hAnsi="Cambria Math"/>
                            <w:lang w:val="en-US"/>
                          </w:rPr>
                        </m:ctrlPr>
                      </m:fPr>
                      <m:num>
                        <m:r>
                          <w:rPr>
                            <w:rFonts w:ascii="Cambria Math" w:hAnsi="Cambria Math"/>
                            <w:lang w:val="en-US"/>
                          </w:rPr>
                          <m:t>g</m:t>
                        </m:r>
                      </m:num>
                      <m:den>
                        <m:r>
                          <w:rPr>
                            <w:rFonts w:ascii="Cambria Math" w:hAnsi="Cambria Math"/>
                            <w:lang w:val="en-US"/>
                          </w:rPr>
                          <m:t>g</m:t>
                        </m:r>
                      </m:den>
                    </m:f>
                    <m:r>
                      <w:rPr>
                        <w:rFonts w:ascii="Cambria Math" w:hAnsi="Cambria Math"/>
                        <w:lang w:val="en-US"/>
                      </w:rPr>
                      <m:t>DM</m:t>
                    </m:r>
                  </m:den>
                </m:f>
              </m:oMath>
            </m:oMathPara>
          </w:p>
        </w:tc>
        <w:tc>
          <w:tcPr>
            <w:tcW w:w="1989" w:type="dxa"/>
            <w:vAlign w:val="center"/>
          </w:tcPr>
          <w:p w14:paraId="5F737CF6" w14:textId="77777777" w:rsidR="009D3C42" w:rsidRPr="00C54BA2" w:rsidRDefault="009D3C42" w:rsidP="00C54BA2">
            <w:pPr>
              <w:pStyle w:val="ANMmaintext"/>
              <w:spacing w:line="360" w:lineRule="auto"/>
              <w:rPr>
                <w:rFonts w:ascii="Times New Roman" w:hAnsi="Times New Roman"/>
                <w:lang w:val="en-US"/>
              </w:rPr>
            </w:pPr>
            <w:r w:rsidRPr="00C54BA2">
              <w:rPr>
                <w:rFonts w:ascii="Times New Roman" w:hAnsi="Times New Roman"/>
                <w:lang w:val="en-US"/>
              </w:rPr>
              <w:t xml:space="preserve">    [1]</w:t>
            </w:r>
          </w:p>
        </w:tc>
      </w:tr>
      <w:tr w:rsidR="009D3C42" w:rsidRPr="00C54BA2" w14:paraId="6DFB5E62" w14:textId="77777777" w:rsidTr="003B027C">
        <w:tc>
          <w:tcPr>
            <w:tcW w:w="9180" w:type="dxa"/>
            <w:gridSpan w:val="3"/>
            <w:vAlign w:val="center"/>
          </w:tcPr>
          <w:p w14:paraId="4730312E" w14:textId="77777777" w:rsidR="003B027C" w:rsidRDefault="009D3C42" w:rsidP="00C54BA2">
            <w:pPr>
              <w:pStyle w:val="ANMmaintext"/>
              <w:spacing w:line="360" w:lineRule="auto"/>
              <w:rPr>
                <w:rFonts w:ascii="Times New Roman" w:hAnsi="Times New Roman"/>
                <w:lang w:val="en-US"/>
              </w:rPr>
            </w:pPr>
            <w:r w:rsidRPr="00C54BA2">
              <w:rPr>
                <w:rFonts w:ascii="Times New Roman" w:hAnsi="Times New Roman"/>
                <w:lang w:val="en-US"/>
              </w:rPr>
              <w:t>The pasture intake (PI) was estimated using indigestible NDF (</w:t>
            </w:r>
            <w:proofErr w:type="spellStart"/>
            <w:r w:rsidRPr="00C54BA2">
              <w:rPr>
                <w:rFonts w:ascii="Times New Roman" w:hAnsi="Times New Roman"/>
                <w:lang w:val="en-US"/>
              </w:rPr>
              <w:t>iNDF</w:t>
            </w:r>
            <w:proofErr w:type="spellEnd"/>
            <w:r w:rsidRPr="00C54BA2">
              <w:rPr>
                <w:rFonts w:ascii="Times New Roman" w:hAnsi="Times New Roman"/>
                <w:lang w:val="en-US"/>
              </w:rPr>
              <w:t xml:space="preserve">) as an </w:t>
            </w:r>
            <w:r w:rsidRPr="00C54BA2">
              <w:rPr>
                <w:rFonts w:ascii="Times New Roman" w:hAnsi="Times New Roman"/>
                <w:noProof/>
                <w:lang w:val="en-US"/>
              </w:rPr>
              <w:t>internal</w:t>
            </w:r>
            <w:r w:rsidRPr="00C54BA2">
              <w:rPr>
                <w:rFonts w:ascii="Times New Roman" w:hAnsi="Times New Roman"/>
                <w:lang w:val="en-US"/>
              </w:rPr>
              <w:t xml:space="preserve"> marker </w:t>
            </w:r>
            <w:r w:rsidRPr="00C54BA2">
              <w:rPr>
                <w:rFonts w:ascii="Times New Roman" w:hAnsi="Times New Roman"/>
                <w:lang w:val="en-US"/>
              </w:rPr>
              <w:fldChar w:fldCharType="begin" w:fldLock="1"/>
            </w:r>
            <w:r w:rsidRPr="00C54BA2">
              <w:rPr>
                <w:rFonts w:ascii="Times New Roman" w:hAnsi="Times New Roman"/>
                <w:lang w:val="en-US"/>
              </w:rPr>
              <w:instrText>ADDIN CSL_CITATION {"citationItems":[{"id":"ITEM-1","itemData":{"DOI":"10.1590/S1516-35982001000600030","ISSN":"1516-3598","abstract":"Avaliaram-se os valores de consumo de matéria seca (CMS) em situação de pastejo, obtidos por intermédio do cromo, em infusão contínua, na forma de óxido crômico, dosado uma (CR1x) ou duas vezes (CR2x) ao dia, e em sua forma mordantada (CRMord), aliado aos indicadores internos de digestibilidade: digestibilidade in vitro da MS (DIVMS), MS indigestível (MSi) e fibra em detergente neutro (FDNi) e fibra em detergente ácido (FDAi) indigestíveis. Foram utilizados cinco novilhos F1 Limousin x Nelore, fistulados no esôfago e rúmen, suplementados em pastagem de Brachiaria decumbens. Foi utilizado delineamento em blocos casualizados, segundo um esquema de parcelas sub-subdivididas, sendo os suplementos considerados parcelas; as metodologias de cromo, subparcelas; e os indicadores, sub-subparcelas. Não foram observados efeitos de suplemento sobre o CMS. O emprego da metodologia CR1x levou a subestimativas da excreção fecal e CMS (2,11% PV em MS) sendo inferior às metodologias CR2x e CRMord (3,11 e 2,93% PV), que apresentaram melhores valores de CMS, não diferiram entre si. Foi observado efeito interativo entre suplemento e indicadores, não sendo encontradas variações nos valores fornecidos pelo mesmo indicador frente aos diferentes suplementos. A DIVMS, apesar de ter sido o indicador de maior precisão, apresentou valor médio de 3,16% PV, superestimando o consumo em todos os suplementos. A MSi e FDNi mostraram-se constantes entre suplementos (2,48 e 2,54% PV), não diferindo entre si, sendo recomendados para estudos com animais em pastejo. A FDAi mostrou resultados variáveis entre tratamentos, sendo, em média, superior à MSi e FDNi e inferior à DIVMS (2,72%PV).","author":[{"dropping-particle":"","family":"Detmann","given":"Edenio","non-dropping-particle":"","parse-names":false,"suffix":""},{"dropping-particle":"","family":"Paulino","given":"Mário Fonseca","non-dropping-particle":"","parse-names":false,"suffix":""},{"dropping-particle":"","family":"Zervoudakis","given":"Joanis Tilemahos","non-dropping-particle":"","parse-names":false,"suffix":""},{"dropping-particle":"","family":"De","given":"Sebastião","non-dropping-particle":"","parse-names":false,"suffix":""}],"container-title":"Revista Brasileira de Zootecnia","id":"ITEM-1","issue":"5","issued":{"date-parts":[["2001"]]},"page":"1600-1609","title":"Cromo e Indicadores Internos na Determinação do Consumo de Novilhos Mestiços , Suplementados , a Pasto Chromium and Internal Markers in Intake Determination by Crossbred Steers , Supplemented at Pasture","type":"article-journal","volume":"30"},"uris":["http://www.mendeley.com/documents/?uuid=3a00c667-94f2-44f7-a551-8dcd2bd32c59","http://www.mendeley.com/documents/?uuid=984a4e12-26de-4bb5-9763-069aa43fb6c9"]}],"mendeley":{"formattedCitation":"(Detmann et al., 2001)","plainTextFormattedCitation":"(Detmann et al., 2001)","previouslyFormattedCitation":"(Detmann et al., 2001)"},"properties":{"noteIndex":0},"schema":"https://github.com/citation-style-language/schema/raw/master/csl-citation.json"}</w:instrText>
            </w:r>
            <w:r w:rsidRPr="00C54BA2">
              <w:rPr>
                <w:rFonts w:ascii="Times New Roman" w:hAnsi="Times New Roman"/>
                <w:lang w:val="en-US"/>
              </w:rPr>
              <w:fldChar w:fldCharType="separate"/>
            </w:r>
            <w:r w:rsidRPr="00C54BA2">
              <w:rPr>
                <w:rFonts w:ascii="Times New Roman" w:hAnsi="Times New Roman"/>
                <w:noProof/>
                <w:lang w:val="en-US"/>
              </w:rPr>
              <w:t>(Detmann et al., 2001)</w:t>
            </w:r>
            <w:r w:rsidRPr="00C54BA2">
              <w:rPr>
                <w:rFonts w:ascii="Times New Roman" w:hAnsi="Times New Roman"/>
                <w:lang w:val="en-US"/>
              </w:rPr>
              <w:fldChar w:fldCharType="end"/>
            </w:r>
            <w:r w:rsidRPr="00C54BA2">
              <w:rPr>
                <w:rFonts w:ascii="Times New Roman" w:hAnsi="Times New Roman"/>
                <w:lang w:val="en-US"/>
              </w:rPr>
              <w:t xml:space="preserve">. The pasture intake (PI) was obtained </w:t>
            </w:r>
            <w:r w:rsidRPr="00C54BA2">
              <w:rPr>
                <w:rFonts w:ascii="Times New Roman" w:hAnsi="Times New Roman"/>
                <w:noProof/>
                <w:lang w:val="en-US"/>
              </w:rPr>
              <w:t>according to</w:t>
            </w:r>
            <w:r w:rsidRPr="00C54BA2">
              <w:rPr>
                <w:rFonts w:ascii="Times New Roman" w:hAnsi="Times New Roman"/>
                <w:lang w:val="en-US"/>
              </w:rPr>
              <w:t xml:space="preserve"> </w:t>
            </w:r>
            <w:r w:rsidRPr="00C54BA2">
              <w:rPr>
                <w:rFonts w:ascii="Times New Roman" w:hAnsi="Times New Roman"/>
                <w:noProof/>
                <w:lang w:val="en-US"/>
              </w:rPr>
              <w:t>Equation</w:t>
            </w:r>
            <w:r w:rsidRPr="00C54BA2">
              <w:rPr>
                <w:rFonts w:ascii="Times New Roman" w:hAnsi="Times New Roman"/>
                <w:lang w:val="en-US"/>
              </w:rPr>
              <w:t xml:space="preserve"> 2:</w:t>
            </w:r>
          </w:p>
          <w:p w14:paraId="3C21A48E" w14:textId="62FE0C71" w:rsidR="009D3C42" w:rsidRPr="00C54BA2" w:rsidRDefault="009D3C42" w:rsidP="00C54BA2">
            <w:pPr>
              <w:pStyle w:val="ANMmaintext"/>
              <w:spacing w:line="360" w:lineRule="auto"/>
              <w:rPr>
                <w:rFonts w:ascii="Times New Roman" w:hAnsi="Times New Roman"/>
                <w:i/>
                <w:lang w:val="en-US"/>
              </w:rPr>
            </w:pPr>
            <m:oMathPara>
              <m:oMath>
                <m:r>
                  <w:rPr>
                    <w:rFonts w:ascii="Cambria Math" w:hAnsi="Cambria Math"/>
                    <w:lang w:val="en-US"/>
                  </w:rPr>
                  <m:t>I</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iNDF fecal excretion</m:t>
                    </m:r>
                    <m:r>
                      <m:rPr>
                        <m:sty m:val="p"/>
                      </m:rPr>
                      <w:rPr>
                        <w:rFonts w:ascii="Cambria Math" w:hAnsi="Cambria Math"/>
                        <w:lang w:val="en-US"/>
                      </w:rPr>
                      <m:t xml:space="preserve">-corn silage </m:t>
                    </m:r>
                    <m:r>
                      <w:rPr>
                        <w:rFonts w:ascii="Cambria Math" w:hAnsi="Cambria Math"/>
                        <w:lang w:val="en-US"/>
                      </w:rPr>
                      <m:t>iNDF intake-concentrate iDNF intake</m:t>
                    </m:r>
                  </m:num>
                  <m:den>
                    <m:r>
                      <w:rPr>
                        <w:rFonts w:ascii="Cambria Math" w:hAnsi="Cambria Math"/>
                        <w:lang w:val="en-US"/>
                      </w:rPr>
                      <m:t>iNDF</m:t>
                    </m:r>
                    <m:r>
                      <m:rPr>
                        <m:sty m:val="p"/>
                      </m:rPr>
                      <w:rPr>
                        <w:rFonts w:ascii="Cambria Math" w:hAnsi="Cambria Math"/>
                        <w:lang w:val="en-US"/>
                      </w:rPr>
                      <m:t xml:space="preserve"> </m:t>
                    </m:r>
                    <m:r>
                      <w:rPr>
                        <w:rFonts w:ascii="Cambria Math" w:hAnsi="Cambria Math"/>
                        <w:lang w:val="en-US"/>
                      </w:rPr>
                      <m:t>pasture g/g DM</m:t>
                    </m:r>
                  </m:den>
                </m:f>
                <m:r>
                  <w:rPr>
                    <w:rFonts w:ascii="Cambria Math" w:hAnsi="Cambria Math"/>
                    <w:lang w:val="en-US"/>
                  </w:rPr>
                  <m:t xml:space="preserve"> </m:t>
                </m:r>
              </m:oMath>
            </m:oMathPara>
          </w:p>
        </w:tc>
        <w:tc>
          <w:tcPr>
            <w:tcW w:w="1310" w:type="dxa"/>
            <w:vAlign w:val="center"/>
          </w:tcPr>
          <w:p w14:paraId="71B2A89C" w14:textId="77777777" w:rsidR="009D3C42" w:rsidRPr="00C54BA2" w:rsidRDefault="009D3C42" w:rsidP="00C54BA2">
            <w:pPr>
              <w:pStyle w:val="ANMmaintext"/>
              <w:spacing w:line="360" w:lineRule="auto"/>
              <w:rPr>
                <w:rFonts w:ascii="Times New Roman" w:hAnsi="Times New Roman"/>
                <w:lang w:val="en-US"/>
              </w:rPr>
            </w:pPr>
            <w:r w:rsidRPr="00C54BA2">
              <w:rPr>
                <w:rFonts w:ascii="Times New Roman" w:hAnsi="Times New Roman"/>
                <w:lang w:val="en-US"/>
              </w:rPr>
              <w:t>[2]</w:t>
            </w:r>
          </w:p>
        </w:tc>
      </w:tr>
    </w:tbl>
    <w:p w14:paraId="3DD45DA7" w14:textId="7AFA2BFF" w:rsidR="009063FD" w:rsidRDefault="009063FD" w:rsidP="004B5046">
      <w:pPr>
        <w:spacing w:line="360" w:lineRule="auto"/>
        <w:rPr>
          <w:rFonts w:ascii="Times New Roman" w:eastAsia="Times New Roman" w:hAnsi="Times New Roman" w:cs="Times New Roman"/>
          <w:b/>
          <w:bCs/>
          <w:sz w:val="24"/>
          <w:szCs w:val="24"/>
          <w:lang w:val="en-US" w:eastAsia="fr-FR"/>
        </w:rPr>
      </w:pPr>
    </w:p>
    <w:sectPr w:rsidR="009063F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E9127" w14:textId="77777777" w:rsidR="00B90A70" w:rsidRDefault="00B90A70" w:rsidP="00BF676B">
      <w:pPr>
        <w:spacing w:after="0" w:line="240" w:lineRule="auto"/>
      </w:pPr>
      <w:r>
        <w:separator/>
      </w:r>
    </w:p>
  </w:endnote>
  <w:endnote w:type="continuationSeparator" w:id="0">
    <w:p w14:paraId="4AFF622D" w14:textId="77777777" w:rsidR="00B90A70" w:rsidRDefault="00B90A70" w:rsidP="00BF6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728C" w14:textId="77777777" w:rsidR="00B90A70" w:rsidRDefault="00B90A70" w:rsidP="00BF676B">
      <w:pPr>
        <w:spacing w:after="0" w:line="240" w:lineRule="auto"/>
      </w:pPr>
      <w:r>
        <w:separator/>
      </w:r>
    </w:p>
  </w:footnote>
  <w:footnote w:type="continuationSeparator" w:id="0">
    <w:p w14:paraId="7F4750FA" w14:textId="77777777" w:rsidR="00B90A70" w:rsidRDefault="00B90A70" w:rsidP="00BF67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NjM3NrQ0NDM1NjRQ0lEKTi0uzszPAykwrQUA1gJpmCwAAAA="/>
  </w:docVars>
  <w:rsids>
    <w:rsidRoot w:val="00546C39"/>
    <w:rsid w:val="00236045"/>
    <w:rsid w:val="00344C72"/>
    <w:rsid w:val="003B027C"/>
    <w:rsid w:val="00424745"/>
    <w:rsid w:val="004B5046"/>
    <w:rsid w:val="004D5735"/>
    <w:rsid w:val="005048FE"/>
    <w:rsid w:val="00546C39"/>
    <w:rsid w:val="005C29F4"/>
    <w:rsid w:val="00711E8B"/>
    <w:rsid w:val="0078293E"/>
    <w:rsid w:val="00791027"/>
    <w:rsid w:val="007942E1"/>
    <w:rsid w:val="00826CF5"/>
    <w:rsid w:val="008F157E"/>
    <w:rsid w:val="009063FD"/>
    <w:rsid w:val="009D3C42"/>
    <w:rsid w:val="009D6D9C"/>
    <w:rsid w:val="00A63D82"/>
    <w:rsid w:val="00AE6F08"/>
    <w:rsid w:val="00B90A70"/>
    <w:rsid w:val="00BF676B"/>
    <w:rsid w:val="00C54BA2"/>
    <w:rsid w:val="00D24053"/>
    <w:rsid w:val="00D5309C"/>
    <w:rsid w:val="00FF1A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B559"/>
  <w15:chartTrackingRefBased/>
  <w15:docId w15:val="{EC83310A-8118-4985-9B8F-BF54BF51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3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NMheading2">
    <w:name w:val="ANM heading 2"/>
    <w:next w:val="Normal"/>
    <w:uiPriority w:val="99"/>
    <w:qFormat/>
    <w:rsid w:val="00546C39"/>
    <w:pPr>
      <w:spacing w:after="0" w:line="480" w:lineRule="auto"/>
    </w:pPr>
    <w:rPr>
      <w:rFonts w:ascii="Arial" w:eastAsia="Times New Roman" w:hAnsi="Arial" w:cs="Times New Roman"/>
      <w:i/>
      <w:sz w:val="24"/>
      <w:szCs w:val="24"/>
      <w:lang w:val="en-GB" w:eastAsia="fr-FR"/>
    </w:rPr>
  </w:style>
  <w:style w:type="paragraph" w:customStyle="1" w:styleId="ANMmaintext">
    <w:name w:val="ANM main text"/>
    <w:link w:val="ANMmaintextCarCar"/>
    <w:uiPriority w:val="99"/>
    <w:qFormat/>
    <w:rsid w:val="009D3C42"/>
    <w:pPr>
      <w:spacing w:after="0" w:line="480" w:lineRule="auto"/>
    </w:pPr>
    <w:rPr>
      <w:rFonts w:ascii="Arial" w:eastAsia="Times New Roman" w:hAnsi="Arial" w:cs="Times New Roman"/>
      <w:sz w:val="24"/>
      <w:szCs w:val="24"/>
      <w:lang w:val="en-GB" w:eastAsia="fr-FR"/>
    </w:rPr>
  </w:style>
  <w:style w:type="character" w:customStyle="1" w:styleId="ANMmaintextCarCar">
    <w:name w:val="ANM main text Car Car"/>
    <w:link w:val="ANMmaintext"/>
    <w:uiPriority w:val="99"/>
    <w:locked/>
    <w:rsid w:val="009D3C42"/>
    <w:rPr>
      <w:rFonts w:ascii="Arial" w:eastAsia="Times New Roman" w:hAnsi="Arial" w:cs="Times New Roman"/>
      <w:sz w:val="24"/>
      <w:szCs w:val="24"/>
      <w:lang w:val="en-GB" w:eastAsia="fr-FR"/>
    </w:rPr>
  </w:style>
  <w:style w:type="table" w:customStyle="1" w:styleId="Tabelacomgrade1">
    <w:name w:val="Tabela com grade1"/>
    <w:basedOn w:val="Tabelanormal"/>
    <w:next w:val="Tabelacomgrade"/>
    <w:uiPriority w:val="39"/>
    <w:rsid w:val="009D3C42"/>
    <w:pPr>
      <w:overflowPunct w:val="0"/>
      <w:autoSpaceDE w:val="0"/>
      <w:autoSpaceDN w:val="0"/>
      <w:adjustRightInd w:val="0"/>
      <w:spacing w:after="0" w:line="240" w:lineRule="auto"/>
      <w:textAlignment w:val="baseline"/>
    </w:pPr>
    <w:rPr>
      <w:rFonts w:ascii="Arial" w:eastAsia="Times New Roman" w:hAnsi="Arial" w:cs="Times New Roman"/>
      <w:sz w:val="20"/>
      <w:szCs w:val="20"/>
      <w:lang w:val="en-GB" w:eastAsia="en-GB"/>
    </w:rPr>
    <w:tblPr>
      <w:tblBorders>
        <w:top w:val="single" w:sz="4" w:space="0" w:color="auto"/>
        <w:bottom w:val="single" w:sz="4" w:space="0" w:color="auto"/>
      </w:tblBorders>
    </w:tblPr>
  </w:style>
  <w:style w:type="table" w:styleId="Tabelacomgrade">
    <w:name w:val="Table Grid"/>
    <w:basedOn w:val="Tabelanormal"/>
    <w:uiPriority w:val="39"/>
    <w:rsid w:val="009D3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A63D82"/>
    <w:pPr>
      <w:spacing w:after="200" w:line="240" w:lineRule="auto"/>
    </w:pPr>
    <w:rPr>
      <w:i/>
      <w:iCs/>
      <w:color w:val="44546A" w:themeColor="text2"/>
      <w:sz w:val="18"/>
      <w:szCs w:val="18"/>
    </w:rPr>
  </w:style>
  <w:style w:type="character" w:styleId="Refdecomentrio">
    <w:name w:val="annotation reference"/>
    <w:basedOn w:val="Fontepargpadro"/>
    <w:uiPriority w:val="99"/>
    <w:semiHidden/>
    <w:unhideWhenUsed/>
    <w:rsid w:val="00711E8B"/>
    <w:rPr>
      <w:sz w:val="16"/>
      <w:szCs w:val="16"/>
    </w:rPr>
  </w:style>
  <w:style w:type="paragraph" w:styleId="Textodecomentrio">
    <w:name w:val="annotation text"/>
    <w:basedOn w:val="Normal"/>
    <w:link w:val="TextodecomentrioChar"/>
    <w:uiPriority w:val="99"/>
    <w:semiHidden/>
    <w:unhideWhenUsed/>
    <w:rsid w:val="00711E8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11E8B"/>
    <w:rPr>
      <w:sz w:val="20"/>
      <w:szCs w:val="20"/>
    </w:rPr>
  </w:style>
  <w:style w:type="paragraph" w:styleId="Assuntodocomentrio">
    <w:name w:val="annotation subject"/>
    <w:basedOn w:val="Textodecomentrio"/>
    <w:next w:val="Textodecomentrio"/>
    <w:link w:val="AssuntodocomentrioChar"/>
    <w:uiPriority w:val="99"/>
    <w:semiHidden/>
    <w:unhideWhenUsed/>
    <w:rsid w:val="00711E8B"/>
    <w:rPr>
      <w:b/>
      <w:bCs/>
    </w:rPr>
  </w:style>
  <w:style w:type="character" w:customStyle="1" w:styleId="AssuntodocomentrioChar">
    <w:name w:val="Assunto do comentário Char"/>
    <w:basedOn w:val="TextodecomentrioChar"/>
    <w:link w:val="Assuntodocomentrio"/>
    <w:uiPriority w:val="99"/>
    <w:semiHidden/>
    <w:rsid w:val="00711E8B"/>
    <w:rPr>
      <w:b/>
      <w:bCs/>
      <w:sz w:val="20"/>
      <w:szCs w:val="20"/>
    </w:rPr>
  </w:style>
  <w:style w:type="paragraph" w:styleId="Textodebalo">
    <w:name w:val="Balloon Text"/>
    <w:basedOn w:val="Normal"/>
    <w:link w:val="TextodebaloChar"/>
    <w:uiPriority w:val="99"/>
    <w:semiHidden/>
    <w:unhideWhenUsed/>
    <w:rsid w:val="00711E8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11E8B"/>
    <w:rPr>
      <w:rFonts w:ascii="Segoe UI" w:hAnsi="Segoe UI" w:cs="Segoe UI"/>
      <w:sz w:val="18"/>
      <w:szCs w:val="18"/>
    </w:rPr>
  </w:style>
  <w:style w:type="paragraph" w:styleId="NormalWeb">
    <w:name w:val="Normal (Web)"/>
    <w:basedOn w:val="Normal"/>
    <w:uiPriority w:val="99"/>
    <w:semiHidden/>
    <w:unhideWhenUsed/>
    <w:rsid w:val="009D6D9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NMheading1">
    <w:name w:val="ANM heading 1"/>
    <w:next w:val="ANMmaintext"/>
    <w:link w:val="ANMheading1Car"/>
    <w:uiPriority w:val="99"/>
    <w:qFormat/>
    <w:rsid w:val="009063FD"/>
    <w:pPr>
      <w:spacing w:after="0" w:line="480" w:lineRule="auto"/>
    </w:pPr>
    <w:rPr>
      <w:rFonts w:ascii="Arial" w:eastAsia="Times New Roman" w:hAnsi="Arial" w:cs="Times New Roman"/>
      <w:b/>
      <w:sz w:val="24"/>
      <w:szCs w:val="24"/>
      <w:lang w:val="en-GB" w:eastAsia="fr-FR"/>
    </w:rPr>
  </w:style>
  <w:style w:type="character" w:customStyle="1" w:styleId="ANMheading1Car">
    <w:name w:val="ANM heading 1 Car"/>
    <w:link w:val="ANMheading1"/>
    <w:uiPriority w:val="99"/>
    <w:locked/>
    <w:rsid w:val="009063FD"/>
    <w:rPr>
      <w:rFonts w:ascii="Arial" w:eastAsia="Times New Roman" w:hAnsi="Arial" w:cs="Times New Roman"/>
      <w:b/>
      <w:sz w:val="24"/>
      <w:szCs w:val="24"/>
      <w:lang w:val="en-GB" w:eastAsia="fr-FR"/>
    </w:rPr>
  </w:style>
  <w:style w:type="paragraph" w:customStyle="1" w:styleId="ANMReferences">
    <w:name w:val="ANM References"/>
    <w:basedOn w:val="ANMmaintext"/>
    <w:qFormat/>
    <w:rsid w:val="009063FD"/>
    <w:pPr>
      <w:ind w:left="567" w:hanging="567"/>
    </w:pPr>
    <w:rPr>
      <w:sz w:val="22"/>
    </w:rPr>
  </w:style>
  <w:style w:type="paragraph" w:styleId="Cabealho">
    <w:name w:val="header"/>
    <w:basedOn w:val="Normal"/>
    <w:link w:val="CabealhoChar"/>
    <w:uiPriority w:val="99"/>
    <w:unhideWhenUsed/>
    <w:rsid w:val="00BF676B"/>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BF676B"/>
  </w:style>
  <w:style w:type="paragraph" w:styleId="Rodap">
    <w:name w:val="footer"/>
    <w:basedOn w:val="Normal"/>
    <w:link w:val="RodapChar"/>
    <w:uiPriority w:val="99"/>
    <w:unhideWhenUsed/>
    <w:rsid w:val="00BF676B"/>
    <w:pPr>
      <w:tabs>
        <w:tab w:val="center" w:pos="4680"/>
        <w:tab w:val="right" w:pos="9360"/>
      </w:tabs>
      <w:spacing w:after="0" w:line="240" w:lineRule="auto"/>
    </w:pPr>
  </w:style>
  <w:style w:type="character" w:customStyle="1" w:styleId="RodapChar">
    <w:name w:val="Rodapé Char"/>
    <w:basedOn w:val="Fontepargpadro"/>
    <w:link w:val="Rodap"/>
    <w:uiPriority w:val="99"/>
    <w:rsid w:val="00BF676B"/>
  </w:style>
  <w:style w:type="paragraph" w:customStyle="1" w:styleId="ANMapapertitle">
    <w:name w:val="ANM a paper title"/>
    <w:next w:val="Normal"/>
    <w:link w:val="ANMapapertitleCar"/>
    <w:uiPriority w:val="99"/>
    <w:qFormat/>
    <w:rsid w:val="00BF676B"/>
    <w:pPr>
      <w:spacing w:after="0" w:line="480" w:lineRule="auto"/>
    </w:pPr>
    <w:rPr>
      <w:rFonts w:ascii="Arial" w:eastAsia="Times New Roman" w:hAnsi="Arial" w:cs="Times New Roman"/>
      <w:b/>
      <w:sz w:val="24"/>
      <w:szCs w:val="24"/>
      <w:lang w:val="en-GB" w:eastAsia="fr-FR"/>
    </w:rPr>
  </w:style>
  <w:style w:type="character" w:customStyle="1" w:styleId="ANMapapertitleCar">
    <w:name w:val="ANM a paper title Car"/>
    <w:link w:val="ANMapapertitle"/>
    <w:uiPriority w:val="99"/>
    <w:locked/>
    <w:rsid w:val="00BF676B"/>
    <w:rPr>
      <w:rFonts w:ascii="Arial" w:eastAsia="Times New Roman" w:hAnsi="Arial" w:cs="Times New Roman"/>
      <w:b/>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74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celo\Desktop\MARCELO\MARCELO\MESTRADO\EXPERIMENTO%20MESTRADO\GRAFICO_CLIMATIC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4"/>
          <c:order val="4"/>
          <c:tx>
            <c:strRef>
              <c:f>Planilha1!$F$1</c:f>
              <c:strCache>
                <c:ptCount val="1"/>
                <c:pt idx="0">
                  <c:v>Air humidity</c:v>
                </c:pt>
              </c:strCache>
            </c:strRef>
          </c:tx>
          <c:spPr>
            <a:noFill/>
            <a:ln>
              <a:solidFill>
                <a:schemeClr val="tx1"/>
              </a:solidFill>
            </a:ln>
            <a:effectLst/>
          </c:spPr>
          <c:invertIfNegative val="0"/>
          <c:cat>
            <c:strRef>
              <c:f>Planilha1!$A$3:$A$6</c:f>
              <c:strCache>
                <c:ptCount val="3"/>
                <c:pt idx="0">
                  <c:v>1 period 15/06 to 9/07</c:v>
                </c:pt>
                <c:pt idx="1">
                  <c:v>2 period 10/07 to 3/08</c:v>
                </c:pt>
                <c:pt idx="2">
                  <c:v>3 period 4/09 to 28/09</c:v>
                </c:pt>
              </c:strCache>
            </c:strRef>
          </c:cat>
          <c:val>
            <c:numRef>
              <c:f>Planilha1!$F$3:$F$6</c:f>
              <c:numCache>
                <c:formatCode>General</c:formatCode>
                <c:ptCount val="3"/>
                <c:pt idx="0">
                  <c:v>76.8</c:v>
                </c:pt>
                <c:pt idx="1">
                  <c:v>68.3</c:v>
                </c:pt>
                <c:pt idx="2">
                  <c:v>58.56</c:v>
                </c:pt>
              </c:numCache>
            </c:numRef>
          </c:val>
          <c:extLst>
            <c:ext xmlns:c16="http://schemas.microsoft.com/office/drawing/2014/chart" uri="{C3380CC4-5D6E-409C-BE32-E72D297353CC}">
              <c16:uniqueId val="{00000000-24F9-41E7-B9CE-F4D41F9F0D63}"/>
            </c:ext>
          </c:extLst>
        </c:ser>
        <c:dLbls>
          <c:showLegendKey val="0"/>
          <c:showVal val="0"/>
          <c:showCatName val="0"/>
          <c:showSerName val="0"/>
          <c:showPercent val="0"/>
          <c:showBubbleSize val="0"/>
        </c:dLbls>
        <c:gapWidth val="150"/>
        <c:axId val="483723816"/>
        <c:axId val="483729392"/>
      </c:barChart>
      <c:barChart>
        <c:barDir val="col"/>
        <c:grouping val="clustered"/>
        <c:varyColors val="0"/>
        <c:dLbls>
          <c:showLegendKey val="0"/>
          <c:showVal val="0"/>
          <c:showCatName val="0"/>
          <c:showSerName val="0"/>
          <c:showPercent val="0"/>
          <c:showBubbleSize val="0"/>
        </c:dLbls>
        <c:gapWidth val="269"/>
        <c:axId val="357725768"/>
        <c:axId val="357722488"/>
        <c:extLst>
          <c:ext xmlns:c15="http://schemas.microsoft.com/office/drawing/2012/chart" uri="{02D57815-91ED-43cb-92C2-25804820EDAC}">
            <c15:filteredBarSeries>
              <c15:ser>
                <c:idx val="3"/>
                <c:order val="3"/>
                <c:tx>
                  <c:strRef>
                    <c:extLst>
                      <c:ext uri="{02D57815-91ED-43cb-92C2-25804820EDAC}">
                        <c15:formulaRef>
                          <c15:sqref>Planilha1!$E$1</c15:sqref>
                        </c15:formulaRef>
                      </c:ext>
                    </c:extLst>
                    <c:strCache>
                      <c:ptCount val="1"/>
                      <c:pt idx="0">
                        <c:v>Rainfall</c:v>
                      </c:pt>
                    </c:strCache>
                  </c:strRef>
                </c:tx>
                <c:spPr>
                  <a:solidFill>
                    <a:schemeClr val="bg1">
                      <a:lumMod val="50000"/>
                    </a:schemeClr>
                  </a:solidFill>
                  <a:ln>
                    <a:noFill/>
                  </a:ln>
                  <a:effectLst/>
                </c:spPr>
                <c:invertIfNegative val="0"/>
                <c:cat>
                  <c:strRef>
                    <c:extLst>
                      <c:ext uri="{02D57815-91ED-43cb-92C2-25804820EDAC}">
                        <c15:formulaRef>
                          <c15:sqref>Planilha1!$A$3:$A$6</c15:sqref>
                        </c15:formulaRef>
                      </c:ext>
                    </c:extLst>
                    <c:strCache>
                      <c:ptCount val="3"/>
                      <c:pt idx="0">
                        <c:v>1 period 15/06 to 9/07</c:v>
                      </c:pt>
                      <c:pt idx="1">
                        <c:v>2 period 10/07 to 3/08</c:v>
                      </c:pt>
                      <c:pt idx="2">
                        <c:v>3 period 4/09 to 28/09</c:v>
                      </c:pt>
                    </c:strCache>
                  </c:strRef>
                </c:cat>
                <c:val>
                  <c:numRef>
                    <c:extLst>
                      <c:ext uri="{02D57815-91ED-43cb-92C2-25804820EDAC}">
                        <c15:formulaRef>
                          <c15:sqref>Planilha1!$E$3:$E$6</c15:sqref>
                        </c15:formulaRef>
                      </c:ext>
                    </c:extLst>
                    <c:numCache>
                      <c:formatCode>General</c:formatCode>
                      <c:ptCount val="3"/>
                      <c:pt idx="0">
                        <c:v>1.7999999999999998</c:v>
                      </c:pt>
                      <c:pt idx="1">
                        <c:v>0.8</c:v>
                      </c:pt>
                      <c:pt idx="2">
                        <c:v>14</c:v>
                      </c:pt>
                    </c:numCache>
                  </c:numRef>
                </c:val>
                <c:extLst>
                  <c:ext xmlns:c16="http://schemas.microsoft.com/office/drawing/2014/chart" uri="{C3380CC4-5D6E-409C-BE32-E72D297353CC}">
                    <c16:uniqueId val="{00000004-24F9-41E7-B9CE-F4D41F9F0D63}"/>
                  </c:ext>
                </c:extLst>
              </c15:ser>
            </c15:filteredBarSeries>
          </c:ext>
        </c:extLst>
      </c:barChart>
      <c:lineChart>
        <c:grouping val="standard"/>
        <c:varyColors val="0"/>
        <c:ser>
          <c:idx val="0"/>
          <c:order val="0"/>
          <c:tx>
            <c:strRef>
              <c:f>Planilha1!$B$1</c:f>
              <c:strCache>
                <c:ptCount val="1"/>
                <c:pt idx="0">
                  <c:v>Max Temp</c:v>
                </c:pt>
              </c:strCache>
            </c:strRef>
          </c:tx>
          <c:spPr>
            <a:ln w="28575" cap="flat" cmpd="sng" algn="ctr">
              <a:solidFill>
                <a:schemeClr val="dk1"/>
              </a:solidFill>
              <a:prstDash val="sysDot"/>
              <a:round/>
            </a:ln>
            <a:effectLst/>
          </c:spPr>
          <c:marker>
            <c:symbol val="none"/>
          </c:marker>
          <c:cat>
            <c:strRef>
              <c:f>Planilha1!$A$3:$A$6</c:f>
              <c:strCache>
                <c:ptCount val="3"/>
                <c:pt idx="0">
                  <c:v>1 period 15/06 to 9/07</c:v>
                </c:pt>
                <c:pt idx="1">
                  <c:v>2 period 10/07 to 3/08</c:v>
                </c:pt>
                <c:pt idx="2">
                  <c:v>3 period 4/09 to 28/09</c:v>
                </c:pt>
              </c:strCache>
            </c:strRef>
          </c:cat>
          <c:val>
            <c:numRef>
              <c:f>Planilha1!$B$3:$B$6</c:f>
              <c:numCache>
                <c:formatCode>General</c:formatCode>
                <c:ptCount val="3"/>
                <c:pt idx="0">
                  <c:v>26.9</c:v>
                </c:pt>
                <c:pt idx="1">
                  <c:v>31.4</c:v>
                </c:pt>
                <c:pt idx="2">
                  <c:v>32.200000000000003</c:v>
                </c:pt>
              </c:numCache>
            </c:numRef>
          </c:val>
          <c:smooth val="0"/>
          <c:extLst>
            <c:ext xmlns:c16="http://schemas.microsoft.com/office/drawing/2014/chart" uri="{C3380CC4-5D6E-409C-BE32-E72D297353CC}">
              <c16:uniqueId val="{00000001-24F9-41E7-B9CE-F4D41F9F0D63}"/>
            </c:ext>
          </c:extLst>
        </c:ser>
        <c:ser>
          <c:idx val="1"/>
          <c:order val="1"/>
          <c:tx>
            <c:strRef>
              <c:f>Planilha1!$C$1</c:f>
              <c:strCache>
                <c:ptCount val="1"/>
                <c:pt idx="0">
                  <c:v>Min Temp</c:v>
                </c:pt>
              </c:strCache>
            </c:strRef>
          </c:tx>
          <c:spPr>
            <a:ln w="28575" cap="flat" cmpd="sng" algn="ctr">
              <a:solidFill>
                <a:schemeClr val="dk1"/>
              </a:solidFill>
              <a:prstDash val="dash"/>
              <a:round/>
            </a:ln>
            <a:effectLst/>
          </c:spPr>
          <c:marker>
            <c:symbol val="none"/>
          </c:marker>
          <c:cat>
            <c:strRef>
              <c:f>Planilha1!$A$3:$A$6</c:f>
              <c:strCache>
                <c:ptCount val="3"/>
                <c:pt idx="0">
                  <c:v>1 period 15/06 to 9/07</c:v>
                </c:pt>
                <c:pt idx="1">
                  <c:v>2 period 10/07 to 3/08</c:v>
                </c:pt>
                <c:pt idx="2">
                  <c:v>3 period 4/09 to 28/09</c:v>
                </c:pt>
              </c:strCache>
            </c:strRef>
          </c:cat>
          <c:val>
            <c:numRef>
              <c:f>Planilha1!$C$3:$C$6</c:f>
              <c:numCache>
                <c:formatCode>General</c:formatCode>
                <c:ptCount val="3"/>
                <c:pt idx="0">
                  <c:v>8.1</c:v>
                </c:pt>
                <c:pt idx="1">
                  <c:v>7.4</c:v>
                </c:pt>
                <c:pt idx="2">
                  <c:v>8.1</c:v>
                </c:pt>
              </c:numCache>
            </c:numRef>
          </c:val>
          <c:smooth val="0"/>
          <c:extLst>
            <c:ext xmlns:c16="http://schemas.microsoft.com/office/drawing/2014/chart" uri="{C3380CC4-5D6E-409C-BE32-E72D297353CC}">
              <c16:uniqueId val="{00000002-24F9-41E7-B9CE-F4D41F9F0D63}"/>
            </c:ext>
          </c:extLst>
        </c:ser>
        <c:ser>
          <c:idx val="2"/>
          <c:order val="2"/>
          <c:tx>
            <c:strRef>
              <c:f>Planilha1!$D$1</c:f>
              <c:strCache>
                <c:ptCount val="1"/>
                <c:pt idx="0">
                  <c:v>Ave Temp</c:v>
                </c:pt>
              </c:strCache>
            </c:strRef>
          </c:tx>
          <c:spPr>
            <a:ln w="28575" cap="flat" cmpd="sng" algn="ctr">
              <a:solidFill>
                <a:schemeClr val="dk1"/>
              </a:solidFill>
              <a:prstDash val="solid"/>
              <a:round/>
            </a:ln>
            <a:effectLst/>
          </c:spPr>
          <c:marker>
            <c:symbol val="none"/>
          </c:marker>
          <c:cat>
            <c:strRef>
              <c:f>Planilha1!$A$3:$A$6</c:f>
              <c:strCache>
                <c:ptCount val="3"/>
                <c:pt idx="0">
                  <c:v>1 period 15/06 to 9/07</c:v>
                </c:pt>
                <c:pt idx="1">
                  <c:v>2 period 10/07 to 3/08</c:v>
                </c:pt>
                <c:pt idx="2">
                  <c:v>3 period 4/09 to 28/09</c:v>
                </c:pt>
              </c:strCache>
            </c:strRef>
          </c:cat>
          <c:val>
            <c:numRef>
              <c:f>Planilha1!$D$3:$D$6</c:f>
              <c:numCache>
                <c:formatCode>General</c:formatCode>
                <c:ptCount val="3"/>
                <c:pt idx="0">
                  <c:v>15.006317204301071</c:v>
                </c:pt>
                <c:pt idx="1">
                  <c:v>16.314496644295279</c:v>
                </c:pt>
                <c:pt idx="2">
                  <c:v>18.100000000000001</c:v>
                </c:pt>
              </c:numCache>
            </c:numRef>
          </c:val>
          <c:smooth val="0"/>
          <c:extLst>
            <c:ext xmlns:c16="http://schemas.microsoft.com/office/drawing/2014/chart" uri="{C3380CC4-5D6E-409C-BE32-E72D297353CC}">
              <c16:uniqueId val="{00000003-24F9-41E7-B9CE-F4D41F9F0D63}"/>
            </c:ext>
          </c:extLst>
        </c:ser>
        <c:dLbls>
          <c:showLegendKey val="0"/>
          <c:showVal val="0"/>
          <c:showCatName val="0"/>
          <c:showSerName val="0"/>
          <c:showPercent val="0"/>
          <c:showBubbleSize val="0"/>
        </c:dLbls>
        <c:marker val="1"/>
        <c:smooth val="0"/>
        <c:axId val="357725768"/>
        <c:axId val="357722488"/>
      </c:lineChart>
      <c:catAx>
        <c:axId val="483723816"/>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729392"/>
        <c:crossesAt val="0"/>
        <c:auto val="1"/>
        <c:lblAlgn val="ctr"/>
        <c:lblOffset val="100"/>
        <c:noMultiLvlLbl val="0"/>
      </c:catAx>
      <c:valAx>
        <c:axId val="483729392"/>
        <c:scaling>
          <c:orientation val="minMax"/>
        </c:scaling>
        <c:delete val="0"/>
        <c:axPos val="l"/>
        <c:title>
          <c:tx>
            <c:rich>
              <a:bodyPr rot="-5400000" spcFirstLastPara="1" vertOverflow="ellipsis" vert="horz" wrap="square" anchor="ctr" anchorCtr="1"/>
              <a:lstStyle/>
              <a:p>
                <a:pPr algn="ctr" rtl="0">
                  <a:defRPr lang="pt-B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Air humidity %</a:t>
                </a:r>
              </a:p>
            </c:rich>
          </c:tx>
          <c:overlay val="0"/>
          <c:spPr>
            <a:noFill/>
            <a:ln>
              <a:noFill/>
            </a:ln>
            <a:effectLst/>
          </c:spPr>
          <c:txPr>
            <a:bodyPr rot="-5400000" spcFirstLastPara="1" vertOverflow="ellipsis" vert="horz" wrap="square" anchor="ctr" anchorCtr="1"/>
            <a:lstStyle/>
            <a:p>
              <a:pPr algn="ctr" rtl="0">
                <a:defRPr lang="pt-B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dk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723816"/>
        <c:crosses val="autoZero"/>
        <c:crossBetween val="between"/>
      </c:valAx>
      <c:valAx>
        <c:axId val="357722488"/>
        <c:scaling>
          <c:orientation val="minMax"/>
        </c:scaling>
        <c:delete val="0"/>
        <c:axPos val="r"/>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pt-BR" sz="1100">
                    <a:solidFill>
                      <a:sysClr val="windowText" lastClr="000000"/>
                    </a:solidFill>
                    <a:latin typeface="Times New Roman" panose="02020603050405020304" pitchFamily="18" charset="0"/>
                    <a:cs typeface="Times New Roman" panose="02020603050405020304" pitchFamily="18" charset="0"/>
                  </a:rPr>
                  <a:t>Temperature</a:t>
                </a:r>
                <a:r>
                  <a:rPr lang="pt-BR" sz="1100" baseline="0">
                    <a:solidFill>
                      <a:sysClr val="windowText" lastClr="000000"/>
                    </a:solidFill>
                    <a:latin typeface="Times New Roman" panose="02020603050405020304" pitchFamily="18" charset="0"/>
                    <a:cs typeface="Times New Roman" panose="02020603050405020304" pitchFamily="18" charset="0"/>
                  </a:rPr>
                  <a:t> ºC</a:t>
                </a:r>
                <a:endParaRPr lang="pt-BR"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dk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7725768"/>
        <c:crosses val="max"/>
        <c:crossBetween val="between"/>
        <c:majorUnit val="5"/>
      </c:valAx>
      <c:catAx>
        <c:axId val="357725768"/>
        <c:scaling>
          <c:orientation val="minMax"/>
        </c:scaling>
        <c:delete val="1"/>
        <c:axPos val="b"/>
        <c:numFmt formatCode="General" sourceLinked="1"/>
        <c:majorTickMark val="none"/>
        <c:minorTickMark val="none"/>
        <c:tickLblPos val="nextTo"/>
        <c:crossAx val="35772248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1184</Words>
  <Characters>6755</Characters>
  <Application>Microsoft Office Word</Application>
  <DocSecurity>0</DocSecurity>
  <Lines>56</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Marcelo Abreu</cp:lastModifiedBy>
  <cp:revision>3</cp:revision>
  <dcterms:created xsi:type="dcterms:W3CDTF">2021-10-28T11:11:00Z</dcterms:created>
  <dcterms:modified xsi:type="dcterms:W3CDTF">2021-10-28T11:23:00Z</dcterms:modified>
</cp:coreProperties>
</file>