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58DD" w14:textId="7DBE45BA" w:rsidR="0042479B" w:rsidRDefault="0042479B" w:rsidP="00F1598F">
      <w:pPr>
        <w:spacing w:after="240" w:line="360" w:lineRule="auto"/>
        <w:rPr>
          <w:rFonts w:cs="Times New Roman" w:hint="eastAsia"/>
          <w:szCs w:val="24"/>
          <w:lang w:eastAsia="ja-JP"/>
        </w:rPr>
      </w:pPr>
      <w:r w:rsidRPr="0042479B">
        <w:rPr>
          <w:rFonts w:cs="Times New Roman"/>
          <w:b/>
          <w:szCs w:val="24"/>
        </w:rPr>
        <w:t>Supplementary Material</w:t>
      </w:r>
      <w:r w:rsidRPr="0042479B">
        <w:rPr>
          <w:rFonts w:cs="Times New Roman"/>
          <w:b/>
          <w:szCs w:val="24"/>
          <w:lang w:eastAsia="ja-JP"/>
        </w:rPr>
        <w:t>s</w:t>
      </w:r>
    </w:p>
    <w:p w14:paraId="7797451D" w14:textId="4B74651C" w:rsidR="009927B9" w:rsidRDefault="009927B9" w:rsidP="009927B9">
      <w:r>
        <w:rPr>
          <w:b/>
        </w:rPr>
        <w:t>Table S</w:t>
      </w:r>
      <w:r w:rsidR="008043D6">
        <w:rPr>
          <w:rFonts w:hint="eastAsia"/>
          <w:b/>
          <w:lang w:eastAsia="ja-JP"/>
        </w:rPr>
        <w:t>1</w:t>
      </w:r>
      <w:r w:rsidR="004D7783" w:rsidRPr="004D7783">
        <w:t xml:space="preserve"> </w:t>
      </w:r>
      <w:r w:rsidR="004D7783" w:rsidRPr="004D7783">
        <w:rPr>
          <w:bCs/>
        </w:rPr>
        <w:t>Multivariable survey-weighted Cox proportional hazards models for cardiovascular disease mortality as a secondary outcome, NHANES 2007–2012 (n = 6,997; CVD deaths = 276).</w:t>
      </w:r>
    </w:p>
    <w:tbl>
      <w:tblPr>
        <w:tblStyle w:val="26"/>
        <w:tblW w:w="5000" w:type="pct"/>
        <w:tblLook w:val="04A0" w:firstRow="1" w:lastRow="0" w:firstColumn="1" w:lastColumn="0" w:noHBand="0" w:noVBand="1"/>
      </w:tblPr>
      <w:tblGrid>
        <w:gridCol w:w="1882"/>
        <w:gridCol w:w="1881"/>
        <w:gridCol w:w="1881"/>
        <w:gridCol w:w="1881"/>
        <w:gridCol w:w="1881"/>
      </w:tblGrid>
      <w:tr w:rsidR="00542711" w14:paraId="5292A167" w14:textId="77777777" w:rsidTr="005E7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01434E51" w14:textId="77777777" w:rsidR="00542711" w:rsidRPr="005E762B" w:rsidRDefault="00542711" w:rsidP="002E204E">
            <w:pPr>
              <w:rPr>
                <w:bCs w:val="0"/>
              </w:rPr>
            </w:pPr>
            <w:r w:rsidRPr="005E762B">
              <w:rPr>
                <w:rFonts w:ascii="Times New Roman" w:hAnsi="Times New Roman"/>
                <w:bCs w:val="0"/>
              </w:rPr>
              <w:t>Exposure</w:t>
            </w:r>
          </w:p>
        </w:tc>
        <w:tc>
          <w:tcPr>
            <w:tcW w:w="1000" w:type="pct"/>
          </w:tcPr>
          <w:p w14:paraId="0E2038BE" w14:textId="77777777" w:rsidR="00542711" w:rsidRPr="005E762B" w:rsidRDefault="00542711" w:rsidP="002E204E">
            <w:pPr>
              <w:cnfStyle w:val="100000000000" w:firstRow="1" w:lastRow="0" w:firstColumn="0" w:lastColumn="0" w:oddVBand="0" w:evenVBand="0" w:oddHBand="0" w:evenHBand="0" w:firstRowFirstColumn="0" w:firstRowLastColumn="0" w:lastRowFirstColumn="0" w:lastRowLastColumn="0"/>
              <w:rPr>
                <w:bCs w:val="0"/>
              </w:rPr>
            </w:pPr>
            <w:r w:rsidRPr="005E762B">
              <w:rPr>
                <w:rFonts w:ascii="Times New Roman" w:hAnsi="Times New Roman"/>
                <w:bCs w:val="0"/>
              </w:rPr>
              <w:t>Model</w:t>
            </w:r>
          </w:p>
        </w:tc>
        <w:tc>
          <w:tcPr>
            <w:tcW w:w="1000" w:type="pct"/>
          </w:tcPr>
          <w:p w14:paraId="211A504D" w14:textId="77777777" w:rsidR="00542711" w:rsidRPr="005E762B" w:rsidRDefault="00542711" w:rsidP="002E204E">
            <w:pPr>
              <w:cnfStyle w:val="100000000000" w:firstRow="1" w:lastRow="0" w:firstColumn="0" w:lastColumn="0" w:oddVBand="0" w:evenVBand="0" w:oddHBand="0" w:evenHBand="0" w:firstRowFirstColumn="0" w:firstRowLastColumn="0" w:lastRowFirstColumn="0" w:lastRowLastColumn="0"/>
              <w:rPr>
                <w:bCs w:val="0"/>
              </w:rPr>
            </w:pPr>
            <w:r w:rsidRPr="005E762B">
              <w:rPr>
                <w:rFonts w:ascii="Times New Roman" w:hAnsi="Times New Roman"/>
                <w:bCs w:val="0"/>
              </w:rPr>
              <w:t>HR</w:t>
            </w:r>
          </w:p>
        </w:tc>
        <w:tc>
          <w:tcPr>
            <w:tcW w:w="1000" w:type="pct"/>
          </w:tcPr>
          <w:p w14:paraId="098752C6" w14:textId="77777777" w:rsidR="00542711" w:rsidRPr="005E762B" w:rsidRDefault="00542711" w:rsidP="002E204E">
            <w:pPr>
              <w:cnfStyle w:val="100000000000" w:firstRow="1" w:lastRow="0" w:firstColumn="0" w:lastColumn="0" w:oddVBand="0" w:evenVBand="0" w:oddHBand="0" w:evenHBand="0" w:firstRowFirstColumn="0" w:firstRowLastColumn="0" w:lastRowFirstColumn="0" w:lastRowLastColumn="0"/>
              <w:rPr>
                <w:bCs w:val="0"/>
              </w:rPr>
            </w:pPr>
            <w:r w:rsidRPr="005E762B">
              <w:rPr>
                <w:rFonts w:ascii="Times New Roman" w:hAnsi="Times New Roman"/>
                <w:bCs w:val="0"/>
              </w:rPr>
              <w:t>95% CI</w:t>
            </w:r>
          </w:p>
        </w:tc>
        <w:tc>
          <w:tcPr>
            <w:tcW w:w="1000" w:type="pct"/>
          </w:tcPr>
          <w:p w14:paraId="277F1D45" w14:textId="64FB698F" w:rsidR="00542711" w:rsidRPr="005E762B" w:rsidRDefault="005E762B" w:rsidP="002E204E">
            <w:pPr>
              <w:cnfStyle w:val="100000000000" w:firstRow="1" w:lastRow="0" w:firstColumn="0" w:lastColumn="0" w:oddVBand="0" w:evenVBand="0" w:oddHBand="0" w:evenHBand="0" w:firstRowFirstColumn="0" w:firstRowLastColumn="0" w:lastRowFirstColumn="0" w:lastRowLastColumn="0"/>
              <w:rPr>
                <w:bCs w:val="0"/>
                <w:lang w:eastAsia="ja-JP"/>
              </w:rPr>
            </w:pPr>
            <w:r>
              <w:rPr>
                <w:rFonts w:ascii="Times New Roman" w:hAnsi="Times New Roman" w:hint="eastAsia"/>
                <w:bCs w:val="0"/>
                <w:lang w:eastAsia="ja-JP"/>
              </w:rPr>
              <w:t>p value</w:t>
            </w:r>
          </w:p>
        </w:tc>
      </w:tr>
      <w:tr w:rsidR="00542711" w14:paraId="442BE771" w14:textId="77777777" w:rsidTr="005E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bottom w:val="nil"/>
            </w:tcBorders>
            <w:shd w:val="clear" w:color="auto" w:fill="auto"/>
          </w:tcPr>
          <w:p w14:paraId="5E46D53E" w14:textId="165D1E2A" w:rsidR="00542711" w:rsidRDefault="00542711" w:rsidP="002E204E">
            <w:r>
              <w:rPr>
                <w:rFonts w:ascii="Times New Roman" w:hAnsi="Times New Roman" w:hint="eastAsia"/>
                <w:b w:val="0"/>
                <w:lang w:eastAsia="ja-JP"/>
              </w:rPr>
              <w:t xml:space="preserve">Log </w:t>
            </w:r>
            <w:r>
              <w:rPr>
                <w:rFonts w:ascii="Times New Roman" w:hAnsi="Times New Roman"/>
                <w:b w:val="0"/>
              </w:rPr>
              <w:t>FT3/FT4 ratio, per 1-SD</w:t>
            </w:r>
          </w:p>
        </w:tc>
        <w:tc>
          <w:tcPr>
            <w:tcW w:w="1000" w:type="pct"/>
            <w:tcBorders>
              <w:bottom w:val="nil"/>
            </w:tcBorders>
            <w:shd w:val="clear" w:color="auto" w:fill="auto"/>
          </w:tcPr>
          <w:p w14:paraId="5E6F89C8"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Model 1</w:t>
            </w:r>
          </w:p>
        </w:tc>
        <w:tc>
          <w:tcPr>
            <w:tcW w:w="1000" w:type="pct"/>
            <w:tcBorders>
              <w:bottom w:val="nil"/>
            </w:tcBorders>
            <w:shd w:val="clear" w:color="auto" w:fill="auto"/>
          </w:tcPr>
          <w:p w14:paraId="58C8FA61"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0.487</w:t>
            </w:r>
          </w:p>
        </w:tc>
        <w:tc>
          <w:tcPr>
            <w:tcW w:w="1000" w:type="pct"/>
            <w:tcBorders>
              <w:bottom w:val="nil"/>
            </w:tcBorders>
            <w:shd w:val="clear" w:color="auto" w:fill="auto"/>
          </w:tcPr>
          <w:p w14:paraId="313A3D65"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0.409-0.579</w:t>
            </w:r>
          </w:p>
        </w:tc>
        <w:tc>
          <w:tcPr>
            <w:tcW w:w="1000" w:type="pct"/>
            <w:tcBorders>
              <w:bottom w:val="nil"/>
            </w:tcBorders>
            <w:shd w:val="clear" w:color="auto" w:fill="auto"/>
          </w:tcPr>
          <w:p w14:paraId="22522396"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&lt;0.001</w:t>
            </w:r>
          </w:p>
        </w:tc>
      </w:tr>
      <w:tr w:rsidR="00542711" w14:paraId="1D08A3CC" w14:textId="77777777" w:rsidTr="005E762B">
        <w:tc>
          <w:tcPr>
            <w:cnfStyle w:val="001000000000" w:firstRow="0" w:lastRow="0" w:firstColumn="1" w:lastColumn="0" w:oddVBand="0" w:evenVBand="0" w:oddHBand="0" w:evenHBand="0" w:firstRowFirstColumn="0" w:firstRowLastColumn="0" w:lastRowFirstColumn="0" w:lastRowLastColumn="0"/>
            <w:tcW w:w="1000" w:type="pct"/>
            <w:tcBorders>
              <w:top w:val="nil"/>
              <w:bottom w:val="nil"/>
            </w:tcBorders>
          </w:tcPr>
          <w:p w14:paraId="635AAB7F" w14:textId="0D5ADF44" w:rsidR="00542711" w:rsidRDefault="00542711" w:rsidP="002E204E"/>
        </w:tc>
        <w:tc>
          <w:tcPr>
            <w:tcW w:w="1000" w:type="pct"/>
            <w:tcBorders>
              <w:top w:val="nil"/>
              <w:bottom w:val="nil"/>
            </w:tcBorders>
          </w:tcPr>
          <w:p w14:paraId="287211FC"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Model 2</w:t>
            </w:r>
          </w:p>
        </w:tc>
        <w:tc>
          <w:tcPr>
            <w:tcW w:w="1000" w:type="pct"/>
            <w:tcBorders>
              <w:top w:val="nil"/>
              <w:bottom w:val="nil"/>
            </w:tcBorders>
          </w:tcPr>
          <w:p w14:paraId="23E3AE83"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0.718</w:t>
            </w:r>
          </w:p>
        </w:tc>
        <w:tc>
          <w:tcPr>
            <w:tcW w:w="1000" w:type="pct"/>
            <w:tcBorders>
              <w:top w:val="nil"/>
              <w:bottom w:val="nil"/>
            </w:tcBorders>
          </w:tcPr>
          <w:p w14:paraId="70AAA98F"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0.591-0.872</w:t>
            </w:r>
          </w:p>
        </w:tc>
        <w:tc>
          <w:tcPr>
            <w:tcW w:w="1000" w:type="pct"/>
            <w:tcBorders>
              <w:top w:val="nil"/>
              <w:bottom w:val="nil"/>
            </w:tcBorders>
          </w:tcPr>
          <w:p w14:paraId="5E37C836"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&lt;0.001</w:t>
            </w:r>
          </w:p>
        </w:tc>
      </w:tr>
      <w:tr w:rsidR="00542711" w14:paraId="61152203" w14:textId="77777777" w:rsidTr="005E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il"/>
              <w:bottom w:val="nil"/>
            </w:tcBorders>
            <w:shd w:val="clear" w:color="auto" w:fill="auto"/>
          </w:tcPr>
          <w:p w14:paraId="6F809D54" w14:textId="7233FB68" w:rsidR="00542711" w:rsidRDefault="00542711" w:rsidP="002E204E"/>
        </w:tc>
        <w:tc>
          <w:tcPr>
            <w:tcW w:w="1000" w:type="pct"/>
            <w:tcBorders>
              <w:top w:val="nil"/>
              <w:bottom w:val="nil"/>
            </w:tcBorders>
            <w:shd w:val="clear" w:color="auto" w:fill="auto"/>
          </w:tcPr>
          <w:p w14:paraId="34207FA6"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Model 3</w:t>
            </w:r>
          </w:p>
        </w:tc>
        <w:tc>
          <w:tcPr>
            <w:tcW w:w="1000" w:type="pct"/>
            <w:tcBorders>
              <w:top w:val="nil"/>
              <w:bottom w:val="nil"/>
            </w:tcBorders>
            <w:shd w:val="clear" w:color="auto" w:fill="auto"/>
          </w:tcPr>
          <w:p w14:paraId="06F06D4E"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0.714</w:t>
            </w:r>
          </w:p>
        </w:tc>
        <w:tc>
          <w:tcPr>
            <w:tcW w:w="1000" w:type="pct"/>
            <w:tcBorders>
              <w:top w:val="nil"/>
              <w:bottom w:val="nil"/>
            </w:tcBorders>
            <w:shd w:val="clear" w:color="auto" w:fill="auto"/>
          </w:tcPr>
          <w:p w14:paraId="509DFA30"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0.598-0.853</w:t>
            </w:r>
          </w:p>
        </w:tc>
        <w:tc>
          <w:tcPr>
            <w:tcW w:w="1000" w:type="pct"/>
            <w:tcBorders>
              <w:top w:val="nil"/>
              <w:bottom w:val="nil"/>
            </w:tcBorders>
            <w:shd w:val="clear" w:color="auto" w:fill="auto"/>
          </w:tcPr>
          <w:p w14:paraId="5793EDC2"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&lt;0.001</w:t>
            </w:r>
          </w:p>
        </w:tc>
      </w:tr>
      <w:tr w:rsidR="00542711" w14:paraId="46C6875E" w14:textId="77777777" w:rsidTr="005E762B">
        <w:tc>
          <w:tcPr>
            <w:cnfStyle w:val="001000000000" w:firstRow="0" w:lastRow="0" w:firstColumn="1" w:lastColumn="0" w:oddVBand="0" w:evenVBand="0" w:oddHBand="0" w:evenHBand="0" w:firstRowFirstColumn="0" w:firstRowLastColumn="0" w:lastRowFirstColumn="0" w:lastRowLastColumn="0"/>
            <w:tcW w:w="1000" w:type="pct"/>
            <w:tcBorders>
              <w:top w:val="nil"/>
            </w:tcBorders>
          </w:tcPr>
          <w:p w14:paraId="02C6B492" w14:textId="4B33463F" w:rsidR="00542711" w:rsidRDefault="00542711" w:rsidP="002E204E"/>
        </w:tc>
        <w:tc>
          <w:tcPr>
            <w:tcW w:w="1000" w:type="pct"/>
            <w:tcBorders>
              <w:top w:val="nil"/>
            </w:tcBorders>
          </w:tcPr>
          <w:p w14:paraId="1C09F299"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Model 4</w:t>
            </w:r>
          </w:p>
        </w:tc>
        <w:tc>
          <w:tcPr>
            <w:tcW w:w="1000" w:type="pct"/>
            <w:tcBorders>
              <w:top w:val="nil"/>
            </w:tcBorders>
          </w:tcPr>
          <w:p w14:paraId="3037EE75"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0.745</w:t>
            </w:r>
          </w:p>
        </w:tc>
        <w:tc>
          <w:tcPr>
            <w:tcW w:w="1000" w:type="pct"/>
            <w:tcBorders>
              <w:top w:val="nil"/>
            </w:tcBorders>
          </w:tcPr>
          <w:p w14:paraId="6CC3D4BE"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0.622-0.893</w:t>
            </w:r>
          </w:p>
        </w:tc>
        <w:tc>
          <w:tcPr>
            <w:tcW w:w="1000" w:type="pct"/>
            <w:tcBorders>
              <w:top w:val="nil"/>
            </w:tcBorders>
          </w:tcPr>
          <w:p w14:paraId="2FC57FD9" w14:textId="6D5B2427" w:rsidR="00542711" w:rsidRDefault="00542711" w:rsidP="002E204E">
            <w:pPr>
              <w:cnfStyle w:val="000000000000" w:firstRow="0" w:lastRow="0" w:firstColumn="0" w:lastColumn="0" w:oddVBand="0" w:evenVBand="0" w:oddHBand="0" w:evenHBand="0" w:firstRowFirstColumn="0" w:firstRowLastColumn="0" w:lastRowFirstColumn="0" w:lastRowLastColumn="0"/>
              <w:rPr>
                <w:lang w:eastAsia="ja-JP"/>
              </w:rPr>
            </w:pPr>
            <w:r>
              <w:rPr>
                <w:rFonts w:ascii="Times New Roman" w:hAnsi="Times New Roman"/>
              </w:rPr>
              <w:t>0.00</w:t>
            </w:r>
            <w:r w:rsidR="00C66FD4">
              <w:rPr>
                <w:rFonts w:ascii="Times New Roman" w:hAnsi="Times New Roman" w:hint="eastAsia"/>
                <w:lang w:eastAsia="ja-JP"/>
              </w:rPr>
              <w:t>2</w:t>
            </w:r>
          </w:p>
        </w:tc>
      </w:tr>
      <w:tr w:rsidR="00542711" w14:paraId="12AE8A1B" w14:textId="77777777" w:rsidTr="005E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bottom w:val="nil"/>
            </w:tcBorders>
            <w:shd w:val="clear" w:color="auto" w:fill="auto"/>
          </w:tcPr>
          <w:p w14:paraId="4943EB54" w14:textId="77777777" w:rsidR="00542711" w:rsidRDefault="00542711" w:rsidP="002E204E">
            <w:r>
              <w:rPr>
                <w:rFonts w:ascii="Times New Roman" w:hAnsi="Times New Roman"/>
                <w:b w:val="0"/>
              </w:rPr>
              <w:t>PHQ-9 score, per 1-point</w:t>
            </w:r>
          </w:p>
        </w:tc>
        <w:tc>
          <w:tcPr>
            <w:tcW w:w="1000" w:type="pct"/>
            <w:tcBorders>
              <w:bottom w:val="nil"/>
            </w:tcBorders>
            <w:shd w:val="clear" w:color="auto" w:fill="auto"/>
          </w:tcPr>
          <w:p w14:paraId="4DA7C89C"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Model 1</w:t>
            </w:r>
          </w:p>
        </w:tc>
        <w:tc>
          <w:tcPr>
            <w:tcW w:w="1000" w:type="pct"/>
            <w:tcBorders>
              <w:bottom w:val="nil"/>
            </w:tcBorders>
            <w:shd w:val="clear" w:color="auto" w:fill="auto"/>
          </w:tcPr>
          <w:p w14:paraId="77A02E20"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1.025</w:t>
            </w:r>
          </w:p>
        </w:tc>
        <w:tc>
          <w:tcPr>
            <w:tcW w:w="1000" w:type="pct"/>
            <w:tcBorders>
              <w:bottom w:val="nil"/>
            </w:tcBorders>
            <w:shd w:val="clear" w:color="auto" w:fill="auto"/>
          </w:tcPr>
          <w:p w14:paraId="57167DC8"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0.987-1.064</w:t>
            </w:r>
          </w:p>
        </w:tc>
        <w:tc>
          <w:tcPr>
            <w:tcW w:w="1000" w:type="pct"/>
            <w:tcBorders>
              <w:bottom w:val="nil"/>
            </w:tcBorders>
            <w:shd w:val="clear" w:color="auto" w:fill="auto"/>
          </w:tcPr>
          <w:p w14:paraId="14E43AC0" w14:textId="0E5B03BC"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0.2</w:t>
            </w:r>
          </w:p>
        </w:tc>
      </w:tr>
      <w:tr w:rsidR="00542711" w14:paraId="73078CAC" w14:textId="77777777" w:rsidTr="005E762B">
        <w:tc>
          <w:tcPr>
            <w:cnfStyle w:val="001000000000" w:firstRow="0" w:lastRow="0" w:firstColumn="1" w:lastColumn="0" w:oddVBand="0" w:evenVBand="0" w:oddHBand="0" w:evenHBand="0" w:firstRowFirstColumn="0" w:firstRowLastColumn="0" w:lastRowFirstColumn="0" w:lastRowLastColumn="0"/>
            <w:tcW w:w="1000" w:type="pct"/>
            <w:tcBorders>
              <w:top w:val="nil"/>
              <w:bottom w:val="nil"/>
            </w:tcBorders>
          </w:tcPr>
          <w:p w14:paraId="4CF4E3AE" w14:textId="091AB2E3" w:rsidR="00542711" w:rsidRDefault="00542711" w:rsidP="002E204E"/>
        </w:tc>
        <w:tc>
          <w:tcPr>
            <w:tcW w:w="1000" w:type="pct"/>
            <w:tcBorders>
              <w:top w:val="nil"/>
              <w:bottom w:val="nil"/>
            </w:tcBorders>
          </w:tcPr>
          <w:p w14:paraId="69CF7B0D"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Model 2</w:t>
            </w:r>
          </w:p>
        </w:tc>
        <w:tc>
          <w:tcPr>
            <w:tcW w:w="1000" w:type="pct"/>
            <w:tcBorders>
              <w:top w:val="nil"/>
              <w:bottom w:val="nil"/>
            </w:tcBorders>
          </w:tcPr>
          <w:p w14:paraId="749F861A"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1.078</w:t>
            </w:r>
          </w:p>
        </w:tc>
        <w:tc>
          <w:tcPr>
            <w:tcW w:w="1000" w:type="pct"/>
            <w:tcBorders>
              <w:top w:val="nil"/>
              <w:bottom w:val="nil"/>
            </w:tcBorders>
          </w:tcPr>
          <w:p w14:paraId="26E87E98"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1.040-1.118</w:t>
            </w:r>
          </w:p>
        </w:tc>
        <w:tc>
          <w:tcPr>
            <w:tcW w:w="1000" w:type="pct"/>
            <w:tcBorders>
              <w:top w:val="nil"/>
              <w:bottom w:val="nil"/>
            </w:tcBorders>
          </w:tcPr>
          <w:p w14:paraId="404D5D78"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&lt;0.001</w:t>
            </w:r>
          </w:p>
        </w:tc>
      </w:tr>
      <w:tr w:rsidR="00542711" w14:paraId="262E124E" w14:textId="77777777" w:rsidTr="005E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il"/>
              <w:bottom w:val="nil"/>
            </w:tcBorders>
            <w:shd w:val="clear" w:color="auto" w:fill="auto"/>
          </w:tcPr>
          <w:p w14:paraId="03AC98A6" w14:textId="604D6A55" w:rsidR="00542711" w:rsidRDefault="00542711" w:rsidP="002E204E"/>
        </w:tc>
        <w:tc>
          <w:tcPr>
            <w:tcW w:w="1000" w:type="pct"/>
            <w:tcBorders>
              <w:top w:val="nil"/>
              <w:bottom w:val="nil"/>
            </w:tcBorders>
            <w:shd w:val="clear" w:color="auto" w:fill="auto"/>
          </w:tcPr>
          <w:p w14:paraId="0F68DD04"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Model 3</w:t>
            </w:r>
          </w:p>
        </w:tc>
        <w:tc>
          <w:tcPr>
            <w:tcW w:w="1000" w:type="pct"/>
            <w:tcBorders>
              <w:top w:val="nil"/>
              <w:bottom w:val="nil"/>
            </w:tcBorders>
            <w:shd w:val="clear" w:color="auto" w:fill="auto"/>
          </w:tcPr>
          <w:p w14:paraId="4ED58524"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1.066</w:t>
            </w:r>
          </w:p>
        </w:tc>
        <w:tc>
          <w:tcPr>
            <w:tcW w:w="1000" w:type="pct"/>
            <w:tcBorders>
              <w:top w:val="nil"/>
              <w:bottom w:val="nil"/>
            </w:tcBorders>
            <w:shd w:val="clear" w:color="auto" w:fill="auto"/>
          </w:tcPr>
          <w:p w14:paraId="7061A3D8" w14:textId="77777777"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1.025-1.109</w:t>
            </w:r>
          </w:p>
        </w:tc>
        <w:tc>
          <w:tcPr>
            <w:tcW w:w="1000" w:type="pct"/>
            <w:tcBorders>
              <w:top w:val="nil"/>
              <w:bottom w:val="nil"/>
            </w:tcBorders>
            <w:shd w:val="clear" w:color="auto" w:fill="auto"/>
          </w:tcPr>
          <w:p w14:paraId="6CD799A4" w14:textId="5C86CE06" w:rsidR="00542711" w:rsidRDefault="00542711" w:rsidP="002E204E">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0.001</w:t>
            </w:r>
          </w:p>
        </w:tc>
      </w:tr>
      <w:tr w:rsidR="00542711" w14:paraId="0DD6634D" w14:textId="77777777" w:rsidTr="005E762B">
        <w:tc>
          <w:tcPr>
            <w:cnfStyle w:val="001000000000" w:firstRow="0" w:lastRow="0" w:firstColumn="1" w:lastColumn="0" w:oddVBand="0" w:evenVBand="0" w:oddHBand="0" w:evenHBand="0" w:firstRowFirstColumn="0" w:firstRowLastColumn="0" w:lastRowFirstColumn="0" w:lastRowLastColumn="0"/>
            <w:tcW w:w="1000" w:type="pct"/>
            <w:tcBorders>
              <w:top w:val="nil"/>
            </w:tcBorders>
          </w:tcPr>
          <w:p w14:paraId="5080F933" w14:textId="14F51DBE" w:rsidR="00542711" w:rsidRDefault="00542711" w:rsidP="002E204E"/>
        </w:tc>
        <w:tc>
          <w:tcPr>
            <w:tcW w:w="1000" w:type="pct"/>
            <w:tcBorders>
              <w:top w:val="nil"/>
            </w:tcBorders>
          </w:tcPr>
          <w:p w14:paraId="7EE50293"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Model 4</w:t>
            </w:r>
          </w:p>
        </w:tc>
        <w:tc>
          <w:tcPr>
            <w:tcW w:w="1000" w:type="pct"/>
            <w:tcBorders>
              <w:top w:val="nil"/>
            </w:tcBorders>
          </w:tcPr>
          <w:p w14:paraId="4AC7E578"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1.043</w:t>
            </w:r>
          </w:p>
        </w:tc>
        <w:tc>
          <w:tcPr>
            <w:tcW w:w="1000" w:type="pct"/>
            <w:tcBorders>
              <w:top w:val="nil"/>
            </w:tcBorders>
          </w:tcPr>
          <w:p w14:paraId="71BB023C" w14:textId="77777777" w:rsidR="00542711" w:rsidRDefault="00542711" w:rsidP="002E204E">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1.008-1.078</w:t>
            </w:r>
          </w:p>
        </w:tc>
        <w:tc>
          <w:tcPr>
            <w:tcW w:w="1000" w:type="pct"/>
            <w:tcBorders>
              <w:top w:val="nil"/>
            </w:tcBorders>
          </w:tcPr>
          <w:p w14:paraId="2E51A93D" w14:textId="46F3EF8A" w:rsidR="00542711" w:rsidRDefault="00542711" w:rsidP="002E204E">
            <w:pPr>
              <w:cnfStyle w:val="000000000000" w:firstRow="0" w:lastRow="0" w:firstColumn="0" w:lastColumn="0" w:oddVBand="0" w:evenVBand="0" w:oddHBand="0" w:evenHBand="0" w:firstRowFirstColumn="0" w:firstRowLastColumn="0" w:lastRowFirstColumn="0" w:lastRowLastColumn="0"/>
              <w:rPr>
                <w:lang w:eastAsia="ja-JP"/>
              </w:rPr>
            </w:pPr>
            <w:r>
              <w:rPr>
                <w:rFonts w:ascii="Times New Roman" w:hAnsi="Times New Roman"/>
              </w:rPr>
              <w:t>0.01</w:t>
            </w:r>
            <w:r w:rsidR="008043D6">
              <w:rPr>
                <w:rFonts w:ascii="Times New Roman" w:hAnsi="Times New Roman" w:hint="eastAsia"/>
                <w:lang w:eastAsia="ja-JP"/>
              </w:rPr>
              <w:t>5</w:t>
            </w:r>
          </w:p>
        </w:tc>
      </w:tr>
    </w:tbl>
    <w:p w14:paraId="3B9CEB29" w14:textId="0D7FEE90" w:rsidR="009927B9" w:rsidRDefault="00037D9D" w:rsidP="0042479B">
      <w:pPr>
        <w:spacing w:after="120" w:line="360" w:lineRule="auto"/>
      </w:pPr>
      <w:r w:rsidRPr="00037D9D">
        <w:t xml:space="preserve">Model 1 was unadjusted. Model 2 was adjusted for age, sex, and BMI. Model 3 was further adjusted for race/ethnicity, education, smoking status, and physical activity. Model 4 was further adjusted for CVD history, hypertension, diabetes, and the complementary thyroid or depression variable: PHQ-9 score was added to models of the log FT3/FT4 ratio, and the log FT3/FT4 ratio was added to models of PHQ-9 score. CVD mortality was defined as death from heart disease or cerebrovascular disease according to underlying cause-of-death codes 001 or 005. The FT3/FT4 ratio was natural log-transformed before analysis, and HRs are expressed per 1-SD increase. HR, hazard ratio; CI, confidence interval; FT3/FT4, free triiodothyronine-to-free thyroxine ratio; </w:t>
      </w:r>
      <w:r w:rsidR="00BE4509">
        <w:rPr>
          <w:rFonts w:hint="eastAsia"/>
          <w:lang w:eastAsia="ja-JP"/>
        </w:rPr>
        <w:t xml:space="preserve">SD, standard deviation; </w:t>
      </w:r>
      <w:r w:rsidRPr="00037D9D">
        <w:t>PHQ-9, Patient Health Questionnaire-9</w:t>
      </w:r>
      <w:r w:rsidR="007C7461">
        <w:rPr>
          <w:rFonts w:hint="eastAsia"/>
          <w:lang w:eastAsia="ja-JP"/>
        </w:rPr>
        <w:t xml:space="preserve">; BMI, body mass index; CVD, </w:t>
      </w:r>
      <w:r w:rsidR="007C7461">
        <w:rPr>
          <w:lang w:eastAsia="ja-JP"/>
        </w:rPr>
        <w:t>cardiovascular</w:t>
      </w:r>
      <w:r w:rsidR="007C7461">
        <w:rPr>
          <w:rFonts w:hint="eastAsia"/>
          <w:lang w:eastAsia="ja-JP"/>
        </w:rPr>
        <w:t xml:space="preserve"> disease</w:t>
      </w:r>
      <w:r w:rsidRPr="00037D9D">
        <w:t>.</w:t>
      </w:r>
    </w:p>
    <w:p w14:paraId="0C082F4A" w14:textId="77777777" w:rsidR="008043D6" w:rsidRPr="0042479B" w:rsidRDefault="008043D6" w:rsidP="0042479B">
      <w:pPr>
        <w:spacing w:after="120" w:line="360" w:lineRule="auto"/>
        <w:rPr>
          <w:rFonts w:cs="Times New Roman"/>
          <w:szCs w:val="24"/>
          <w:lang w:eastAsia="ja-JP"/>
        </w:rPr>
      </w:pPr>
    </w:p>
    <w:p w14:paraId="43A9EC4E" w14:textId="269F272C" w:rsidR="0042479B" w:rsidRPr="0042479B" w:rsidRDefault="0042479B" w:rsidP="0042479B">
      <w:pPr>
        <w:spacing w:after="120" w:line="360" w:lineRule="auto"/>
        <w:rPr>
          <w:rFonts w:cs="Times New Roman"/>
          <w:szCs w:val="24"/>
        </w:rPr>
      </w:pPr>
      <w:r w:rsidRPr="0042479B">
        <w:rPr>
          <w:rFonts w:cs="Times New Roman"/>
          <w:b/>
          <w:szCs w:val="24"/>
        </w:rPr>
        <w:lastRenderedPageBreak/>
        <w:t>T</w:t>
      </w:r>
      <w:r w:rsidR="00A06EAF">
        <w:rPr>
          <w:rFonts w:cs="Times New Roman" w:hint="eastAsia"/>
          <w:b/>
          <w:szCs w:val="24"/>
          <w:lang w:eastAsia="ja-JP"/>
        </w:rPr>
        <w:t>able</w:t>
      </w:r>
      <w:r w:rsidRPr="0042479B">
        <w:rPr>
          <w:rFonts w:cs="Times New Roman"/>
          <w:b/>
          <w:szCs w:val="24"/>
        </w:rPr>
        <w:t xml:space="preserve"> S</w:t>
      </w:r>
      <w:r w:rsidR="008043D6">
        <w:rPr>
          <w:rFonts w:cs="Times New Roman" w:hint="eastAsia"/>
          <w:b/>
          <w:szCs w:val="24"/>
          <w:lang w:eastAsia="ja-JP"/>
        </w:rPr>
        <w:t>2</w:t>
      </w:r>
      <w:r w:rsidRPr="0042479B">
        <w:rPr>
          <w:rFonts w:cs="Times New Roman"/>
          <w:szCs w:val="24"/>
        </w:rPr>
        <w:t xml:space="preserve"> Group sizes and deaths for the exploratory additive-interaction analysis of the FT3/FT4 ratio and depressive symptoms.</w:t>
      </w:r>
    </w:p>
    <w:tbl>
      <w:tblPr>
        <w:tblStyle w:val="25"/>
        <w:tblW w:w="0" w:type="auto"/>
        <w:tblLook w:val="04A0" w:firstRow="1" w:lastRow="0" w:firstColumn="1" w:lastColumn="0" w:noHBand="0" w:noVBand="1"/>
      </w:tblPr>
      <w:tblGrid>
        <w:gridCol w:w="4928"/>
        <w:gridCol w:w="1342"/>
        <w:gridCol w:w="3135"/>
      </w:tblGrid>
      <w:tr w:rsidR="0042479B" w:rsidRPr="0042479B" w14:paraId="7FA35100" w14:textId="77777777" w:rsidTr="00F25C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68DB33E4"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szCs w:val="24"/>
              </w:rPr>
              <w:t>Group</w:t>
            </w:r>
          </w:p>
        </w:tc>
        <w:tc>
          <w:tcPr>
            <w:tcW w:w="1342" w:type="dxa"/>
          </w:tcPr>
          <w:p w14:paraId="3C629D93" w14:textId="77777777" w:rsidR="0042479B" w:rsidRPr="0042479B" w:rsidRDefault="0042479B" w:rsidP="0042479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n</w:t>
            </w:r>
          </w:p>
        </w:tc>
        <w:tc>
          <w:tcPr>
            <w:tcW w:w="3135" w:type="dxa"/>
          </w:tcPr>
          <w:p w14:paraId="2E43F1E3" w14:textId="77777777" w:rsidR="0042479B" w:rsidRPr="0042479B" w:rsidRDefault="0042479B" w:rsidP="0042479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All-cause deaths</w:t>
            </w:r>
          </w:p>
        </w:tc>
      </w:tr>
      <w:tr w:rsidR="0042479B" w:rsidRPr="0042479B" w14:paraId="4D6A6AC0"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bottom w:val="nil"/>
            </w:tcBorders>
          </w:tcPr>
          <w:p w14:paraId="37676E67"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b w:val="0"/>
                <w:szCs w:val="24"/>
              </w:rPr>
              <w:t>Reference: high FT3/FT4 ratio, non-depressed</w:t>
            </w:r>
          </w:p>
        </w:tc>
        <w:tc>
          <w:tcPr>
            <w:tcW w:w="1342" w:type="dxa"/>
            <w:tcBorders>
              <w:bottom w:val="nil"/>
            </w:tcBorders>
          </w:tcPr>
          <w:p w14:paraId="16033392"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3,178</w:t>
            </w:r>
          </w:p>
        </w:tc>
        <w:tc>
          <w:tcPr>
            <w:tcW w:w="3135" w:type="dxa"/>
            <w:tcBorders>
              <w:bottom w:val="nil"/>
            </w:tcBorders>
          </w:tcPr>
          <w:p w14:paraId="13DE2CD4"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301</w:t>
            </w:r>
          </w:p>
        </w:tc>
      </w:tr>
      <w:tr w:rsidR="0042479B" w:rsidRPr="0042479B" w14:paraId="6A2EBD98" w14:textId="77777777" w:rsidTr="00F25CCB">
        <w:tc>
          <w:tcPr>
            <w:cnfStyle w:val="001000000000" w:firstRow="0" w:lastRow="0" w:firstColumn="1" w:lastColumn="0" w:oddVBand="0" w:evenVBand="0" w:oddHBand="0" w:evenHBand="0" w:firstRowFirstColumn="0" w:firstRowLastColumn="0" w:lastRowFirstColumn="0" w:lastRowLastColumn="0"/>
            <w:tcW w:w="4928" w:type="dxa"/>
            <w:tcBorders>
              <w:top w:val="nil"/>
              <w:bottom w:val="nil"/>
            </w:tcBorders>
          </w:tcPr>
          <w:p w14:paraId="068E2843"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b w:val="0"/>
                <w:szCs w:val="24"/>
              </w:rPr>
              <w:t>Low FT3/FT4 ratio, non-depressed</w:t>
            </w:r>
          </w:p>
        </w:tc>
        <w:tc>
          <w:tcPr>
            <w:tcW w:w="1342" w:type="dxa"/>
            <w:tcBorders>
              <w:top w:val="nil"/>
              <w:bottom w:val="nil"/>
            </w:tcBorders>
          </w:tcPr>
          <w:p w14:paraId="16AB4405"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3,195</w:t>
            </w:r>
          </w:p>
        </w:tc>
        <w:tc>
          <w:tcPr>
            <w:tcW w:w="3135" w:type="dxa"/>
            <w:tcBorders>
              <w:top w:val="nil"/>
              <w:bottom w:val="nil"/>
            </w:tcBorders>
          </w:tcPr>
          <w:p w14:paraId="435D37B4"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570</w:t>
            </w:r>
          </w:p>
        </w:tc>
      </w:tr>
      <w:tr w:rsidR="0042479B" w:rsidRPr="0042479B" w14:paraId="52E9A5F3"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top w:val="nil"/>
              <w:bottom w:val="nil"/>
            </w:tcBorders>
          </w:tcPr>
          <w:p w14:paraId="1E2C5BD1"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b w:val="0"/>
                <w:szCs w:val="24"/>
              </w:rPr>
              <w:t>High FT3/FT4 ratio, depressed</w:t>
            </w:r>
          </w:p>
        </w:tc>
        <w:tc>
          <w:tcPr>
            <w:tcW w:w="1342" w:type="dxa"/>
            <w:tcBorders>
              <w:top w:val="nil"/>
              <w:bottom w:val="nil"/>
            </w:tcBorders>
          </w:tcPr>
          <w:p w14:paraId="26CB3479"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322</w:t>
            </w:r>
          </w:p>
        </w:tc>
        <w:tc>
          <w:tcPr>
            <w:tcW w:w="3135" w:type="dxa"/>
            <w:tcBorders>
              <w:top w:val="nil"/>
              <w:bottom w:val="nil"/>
            </w:tcBorders>
          </w:tcPr>
          <w:p w14:paraId="5CA8CDBD"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31</w:t>
            </w:r>
          </w:p>
        </w:tc>
      </w:tr>
      <w:tr w:rsidR="0042479B" w:rsidRPr="0042479B" w14:paraId="6A6FF88F" w14:textId="77777777" w:rsidTr="00F25CCB">
        <w:tc>
          <w:tcPr>
            <w:cnfStyle w:val="001000000000" w:firstRow="0" w:lastRow="0" w:firstColumn="1" w:lastColumn="0" w:oddVBand="0" w:evenVBand="0" w:oddHBand="0" w:evenHBand="0" w:firstRowFirstColumn="0" w:firstRowLastColumn="0" w:lastRowFirstColumn="0" w:lastRowLastColumn="0"/>
            <w:tcW w:w="4928" w:type="dxa"/>
            <w:tcBorders>
              <w:top w:val="nil"/>
            </w:tcBorders>
          </w:tcPr>
          <w:p w14:paraId="68903065"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b w:val="0"/>
                <w:szCs w:val="24"/>
              </w:rPr>
              <w:t xml:space="preserve">Low FT3/FT4 ratio, depressed </w:t>
            </w:r>
          </w:p>
        </w:tc>
        <w:tc>
          <w:tcPr>
            <w:tcW w:w="1342" w:type="dxa"/>
            <w:tcBorders>
              <w:top w:val="nil"/>
            </w:tcBorders>
          </w:tcPr>
          <w:p w14:paraId="7E9D79B7"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302</w:t>
            </w:r>
          </w:p>
        </w:tc>
        <w:tc>
          <w:tcPr>
            <w:tcW w:w="3135" w:type="dxa"/>
            <w:tcBorders>
              <w:top w:val="nil"/>
            </w:tcBorders>
          </w:tcPr>
          <w:p w14:paraId="7A535850"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60</w:t>
            </w:r>
          </w:p>
        </w:tc>
      </w:tr>
    </w:tbl>
    <w:p w14:paraId="649F7DC2" w14:textId="77777777" w:rsidR="0042479B" w:rsidRPr="0042479B" w:rsidRDefault="0042479B" w:rsidP="0042479B">
      <w:pPr>
        <w:spacing w:after="240" w:line="360" w:lineRule="auto"/>
        <w:rPr>
          <w:rFonts w:cs="Times New Roman"/>
          <w:szCs w:val="24"/>
        </w:rPr>
      </w:pPr>
      <w:r w:rsidRPr="0042479B">
        <w:rPr>
          <w:rFonts w:cs="Times New Roman"/>
          <w:szCs w:val="24"/>
        </w:rPr>
        <w:t>The FT3/FT4 ratio was dichotomized at the unweighted median in the complete-case analytic sample (median, 4.078; survey-weighted median, 4.063) and cross-classified with binary depression status, defined as PHQ-9 ≥10. The reference group was participants with a high FT3/FT4 ratio and no depression. The joint-exposure group was participants with a low FT3/FT4 ratio and depression. FT3/FT4, free triiodothyronine-to-free thyroxine ratio; PHQ-9, Patient Health Questionnaire-9.</w:t>
      </w:r>
    </w:p>
    <w:p w14:paraId="55A86653" w14:textId="77777777" w:rsidR="0042479B" w:rsidRPr="0042479B" w:rsidRDefault="0042479B" w:rsidP="0042479B">
      <w:pPr>
        <w:spacing w:after="240" w:line="360" w:lineRule="auto"/>
        <w:rPr>
          <w:rFonts w:cs="Times New Roman"/>
          <w:szCs w:val="24"/>
        </w:rPr>
      </w:pPr>
    </w:p>
    <w:p w14:paraId="386A58BE" w14:textId="3F5BA0FB" w:rsidR="0042479B" w:rsidRPr="0042479B" w:rsidRDefault="0042479B" w:rsidP="0042479B">
      <w:pPr>
        <w:spacing w:after="120" w:line="360" w:lineRule="auto"/>
        <w:rPr>
          <w:rFonts w:cs="Times New Roman"/>
          <w:szCs w:val="24"/>
        </w:rPr>
      </w:pPr>
      <w:r w:rsidRPr="0042479B">
        <w:rPr>
          <w:rFonts w:cs="Times New Roman"/>
          <w:b/>
          <w:szCs w:val="24"/>
        </w:rPr>
        <w:t>T</w:t>
      </w:r>
      <w:r w:rsidR="00A06EAF">
        <w:rPr>
          <w:rFonts w:cs="Times New Roman" w:hint="eastAsia"/>
          <w:b/>
          <w:szCs w:val="24"/>
          <w:lang w:eastAsia="ja-JP"/>
        </w:rPr>
        <w:t>able</w:t>
      </w:r>
      <w:r w:rsidRPr="0042479B">
        <w:rPr>
          <w:rFonts w:cs="Times New Roman"/>
          <w:b/>
          <w:szCs w:val="24"/>
        </w:rPr>
        <w:t xml:space="preserve"> S</w:t>
      </w:r>
      <w:r w:rsidR="008043D6">
        <w:rPr>
          <w:rFonts w:cs="Times New Roman" w:hint="eastAsia"/>
          <w:b/>
          <w:szCs w:val="24"/>
          <w:lang w:eastAsia="ja-JP"/>
        </w:rPr>
        <w:t>3</w:t>
      </w:r>
      <w:r w:rsidRPr="0042479B">
        <w:rPr>
          <w:rFonts w:cs="Times New Roman"/>
          <w:szCs w:val="24"/>
        </w:rPr>
        <w:t xml:space="preserve"> Exploratory additive-scale interaction (RERI and AP) between the FT3/FT4 ratio and depressive symptoms for all-cause mortality.</w:t>
      </w:r>
    </w:p>
    <w:tbl>
      <w:tblPr>
        <w:tblStyle w:val="26"/>
        <w:tblW w:w="0" w:type="auto"/>
        <w:tblLook w:val="04A0" w:firstRow="1" w:lastRow="0" w:firstColumn="1" w:lastColumn="0" w:noHBand="0" w:noVBand="1"/>
      </w:tblPr>
      <w:tblGrid>
        <w:gridCol w:w="1809"/>
        <w:gridCol w:w="4253"/>
        <w:gridCol w:w="1417"/>
        <w:gridCol w:w="1925"/>
      </w:tblGrid>
      <w:tr w:rsidR="0042479B" w:rsidRPr="0042479B" w14:paraId="51109037" w14:textId="77777777" w:rsidTr="00F25C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666666" w:themeColor="text1" w:themeTint="99"/>
            </w:tcBorders>
          </w:tcPr>
          <w:p w14:paraId="62DB3BA6" w14:textId="77777777" w:rsidR="0042479B" w:rsidRPr="0042479B" w:rsidRDefault="0042479B" w:rsidP="0042479B">
            <w:pPr>
              <w:spacing w:line="360" w:lineRule="auto"/>
              <w:rPr>
                <w:rFonts w:ascii="Times New Roman" w:hAnsi="Times New Roman" w:cs="Times New Roman"/>
                <w:szCs w:val="24"/>
              </w:rPr>
            </w:pPr>
            <w:r w:rsidRPr="0042479B">
              <w:rPr>
                <w:rFonts w:ascii="Times New Roman" w:hAnsi="Times New Roman" w:cs="Times New Roman"/>
                <w:szCs w:val="24"/>
              </w:rPr>
              <w:t>Model</w:t>
            </w:r>
          </w:p>
        </w:tc>
        <w:tc>
          <w:tcPr>
            <w:tcW w:w="4253" w:type="dxa"/>
            <w:tcBorders>
              <w:bottom w:val="single" w:sz="4" w:space="0" w:color="666666" w:themeColor="text1" w:themeTint="99"/>
            </w:tcBorders>
          </w:tcPr>
          <w:p w14:paraId="0F8C4C37" w14:textId="77777777" w:rsidR="0042479B" w:rsidRPr="0042479B" w:rsidRDefault="0042479B" w:rsidP="0042479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Comparison</w:t>
            </w:r>
          </w:p>
        </w:tc>
        <w:tc>
          <w:tcPr>
            <w:tcW w:w="1417" w:type="dxa"/>
            <w:tcBorders>
              <w:bottom w:val="single" w:sz="4" w:space="0" w:color="666666" w:themeColor="text1" w:themeTint="99"/>
            </w:tcBorders>
          </w:tcPr>
          <w:p w14:paraId="14548597" w14:textId="77777777" w:rsidR="0042479B" w:rsidRPr="0042479B" w:rsidRDefault="0042479B" w:rsidP="0042479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Estimate</w:t>
            </w:r>
          </w:p>
        </w:tc>
        <w:tc>
          <w:tcPr>
            <w:tcW w:w="1925" w:type="dxa"/>
            <w:tcBorders>
              <w:bottom w:val="single" w:sz="4" w:space="0" w:color="666666" w:themeColor="text1" w:themeTint="99"/>
            </w:tcBorders>
          </w:tcPr>
          <w:p w14:paraId="0995C0C2" w14:textId="77777777" w:rsidR="0042479B" w:rsidRPr="0042479B" w:rsidRDefault="0042479B" w:rsidP="0042479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95% CI</w:t>
            </w:r>
          </w:p>
        </w:tc>
      </w:tr>
      <w:tr w:rsidR="0042479B" w:rsidRPr="0042479B" w14:paraId="4A98F614"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bottom w:val="nil"/>
            </w:tcBorders>
            <w:shd w:val="clear" w:color="auto" w:fill="auto"/>
          </w:tcPr>
          <w:p w14:paraId="03798199" w14:textId="77777777" w:rsidR="0042479B" w:rsidRPr="0042479B" w:rsidRDefault="0042479B" w:rsidP="0042479B">
            <w:pPr>
              <w:spacing w:line="360" w:lineRule="auto"/>
              <w:rPr>
                <w:rFonts w:ascii="Times New Roman" w:hAnsi="Times New Roman" w:cs="Times New Roman"/>
                <w:b w:val="0"/>
                <w:bCs w:val="0"/>
                <w:szCs w:val="24"/>
                <w:lang w:eastAsia="ja-JP"/>
              </w:rPr>
            </w:pPr>
            <w:r w:rsidRPr="0042479B">
              <w:rPr>
                <w:rFonts w:ascii="Times New Roman" w:hAnsi="Times New Roman" w:cs="Times New Roman"/>
                <w:b w:val="0"/>
                <w:bCs w:val="0"/>
                <w:szCs w:val="24"/>
                <w:lang w:eastAsia="ja-JP"/>
              </w:rPr>
              <w:t>Model 4</w:t>
            </w:r>
          </w:p>
        </w:tc>
        <w:tc>
          <w:tcPr>
            <w:tcW w:w="4253" w:type="dxa"/>
            <w:tcBorders>
              <w:bottom w:val="nil"/>
            </w:tcBorders>
            <w:shd w:val="clear" w:color="auto" w:fill="auto"/>
          </w:tcPr>
          <w:p w14:paraId="676D8879"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low FT3/FT4 &amp; non-depressed vs. reference</w:t>
            </w:r>
          </w:p>
        </w:tc>
        <w:tc>
          <w:tcPr>
            <w:tcW w:w="1417" w:type="dxa"/>
            <w:tcBorders>
              <w:bottom w:val="nil"/>
            </w:tcBorders>
            <w:shd w:val="clear" w:color="auto" w:fill="auto"/>
          </w:tcPr>
          <w:p w14:paraId="70196524"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1.210</w:t>
            </w:r>
          </w:p>
        </w:tc>
        <w:tc>
          <w:tcPr>
            <w:tcW w:w="1925" w:type="dxa"/>
            <w:tcBorders>
              <w:bottom w:val="nil"/>
            </w:tcBorders>
            <w:shd w:val="clear" w:color="auto" w:fill="auto"/>
          </w:tcPr>
          <w:p w14:paraId="194A1875"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0.922–1.589</w:t>
            </w:r>
          </w:p>
        </w:tc>
      </w:tr>
      <w:tr w:rsidR="0042479B" w:rsidRPr="0042479B" w14:paraId="3AEB79C2" w14:textId="77777777" w:rsidTr="00F25CCB">
        <w:tc>
          <w:tcPr>
            <w:cnfStyle w:val="001000000000" w:firstRow="0" w:lastRow="0" w:firstColumn="1" w:lastColumn="0" w:oddVBand="0" w:evenVBand="0" w:oddHBand="0" w:evenHBand="0" w:firstRowFirstColumn="0" w:firstRowLastColumn="0" w:lastRowFirstColumn="0" w:lastRowLastColumn="0"/>
            <w:tcW w:w="1809" w:type="dxa"/>
            <w:tcBorders>
              <w:top w:val="nil"/>
              <w:bottom w:val="nil"/>
            </w:tcBorders>
          </w:tcPr>
          <w:p w14:paraId="6925323B"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bottom w:val="nil"/>
            </w:tcBorders>
          </w:tcPr>
          <w:p w14:paraId="530500E3"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high FT3/FT4 &amp; depressed vs. reference</w:t>
            </w:r>
          </w:p>
        </w:tc>
        <w:tc>
          <w:tcPr>
            <w:tcW w:w="1417" w:type="dxa"/>
            <w:tcBorders>
              <w:top w:val="nil"/>
              <w:bottom w:val="nil"/>
            </w:tcBorders>
          </w:tcPr>
          <w:p w14:paraId="01FFDD2F"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1.015</w:t>
            </w:r>
          </w:p>
        </w:tc>
        <w:tc>
          <w:tcPr>
            <w:tcW w:w="1925" w:type="dxa"/>
            <w:tcBorders>
              <w:top w:val="nil"/>
              <w:bottom w:val="nil"/>
            </w:tcBorders>
          </w:tcPr>
          <w:p w14:paraId="4FD509F2"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0.693–1.485</w:t>
            </w:r>
          </w:p>
        </w:tc>
      </w:tr>
      <w:tr w:rsidR="0042479B" w:rsidRPr="0042479B" w14:paraId="19C50A22"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il"/>
              <w:bottom w:val="nil"/>
            </w:tcBorders>
            <w:shd w:val="clear" w:color="auto" w:fill="auto"/>
          </w:tcPr>
          <w:p w14:paraId="76AAE715"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bottom w:val="nil"/>
            </w:tcBorders>
            <w:shd w:val="clear" w:color="auto" w:fill="auto"/>
          </w:tcPr>
          <w:p w14:paraId="15700824"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low FT3/FT4 &amp; depressed vs. reference</w:t>
            </w:r>
          </w:p>
        </w:tc>
        <w:tc>
          <w:tcPr>
            <w:tcW w:w="1417" w:type="dxa"/>
            <w:tcBorders>
              <w:top w:val="nil"/>
              <w:bottom w:val="nil"/>
            </w:tcBorders>
            <w:shd w:val="clear" w:color="auto" w:fill="auto"/>
          </w:tcPr>
          <w:p w14:paraId="05F51C22"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2.178</w:t>
            </w:r>
          </w:p>
        </w:tc>
        <w:tc>
          <w:tcPr>
            <w:tcW w:w="1925" w:type="dxa"/>
            <w:tcBorders>
              <w:top w:val="nil"/>
              <w:bottom w:val="nil"/>
            </w:tcBorders>
            <w:shd w:val="clear" w:color="auto" w:fill="auto"/>
          </w:tcPr>
          <w:p w14:paraId="2744E9AB"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1.513–3.135</w:t>
            </w:r>
          </w:p>
        </w:tc>
      </w:tr>
      <w:tr w:rsidR="0042479B" w:rsidRPr="0042479B" w14:paraId="5DBD9EC1" w14:textId="77777777" w:rsidTr="00F25CCB">
        <w:tc>
          <w:tcPr>
            <w:cnfStyle w:val="001000000000" w:firstRow="0" w:lastRow="0" w:firstColumn="1" w:lastColumn="0" w:oddVBand="0" w:evenVBand="0" w:oddHBand="0" w:evenHBand="0" w:firstRowFirstColumn="0" w:firstRowLastColumn="0" w:lastRowFirstColumn="0" w:lastRowLastColumn="0"/>
            <w:tcW w:w="1809" w:type="dxa"/>
            <w:tcBorders>
              <w:top w:val="nil"/>
              <w:bottom w:val="nil"/>
            </w:tcBorders>
          </w:tcPr>
          <w:p w14:paraId="372278FE"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bottom w:val="nil"/>
            </w:tcBorders>
          </w:tcPr>
          <w:p w14:paraId="40887C6B"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RERI</w:t>
            </w:r>
          </w:p>
        </w:tc>
        <w:tc>
          <w:tcPr>
            <w:tcW w:w="1417" w:type="dxa"/>
            <w:tcBorders>
              <w:top w:val="nil"/>
              <w:bottom w:val="nil"/>
            </w:tcBorders>
          </w:tcPr>
          <w:p w14:paraId="4F19EE09"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0.953</w:t>
            </w:r>
          </w:p>
        </w:tc>
        <w:tc>
          <w:tcPr>
            <w:tcW w:w="1925" w:type="dxa"/>
            <w:tcBorders>
              <w:top w:val="nil"/>
              <w:bottom w:val="nil"/>
            </w:tcBorders>
          </w:tcPr>
          <w:p w14:paraId="30CDAEF4"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0.180–1.836</w:t>
            </w:r>
          </w:p>
        </w:tc>
      </w:tr>
      <w:tr w:rsidR="0042479B" w:rsidRPr="0042479B" w14:paraId="352DD807"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il"/>
            </w:tcBorders>
            <w:shd w:val="clear" w:color="auto" w:fill="auto"/>
          </w:tcPr>
          <w:p w14:paraId="4E804354"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tcBorders>
            <w:shd w:val="clear" w:color="auto" w:fill="auto"/>
          </w:tcPr>
          <w:p w14:paraId="29A3D8F7"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AP</w:t>
            </w:r>
          </w:p>
        </w:tc>
        <w:tc>
          <w:tcPr>
            <w:tcW w:w="1417" w:type="dxa"/>
            <w:tcBorders>
              <w:top w:val="nil"/>
            </w:tcBorders>
            <w:shd w:val="clear" w:color="auto" w:fill="auto"/>
          </w:tcPr>
          <w:p w14:paraId="0DC74158"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0.438</w:t>
            </w:r>
          </w:p>
        </w:tc>
        <w:tc>
          <w:tcPr>
            <w:tcW w:w="1925" w:type="dxa"/>
            <w:tcBorders>
              <w:top w:val="nil"/>
            </w:tcBorders>
            <w:shd w:val="clear" w:color="auto" w:fill="auto"/>
          </w:tcPr>
          <w:p w14:paraId="302276A1"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0.100–0.662</w:t>
            </w:r>
          </w:p>
        </w:tc>
      </w:tr>
      <w:tr w:rsidR="0042479B" w:rsidRPr="0042479B" w14:paraId="7F29DF24" w14:textId="77777777" w:rsidTr="00F25CCB">
        <w:tc>
          <w:tcPr>
            <w:cnfStyle w:val="001000000000" w:firstRow="0" w:lastRow="0" w:firstColumn="1" w:lastColumn="0" w:oddVBand="0" w:evenVBand="0" w:oddHBand="0" w:evenHBand="0" w:firstRowFirstColumn="0" w:firstRowLastColumn="0" w:lastRowFirstColumn="0" w:lastRowLastColumn="0"/>
            <w:tcW w:w="1809" w:type="dxa"/>
            <w:tcBorders>
              <w:bottom w:val="nil"/>
            </w:tcBorders>
          </w:tcPr>
          <w:p w14:paraId="3AC560B5" w14:textId="77777777" w:rsidR="0042479B" w:rsidRPr="0042479B" w:rsidRDefault="0042479B" w:rsidP="0042479B">
            <w:pPr>
              <w:spacing w:line="360" w:lineRule="auto"/>
              <w:rPr>
                <w:rFonts w:ascii="Times New Roman" w:hAnsi="Times New Roman" w:cs="Times New Roman"/>
                <w:b w:val="0"/>
                <w:bCs w:val="0"/>
                <w:szCs w:val="24"/>
              </w:rPr>
            </w:pPr>
            <w:r w:rsidRPr="0042479B">
              <w:rPr>
                <w:rFonts w:ascii="Times New Roman" w:hAnsi="Times New Roman" w:cs="Times New Roman"/>
                <w:b w:val="0"/>
                <w:bCs w:val="0"/>
                <w:szCs w:val="24"/>
              </w:rPr>
              <w:t xml:space="preserve">Parsimonious </w:t>
            </w:r>
          </w:p>
        </w:tc>
        <w:tc>
          <w:tcPr>
            <w:tcW w:w="4253" w:type="dxa"/>
            <w:tcBorders>
              <w:bottom w:val="nil"/>
            </w:tcBorders>
          </w:tcPr>
          <w:p w14:paraId="411BC344"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low FT3/FT4 &amp; non-depressed vs. reference</w:t>
            </w:r>
          </w:p>
        </w:tc>
        <w:tc>
          <w:tcPr>
            <w:tcW w:w="1417" w:type="dxa"/>
            <w:tcBorders>
              <w:bottom w:val="nil"/>
            </w:tcBorders>
          </w:tcPr>
          <w:p w14:paraId="611ED46E"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1.164</w:t>
            </w:r>
          </w:p>
        </w:tc>
        <w:tc>
          <w:tcPr>
            <w:tcW w:w="1925" w:type="dxa"/>
            <w:tcBorders>
              <w:bottom w:val="nil"/>
            </w:tcBorders>
          </w:tcPr>
          <w:p w14:paraId="76C859CC"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0.901–1.504</w:t>
            </w:r>
          </w:p>
        </w:tc>
      </w:tr>
      <w:tr w:rsidR="0042479B" w:rsidRPr="0042479B" w14:paraId="22695C35"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il"/>
              <w:left w:val="nil"/>
              <w:bottom w:val="nil"/>
              <w:right w:val="nil"/>
            </w:tcBorders>
            <w:shd w:val="clear" w:color="auto" w:fill="auto"/>
          </w:tcPr>
          <w:p w14:paraId="046267FC"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left w:val="nil"/>
              <w:bottom w:val="nil"/>
              <w:right w:val="nil"/>
            </w:tcBorders>
            <w:shd w:val="clear" w:color="auto" w:fill="auto"/>
          </w:tcPr>
          <w:p w14:paraId="4E3BE46B"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high FT3/FT4 &amp; depressed vs. reference</w:t>
            </w:r>
          </w:p>
        </w:tc>
        <w:tc>
          <w:tcPr>
            <w:tcW w:w="1417" w:type="dxa"/>
            <w:tcBorders>
              <w:top w:val="nil"/>
              <w:left w:val="nil"/>
              <w:bottom w:val="nil"/>
              <w:right w:val="nil"/>
            </w:tcBorders>
            <w:shd w:val="clear" w:color="auto" w:fill="auto"/>
          </w:tcPr>
          <w:p w14:paraId="6AB6CDB6"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1.667</w:t>
            </w:r>
          </w:p>
        </w:tc>
        <w:tc>
          <w:tcPr>
            <w:tcW w:w="1925" w:type="dxa"/>
            <w:tcBorders>
              <w:top w:val="nil"/>
              <w:left w:val="nil"/>
              <w:bottom w:val="nil"/>
              <w:right w:val="nil"/>
            </w:tcBorders>
            <w:shd w:val="clear" w:color="auto" w:fill="auto"/>
          </w:tcPr>
          <w:p w14:paraId="01FEAE17"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1.172–2.371</w:t>
            </w:r>
          </w:p>
        </w:tc>
      </w:tr>
      <w:tr w:rsidR="0042479B" w:rsidRPr="0042479B" w14:paraId="769FE1F9" w14:textId="77777777" w:rsidTr="00F25CCB">
        <w:tc>
          <w:tcPr>
            <w:cnfStyle w:val="001000000000" w:firstRow="0" w:lastRow="0" w:firstColumn="1" w:lastColumn="0" w:oddVBand="0" w:evenVBand="0" w:oddHBand="0" w:evenHBand="0" w:firstRowFirstColumn="0" w:firstRowLastColumn="0" w:lastRowFirstColumn="0" w:lastRowLastColumn="0"/>
            <w:tcW w:w="1809" w:type="dxa"/>
            <w:tcBorders>
              <w:top w:val="nil"/>
              <w:left w:val="nil"/>
              <w:bottom w:val="nil"/>
              <w:right w:val="nil"/>
            </w:tcBorders>
          </w:tcPr>
          <w:p w14:paraId="3F032B68"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left w:val="nil"/>
              <w:bottom w:val="nil"/>
              <w:right w:val="nil"/>
            </w:tcBorders>
          </w:tcPr>
          <w:p w14:paraId="77A51091"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HR, low FT3/FT4 &amp; depressed vs. reference</w:t>
            </w:r>
          </w:p>
        </w:tc>
        <w:tc>
          <w:tcPr>
            <w:tcW w:w="1417" w:type="dxa"/>
            <w:tcBorders>
              <w:top w:val="nil"/>
              <w:left w:val="nil"/>
              <w:bottom w:val="nil"/>
              <w:right w:val="nil"/>
            </w:tcBorders>
          </w:tcPr>
          <w:p w14:paraId="12797813"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3.021</w:t>
            </w:r>
          </w:p>
        </w:tc>
        <w:tc>
          <w:tcPr>
            <w:tcW w:w="1925" w:type="dxa"/>
            <w:tcBorders>
              <w:top w:val="nil"/>
              <w:left w:val="nil"/>
              <w:bottom w:val="nil"/>
              <w:right w:val="nil"/>
            </w:tcBorders>
          </w:tcPr>
          <w:p w14:paraId="59002BDF"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2.074–4.400</w:t>
            </w:r>
          </w:p>
        </w:tc>
      </w:tr>
      <w:tr w:rsidR="0042479B" w:rsidRPr="0042479B" w14:paraId="32783AB9" w14:textId="77777777" w:rsidTr="00F25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il"/>
              <w:bottom w:val="nil"/>
            </w:tcBorders>
            <w:shd w:val="clear" w:color="auto" w:fill="auto"/>
          </w:tcPr>
          <w:p w14:paraId="6EAD1719"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bottom w:val="nil"/>
            </w:tcBorders>
            <w:shd w:val="clear" w:color="auto" w:fill="auto"/>
          </w:tcPr>
          <w:p w14:paraId="015C0DDA"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RERI</w:t>
            </w:r>
          </w:p>
        </w:tc>
        <w:tc>
          <w:tcPr>
            <w:tcW w:w="1417" w:type="dxa"/>
            <w:tcBorders>
              <w:top w:val="nil"/>
              <w:bottom w:val="nil"/>
            </w:tcBorders>
            <w:shd w:val="clear" w:color="auto" w:fill="auto"/>
          </w:tcPr>
          <w:p w14:paraId="438C09BC"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1.190</w:t>
            </w:r>
          </w:p>
        </w:tc>
        <w:tc>
          <w:tcPr>
            <w:tcW w:w="1925" w:type="dxa"/>
            <w:tcBorders>
              <w:top w:val="nil"/>
              <w:bottom w:val="nil"/>
            </w:tcBorders>
            <w:shd w:val="clear" w:color="auto" w:fill="auto"/>
          </w:tcPr>
          <w:p w14:paraId="6E5E4B36" w14:textId="77777777" w:rsidR="0042479B" w:rsidRPr="0042479B" w:rsidRDefault="0042479B" w:rsidP="0042479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0.148–2.450</w:t>
            </w:r>
          </w:p>
        </w:tc>
      </w:tr>
      <w:tr w:rsidR="0042479B" w:rsidRPr="0042479B" w14:paraId="3D768B81" w14:textId="77777777" w:rsidTr="00F25CCB">
        <w:tc>
          <w:tcPr>
            <w:cnfStyle w:val="001000000000" w:firstRow="0" w:lastRow="0" w:firstColumn="1" w:lastColumn="0" w:oddVBand="0" w:evenVBand="0" w:oddHBand="0" w:evenHBand="0" w:firstRowFirstColumn="0" w:firstRowLastColumn="0" w:lastRowFirstColumn="0" w:lastRowLastColumn="0"/>
            <w:tcW w:w="1809" w:type="dxa"/>
            <w:tcBorders>
              <w:top w:val="nil"/>
            </w:tcBorders>
          </w:tcPr>
          <w:p w14:paraId="49719875" w14:textId="77777777" w:rsidR="0042479B" w:rsidRPr="0042479B" w:rsidRDefault="0042479B" w:rsidP="0042479B">
            <w:pPr>
              <w:spacing w:line="360" w:lineRule="auto"/>
              <w:rPr>
                <w:rFonts w:ascii="Times New Roman" w:hAnsi="Times New Roman" w:cs="Times New Roman"/>
                <w:szCs w:val="24"/>
              </w:rPr>
            </w:pPr>
          </w:p>
        </w:tc>
        <w:tc>
          <w:tcPr>
            <w:tcW w:w="4253" w:type="dxa"/>
            <w:tcBorders>
              <w:top w:val="nil"/>
            </w:tcBorders>
          </w:tcPr>
          <w:p w14:paraId="25F2A4C3"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AP</w:t>
            </w:r>
          </w:p>
        </w:tc>
        <w:tc>
          <w:tcPr>
            <w:tcW w:w="1417" w:type="dxa"/>
            <w:tcBorders>
              <w:top w:val="nil"/>
            </w:tcBorders>
          </w:tcPr>
          <w:p w14:paraId="68A781AA"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0.394</w:t>
            </w:r>
          </w:p>
        </w:tc>
        <w:tc>
          <w:tcPr>
            <w:tcW w:w="1925" w:type="dxa"/>
            <w:tcBorders>
              <w:top w:val="nil"/>
            </w:tcBorders>
          </w:tcPr>
          <w:p w14:paraId="7D2632C4" w14:textId="77777777" w:rsidR="0042479B" w:rsidRPr="0042479B" w:rsidRDefault="0042479B" w:rsidP="0042479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2479B">
              <w:rPr>
                <w:rFonts w:ascii="Times New Roman" w:hAnsi="Times New Roman" w:cs="Times New Roman"/>
                <w:szCs w:val="24"/>
              </w:rPr>
              <w:t>0.060–0.612</w:t>
            </w:r>
          </w:p>
        </w:tc>
      </w:tr>
    </w:tbl>
    <w:p w14:paraId="07D2A8E9" w14:textId="34643ADC" w:rsidR="0042479B" w:rsidRPr="0042479B" w:rsidRDefault="00A25FD2" w:rsidP="0042479B">
      <w:pPr>
        <w:spacing w:after="240" w:line="360" w:lineRule="auto"/>
        <w:rPr>
          <w:rFonts w:cs="Times New Roman"/>
          <w:szCs w:val="24"/>
        </w:rPr>
      </w:pPr>
      <w:r w:rsidRPr="0042479B">
        <w:rPr>
          <w:rFonts w:cs="Times New Roman"/>
          <w:szCs w:val="24"/>
        </w:rPr>
        <w:t>Both models used the four-group cross-classification defined in Table S</w:t>
      </w:r>
      <w:r>
        <w:rPr>
          <w:rFonts w:cs="Times New Roman" w:hint="eastAsia"/>
          <w:szCs w:val="24"/>
          <w:lang w:eastAsia="ja-JP"/>
        </w:rPr>
        <w:t>2</w:t>
      </w:r>
      <w:r w:rsidRPr="0042479B">
        <w:rPr>
          <w:rFonts w:cs="Times New Roman"/>
          <w:szCs w:val="24"/>
        </w:rPr>
        <w:t xml:space="preserve"> (n = 6,997; deaths = 962), with participants with a high FT3/FT4 ratio and no depression as the reference group. </w:t>
      </w:r>
      <w:r w:rsidRPr="0042479B">
        <w:rPr>
          <w:rFonts w:cs="Times New Roman"/>
          <w:szCs w:val="24"/>
          <w:lang w:eastAsia="ja-JP"/>
        </w:rPr>
        <w:t>Model 4</w:t>
      </w:r>
      <w:r w:rsidRPr="0042479B">
        <w:rPr>
          <w:rFonts w:cs="Times New Roman"/>
          <w:szCs w:val="24"/>
        </w:rPr>
        <w:t xml:space="preserve"> </w:t>
      </w:r>
      <w:r w:rsidRPr="0042479B">
        <w:rPr>
          <w:rFonts w:cs="Times New Roman"/>
          <w:szCs w:val="24"/>
          <w:lang w:eastAsia="ja-JP"/>
        </w:rPr>
        <w:t>adjusted for</w:t>
      </w:r>
      <w:r w:rsidRPr="0042479B">
        <w:rPr>
          <w:rFonts w:cs="Times New Roman"/>
          <w:szCs w:val="24"/>
        </w:rPr>
        <w:t xml:space="preserve"> age, sex, BMI, race/ethnicity, education, smoking status, physical activity, CVD history, hypertension, and diabetes. The parsimonious model adjusted for age, sex, and BMI. The FT3/FT4 ratio and PHQ-9 score were not included as separate covariates because they were represented jointly by the four-group exposure variable. Confidence intervals for RERI and AP were estimated using Monte Carlo simulation with 20,000 draws from the asymptotic multivariate normal distribution of the log </w:t>
      </w:r>
      <w:r w:rsidRPr="0042479B">
        <w:rPr>
          <w:rFonts w:cs="Times New Roman"/>
          <w:szCs w:val="24"/>
          <w:lang w:eastAsia="ja-JP"/>
        </w:rPr>
        <w:t>HR</w:t>
      </w:r>
      <w:r w:rsidRPr="0042479B">
        <w:rPr>
          <w:rFonts w:cs="Times New Roman"/>
          <w:szCs w:val="24"/>
        </w:rPr>
        <w:t xml:space="preserve">s and their covariance matrix. Cox-model-based estimates of additive interaction treated </w:t>
      </w:r>
      <w:r w:rsidRPr="0042479B">
        <w:rPr>
          <w:rFonts w:cs="Times New Roman"/>
          <w:szCs w:val="24"/>
          <w:lang w:eastAsia="ja-JP"/>
        </w:rPr>
        <w:t>HR</w:t>
      </w:r>
      <w:r w:rsidRPr="0042479B">
        <w:rPr>
          <w:rFonts w:cs="Times New Roman"/>
          <w:szCs w:val="24"/>
        </w:rPr>
        <w:t xml:space="preserve">s as approximations of relative risks. The synergy index was computed but not reported because its </w:t>
      </w:r>
      <w:r w:rsidRPr="0042479B">
        <w:rPr>
          <w:rFonts w:cs="Times New Roman"/>
          <w:szCs w:val="24"/>
          <w:lang w:eastAsia="ja-JP"/>
        </w:rPr>
        <w:t>CI</w:t>
      </w:r>
      <w:r w:rsidRPr="0042479B">
        <w:rPr>
          <w:rFonts w:cs="Times New Roman"/>
          <w:szCs w:val="24"/>
        </w:rPr>
        <w:t xml:space="preserve"> was numerically unstable. Because dichotomizing a continuous exposure discards information relative to the continuous primary analysis, this additive-interaction analysis should be considered exploratory.</w:t>
      </w:r>
      <w:r>
        <w:rPr>
          <w:rFonts w:cs="Times New Roman" w:hint="eastAsia"/>
          <w:szCs w:val="24"/>
          <w:lang w:eastAsia="ja-JP"/>
        </w:rPr>
        <w:t xml:space="preserve"> </w:t>
      </w:r>
      <w:r w:rsidR="0042479B" w:rsidRPr="0042479B">
        <w:rPr>
          <w:rFonts w:cs="Times New Roman"/>
          <w:szCs w:val="24"/>
        </w:rPr>
        <w:t xml:space="preserve">RERI, relative excess risk due to interaction; AP, attributable proportion due to interaction; CI, confidence interval; HR, hazard ratio; BMI, body mass index; CVD, cardiovascular disease; FT3/FT4, free triiodothyronine-to-free thyroxine ratio; PHQ-9, Patient Health Questionnaire-9. </w:t>
      </w:r>
    </w:p>
    <w:p w14:paraId="78E67752" w14:textId="77777777" w:rsidR="002E3DF3" w:rsidRDefault="002E3DF3" w:rsidP="0042479B">
      <w:pPr>
        <w:spacing w:line="360" w:lineRule="auto"/>
        <w:rPr>
          <w:rFonts w:cs="Times New Roman"/>
          <w:szCs w:val="24"/>
          <w:lang w:eastAsia="ja-JP"/>
        </w:rPr>
      </w:pPr>
    </w:p>
    <w:p w14:paraId="12DBDFD3" w14:textId="7F2A7F0C" w:rsidR="00E06183" w:rsidRDefault="00E06183" w:rsidP="00E06183">
      <w:r>
        <w:rPr>
          <w:b/>
        </w:rPr>
        <w:t>Table S</w:t>
      </w:r>
      <w:r>
        <w:rPr>
          <w:rFonts w:hint="eastAsia"/>
          <w:b/>
          <w:lang w:eastAsia="ja-JP"/>
        </w:rPr>
        <w:t>4</w:t>
      </w:r>
      <w:r>
        <w:rPr>
          <w:b/>
        </w:rPr>
        <w:t xml:space="preserve"> </w:t>
      </w:r>
      <w:r w:rsidRPr="00FC02E4">
        <w:t>Sensitivity analysis of all-cause mortality after excluding participants who died within the first 1 or 2 years of follow-up.</w:t>
      </w:r>
    </w:p>
    <w:tbl>
      <w:tblPr>
        <w:tblStyle w:val="26"/>
        <w:tblW w:w="0" w:type="auto"/>
        <w:tblLook w:val="04A0" w:firstRow="1" w:lastRow="0" w:firstColumn="1" w:lastColumn="0" w:noHBand="0" w:noVBand="1"/>
      </w:tblPr>
      <w:tblGrid>
        <w:gridCol w:w="1567"/>
        <w:gridCol w:w="1567"/>
        <w:gridCol w:w="1568"/>
        <w:gridCol w:w="1568"/>
        <w:gridCol w:w="1568"/>
        <w:gridCol w:w="1568"/>
      </w:tblGrid>
      <w:tr w:rsidR="00E06183" w14:paraId="16C35DC1" w14:textId="77777777" w:rsidTr="00AF5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Pr>
          <w:p w14:paraId="18266EE8" w14:textId="77777777" w:rsidR="00E06183" w:rsidRPr="0014171D" w:rsidRDefault="00E06183" w:rsidP="00AF5CD1">
            <w:pPr>
              <w:rPr>
                <w:bCs w:val="0"/>
              </w:rPr>
            </w:pPr>
            <w:r w:rsidRPr="0014171D">
              <w:rPr>
                <w:rFonts w:ascii="Times New Roman" w:hAnsi="Times New Roman"/>
                <w:bCs w:val="0"/>
              </w:rPr>
              <w:lastRenderedPageBreak/>
              <w:t>Exposure</w:t>
            </w:r>
          </w:p>
        </w:tc>
        <w:tc>
          <w:tcPr>
            <w:tcW w:w="1567" w:type="dxa"/>
          </w:tcPr>
          <w:p w14:paraId="1579782D" w14:textId="77777777" w:rsidR="00E06183" w:rsidRPr="0014171D" w:rsidRDefault="00E06183" w:rsidP="00AF5CD1">
            <w:pPr>
              <w:cnfStyle w:val="100000000000" w:firstRow="1" w:lastRow="0" w:firstColumn="0" w:lastColumn="0" w:oddVBand="0" w:evenVBand="0" w:oddHBand="0" w:evenHBand="0" w:firstRowFirstColumn="0" w:firstRowLastColumn="0" w:lastRowFirstColumn="0" w:lastRowLastColumn="0"/>
              <w:rPr>
                <w:bCs w:val="0"/>
              </w:rPr>
            </w:pPr>
            <w:r w:rsidRPr="0014171D">
              <w:rPr>
                <w:rFonts w:ascii="Times New Roman" w:hAnsi="Times New Roman"/>
                <w:bCs w:val="0"/>
              </w:rPr>
              <w:t>Analysis</w:t>
            </w:r>
          </w:p>
        </w:tc>
        <w:tc>
          <w:tcPr>
            <w:tcW w:w="1568" w:type="dxa"/>
          </w:tcPr>
          <w:p w14:paraId="70040B2B" w14:textId="77777777" w:rsidR="00E06183" w:rsidRPr="0014171D" w:rsidRDefault="00E06183" w:rsidP="00AF5CD1">
            <w:pPr>
              <w:cnfStyle w:val="100000000000" w:firstRow="1" w:lastRow="0" w:firstColumn="0" w:lastColumn="0" w:oddVBand="0" w:evenVBand="0" w:oddHBand="0" w:evenHBand="0" w:firstRowFirstColumn="0" w:firstRowLastColumn="0" w:lastRowFirstColumn="0" w:lastRowLastColumn="0"/>
              <w:rPr>
                <w:bCs w:val="0"/>
              </w:rPr>
            </w:pPr>
            <w:r w:rsidRPr="0014171D">
              <w:rPr>
                <w:rFonts w:ascii="Times New Roman" w:hAnsi="Times New Roman"/>
                <w:bCs w:val="0"/>
              </w:rPr>
              <w:t>n</w:t>
            </w:r>
          </w:p>
        </w:tc>
        <w:tc>
          <w:tcPr>
            <w:tcW w:w="1568" w:type="dxa"/>
          </w:tcPr>
          <w:p w14:paraId="662D72FF" w14:textId="77777777" w:rsidR="00E06183" w:rsidRPr="0014171D" w:rsidRDefault="00E06183" w:rsidP="00AF5CD1">
            <w:pPr>
              <w:cnfStyle w:val="100000000000" w:firstRow="1" w:lastRow="0" w:firstColumn="0" w:lastColumn="0" w:oddVBand="0" w:evenVBand="0" w:oddHBand="0" w:evenHBand="0" w:firstRowFirstColumn="0" w:firstRowLastColumn="0" w:lastRowFirstColumn="0" w:lastRowLastColumn="0"/>
              <w:rPr>
                <w:bCs w:val="0"/>
              </w:rPr>
            </w:pPr>
            <w:r w:rsidRPr="0014171D">
              <w:rPr>
                <w:rFonts w:ascii="Times New Roman" w:hAnsi="Times New Roman"/>
                <w:bCs w:val="0"/>
              </w:rPr>
              <w:t>Deaths</w:t>
            </w:r>
          </w:p>
        </w:tc>
        <w:tc>
          <w:tcPr>
            <w:tcW w:w="1568" w:type="dxa"/>
          </w:tcPr>
          <w:p w14:paraId="78A17C92" w14:textId="77777777" w:rsidR="00E06183" w:rsidRPr="0014171D" w:rsidRDefault="00E06183" w:rsidP="00AF5CD1">
            <w:pPr>
              <w:cnfStyle w:val="100000000000" w:firstRow="1" w:lastRow="0" w:firstColumn="0" w:lastColumn="0" w:oddVBand="0" w:evenVBand="0" w:oddHBand="0" w:evenHBand="0" w:firstRowFirstColumn="0" w:firstRowLastColumn="0" w:lastRowFirstColumn="0" w:lastRowLastColumn="0"/>
              <w:rPr>
                <w:bCs w:val="0"/>
              </w:rPr>
            </w:pPr>
            <w:r w:rsidRPr="0014171D">
              <w:rPr>
                <w:rFonts w:ascii="Times New Roman" w:hAnsi="Times New Roman"/>
                <w:bCs w:val="0"/>
              </w:rPr>
              <w:t>HR (95% CI)</w:t>
            </w:r>
          </w:p>
        </w:tc>
        <w:tc>
          <w:tcPr>
            <w:tcW w:w="1568" w:type="dxa"/>
          </w:tcPr>
          <w:p w14:paraId="6634E85E" w14:textId="77777777" w:rsidR="00E06183" w:rsidRPr="0014171D" w:rsidRDefault="00E06183" w:rsidP="00AF5CD1">
            <w:pPr>
              <w:cnfStyle w:val="100000000000" w:firstRow="1" w:lastRow="0" w:firstColumn="0" w:lastColumn="0" w:oddVBand="0" w:evenVBand="0" w:oddHBand="0" w:evenHBand="0" w:firstRowFirstColumn="0" w:firstRowLastColumn="0" w:lastRowFirstColumn="0" w:lastRowLastColumn="0"/>
              <w:rPr>
                <w:bCs w:val="0"/>
                <w:lang w:eastAsia="ja-JP"/>
              </w:rPr>
            </w:pPr>
            <w:r>
              <w:rPr>
                <w:rFonts w:ascii="Times New Roman" w:hAnsi="Times New Roman" w:hint="eastAsia"/>
                <w:bCs w:val="0"/>
                <w:lang w:eastAsia="ja-JP"/>
              </w:rPr>
              <w:t>p value</w:t>
            </w:r>
          </w:p>
        </w:tc>
      </w:tr>
      <w:tr w:rsidR="00E06183" w14:paraId="40974967" w14:textId="77777777" w:rsidTr="00AF5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bottom w:val="nil"/>
            </w:tcBorders>
            <w:shd w:val="clear" w:color="auto" w:fill="auto"/>
          </w:tcPr>
          <w:p w14:paraId="5FF07566" w14:textId="77777777" w:rsidR="00E06183" w:rsidRDefault="00E06183" w:rsidP="00AF5CD1">
            <w:r>
              <w:rPr>
                <w:rFonts w:ascii="Times New Roman" w:hAnsi="Times New Roman" w:hint="eastAsia"/>
                <w:b w:val="0"/>
                <w:lang w:eastAsia="ja-JP"/>
              </w:rPr>
              <w:t xml:space="preserve">Log </w:t>
            </w:r>
            <w:r>
              <w:rPr>
                <w:rFonts w:ascii="Times New Roman" w:hAnsi="Times New Roman"/>
                <w:b w:val="0"/>
              </w:rPr>
              <w:t>FT3/FT4 ratio, per 1-SD</w:t>
            </w:r>
          </w:p>
        </w:tc>
        <w:tc>
          <w:tcPr>
            <w:tcW w:w="1567" w:type="dxa"/>
            <w:tcBorders>
              <w:bottom w:val="nil"/>
            </w:tcBorders>
            <w:shd w:val="clear" w:color="auto" w:fill="auto"/>
          </w:tcPr>
          <w:p w14:paraId="26D4C46A"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Primary analysis (no exclusion)</w:t>
            </w:r>
          </w:p>
        </w:tc>
        <w:tc>
          <w:tcPr>
            <w:tcW w:w="1568" w:type="dxa"/>
            <w:tcBorders>
              <w:bottom w:val="nil"/>
            </w:tcBorders>
            <w:shd w:val="clear" w:color="auto" w:fill="auto"/>
          </w:tcPr>
          <w:p w14:paraId="4B7FE1BC"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6997</w:t>
            </w:r>
          </w:p>
        </w:tc>
        <w:tc>
          <w:tcPr>
            <w:tcW w:w="1568" w:type="dxa"/>
            <w:tcBorders>
              <w:bottom w:val="nil"/>
            </w:tcBorders>
            <w:shd w:val="clear" w:color="auto" w:fill="auto"/>
          </w:tcPr>
          <w:p w14:paraId="0403D13A"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962</w:t>
            </w:r>
          </w:p>
        </w:tc>
        <w:tc>
          <w:tcPr>
            <w:tcW w:w="1568" w:type="dxa"/>
            <w:tcBorders>
              <w:bottom w:val="nil"/>
            </w:tcBorders>
            <w:shd w:val="clear" w:color="auto" w:fill="auto"/>
          </w:tcPr>
          <w:p w14:paraId="217E4F13"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0.816 (0.724–0.919)</w:t>
            </w:r>
          </w:p>
        </w:tc>
        <w:tc>
          <w:tcPr>
            <w:tcW w:w="1568" w:type="dxa"/>
            <w:tcBorders>
              <w:bottom w:val="nil"/>
            </w:tcBorders>
            <w:shd w:val="clear" w:color="auto" w:fill="auto"/>
          </w:tcPr>
          <w:p w14:paraId="05AC5DCE"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&lt;0.001</w:t>
            </w:r>
          </w:p>
        </w:tc>
      </w:tr>
      <w:tr w:rsidR="00E06183" w14:paraId="3FE5EA59" w14:textId="77777777" w:rsidTr="00AF5CD1">
        <w:tc>
          <w:tcPr>
            <w:cnfStyle w:val="001000000000" w:firstRow="0" w:lastRow="0" w:firstColumn="1" w:lastColumn="0" w:oddVBand="0" w:evenVBand="0" w:oddHBand="0" w:evenHBand="0" w:firstRowFirstColumn="0" w:firstRowLastColumn="0" w:lastRowFirstColumn="0" w:lastRowLastColumn="0"/>
            <w:tcW w:w="1567" w:type="dxa"/>
            <w:tcBorders>
              <w:top w:val="nil"/>
              <w:bottom w:val="nil"/>
            </w:tcBorders>
          </w:tcPr>
          <w:p w14:paraId="06E7DCA6" w14:textId="77777777" w:rsidR="00E06183" w:rsidRDefault="00E06183" w:rsidP="00AF5CD1"/>
        </w:tc>
        <w:tc>
          <w:tcPr>
            <w:tcW w:w="1567" w:type="dxa"/>
            <w:tcBorders>
              <w:top w:val="nil"/>
              <w:bottom w:val="nil"/>
            </w:tcBorders>
          </w:tcPr>
          <w:p w14:paraId="080872D2"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Deaths within 1 year excluded</w:t>
            </w:r>
          </w:p>
        </w:tc>
        <w:tc>
          <w:tcPr>
            <w:tcW w:w="1568" w:type="dxa"/>
            <w:tcBorders>
              <w:top w:val="nil"/>
              <w:bottom w:val="nil"/>
            </w:tcBorders>
          </w:tcPr>
          <w:p w14:paraId="4729A3B4"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6949</w:t>
            </w:r>
          </w:p>
        </w:tc>
        <w:tc>
          <w:tcPr>
            <w:tcW w:w="1568" w:type="dxa"/>
            <w:tcBorders>
              <w:top w:val="nil"/>
              <w:bottom w:val="nil"/>
            </w:tcBorders>
          </w:tcPr>
          <w:p w14:paraId="2379F9D3"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914</w:t>
            </w:r>
          </w:p>
        </w:tc>
        <w:tc>
          <w:tcPr>
            <w:tcW w:w="1568" w:type="dxa"/>
            <w:tcBorders>
              <w:top w:val="nil"/>
              <w:bottom w:val="nil"/>
            </w:tcBorders>
          </w:tcPr>
          <w:p w14:paraId="1971C76E"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0.817 (0.724–0.922)</w:t>
            </w:r>
          </w:p>
        </w:tc>
        <w:tc>
          <w:tcPr>
            <w:tcW w:w="1568" w:type="dxa"/>
            <w:tcBorders>
              <w:top w:val="nil"/>
              <w:bottom w:val="nil"/>
            </w:tcBorders>
          </w:tcPr>
          <w:p w14:paraId="3CFC8E25"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0.001</w:t>
            </w:r>
          </w:p>
        </w:tc>
      </w:tr>
      <w:tr w:rsidR="00E06183" w14:paraId="7F23310F" w14:textId="77777777" w:rsidTr="00AF5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top w:val="nil"/>
            </w:tcBorders>
            <w:shd w:val="clear" w:color="auto" w:fill="auto"/>
          </w:tcPr>
          <w:p w14:paraId="725C280E" w14:textId="77777777" w:rsidR="00E06183" w:rsidRDefault="00E06183" w:rsidP="00AF5CD1"/>
        </w:tc>
        <w:tc>
          <w:tcPr>
            <w:tcW w:w="1567" w:type="dxa"/>
            <w:tcBorders>
              <w:top w:val="nil"/>
            </w:tcBorders>
            <w:shd w:val="clear" w:color="auto" w:fill="auto"/>
          </w:tcPr>
          <w:p w14:paraId="5479851D"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Deaths within 2 years excluded</w:t>
            </w:r>
          </w:p>
        </w:tc>
        <w:tc>
          <w:tcPr>
            <w:tcW w:w="1568" w:type="dxa"/>
            <w:tcBorders>
              <w:top w:val="nil"/>
            </w:tcBorders>
            <w:shd w:val="clear" w:color="auto" w:fill="auto"/>
          </w:tcPr>
          <w:p w14:paraId="54F49641"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6875</w:t>
            </w:r>
          </w:p>
        </w:tc>
        <w:tc>
          <w:tcPr>
            <w:tcW w:w="1568" w:type="dxa"/>
            <w:tcBorders>
              <w:top w:val="nil"/>
            </w:tcBorders>
            <w:shd w:val="clear" w:color="auto" w:fill="auto"/>
          </w:tcPr>
          <w:p w14:paraId="46352AF5"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840</w:t>
            </w:r>
          </w:p>
        </w:tc>
        <w:tc>
          <w:tcPr>
            <w:tcW w:w="1568" w:type="dxa"/>
            <w:tcBorders>
              <w:top w:val="nil"/>
            </w:tcBorders>
            <w:shd w:val="clear" w:color="auto" w:fill="auto"/>
          </w:tcPr>
          <w:p w14:paraId="00BDCFB3"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0.827 (0.728–0.941)</w:t>
            </w:r>
          </w:p>
        </w:tc>
        <w:tc>
          <w:tcPr>
            <w:tcW w:w="1568" w:type="dxa"/>
            <w:tcBorders>
              <w:top w:val="nil"/>
            </w:tcBorders>
            <w:shd w:val="clear" w:color="auto" w:fill="auto"/>
          </w:tcPr>
          <w:p w14:paraId="0CD5BF93"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rPr>
                <w:lang w:eastAsia="ja-JP"/>
              </w:rPr>
            </w:pPr>
            <w:r>
              <w:rPr>
                <w:rFonts w:ascii="Times New Roman" w:hAnsi="Times New Roman"/>
              </w:rPr>
              <w:t>0.00</w:t>
            </w:r>
            <w:r>
              <w:rPr>
                <w:rFonts w:ascii="Times New Roman" w:hAnsi="Times New Roman" w:hint="eastAsia"/>
                <w:lang w:eastAsia="ja-JP"/>
              </w:rPr>
              <w:t>4</w:t>
            </w:r>
          </w:p>
        </w:tc>
      </w:tr>
      <w:tr w:rsidR="00E06183" w14:paraId="185B556B" w14:textId="77777777" w:rsidTr="00AF5CD1">
        <w:tc>
          <w:tcPr>
            <w:cnfStyle w:val="001000000000" w:firstRow="0" w:lastRow="0" w:firstColumn="1" w:lastColumn="0" w:oddVBand="0" w:evenVBand="0" w:oddHBand="0" w:evenHBand="0" w:firstRowFirstColumn="0" w:firstRowLastColumn="0" w:lastRowFirstColumn="0" w:lastRowLastColumn="0"/>
            <w:tcW w:w="1567" w:type="dxa"/>
            <w:tcBorders>
              <w:bottom w:val="nil"/>
            </w:tcBorders>
          </w:tcPr>
          <w:p w14:paraId="041DFCCF" w14:textId="77777777" w:rsidR="00E06183" w:rsidRDefault="00E06183" w:rsidP="00AF5CD1">
            <w:r>
              <w:rPr>
                <w:rFonts w:ascii="Times New Roman" w:hAnsi="Times New Roman"/>
                <w:b w:val="0"/>
              </w:rPr>
              <w:t>PHQ-9 score, per 1-point</w:t>
            </w:r>
          </w:p>
        </w:tc>
        <w:tc>
          <w:tcPr>
            <w:tcW w:w="1567" w:type="dxa"/>
            <w:tcBorders>
              <w:bottom w:val="nil"/>
            </w:tcBorders>
          </w:tcPr>
          <w:p w14:paraId="0D783FBC"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Primary analysis (no exclusion)</w:t>
            </w:r>
          </w:p>
        </w:tc>
        <w:tc>
          <w:tcPr>
            <w:tcW w:w="1568" w:type="dxa"/>
            <w:tcBorders>
              <w:bottom w:val="nil"/>
            </w:tcBorders>
          </w:tcPr>
          <w:p w14:paraId="5931BB0E"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6997</w:t>
            </w:r>
          </w:p>
        </w:tc>
        <w:tc>
          <w:tcPr>
            <w:tcW w:w="1568" w:type="dxa"/>
            <w:tcBorders>
              <w:bottom w:val="nil"/>
            </w:tcBorders>
          </w:tcPr>
          <w:p w14:paraId="63E1E4EC"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962</w:t>
            </w:r>
          </w:p>
        </w:tc>
        <w:tc>
          <w:tcPr>
            <w:tcW w:w="1568" w:type="dxa"/>
            <w:tcBorders>
              <w:bottom w:val="nil"/>
            </w:tcBorders>
          </w:tcPr>
          <w:p w14:paraId="6C180D98"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1.037 (1.015–1.059)</w:t>
            </w:r>
          </w:p>
        </w:tc>
        <w:tc>
          <w:tcPr>
            <w:tcW w:w="1568" w:type="dxa"/>
            <w:tcBorders>
              <w:bottom w:val="nil"/>
            </w:tcBorders>
          </w:tcPr>
          <w:p w14:paraId="71CE7494"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&lt;0.001</w:t>
            </w:r>
          </w:p>
        </w:tc>
      </w:tr>
      <w:tr w:rsidR="00E06183" w14:paraId="28236F9E" w14:textId="77777777" w:rsidTr="00AF5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7" w:type="dxa"/>
            <w:tcBorders>
              <w:top w:val="nil"/>
              <w:bottom w:val="nil"/>
            </w:tcBorders>
            <w:shd w:val="clear" w:color="auto" w:fill="auto"/>
          </w:tcPr>
          <w:p w14:paraId="02E8A2E5" w14:textId="77777777" w:rsidR="00E06183" w:rsidRDefault="00E06183" w:rsidP="00AF5CD1"/>
        </w:tc>
        <w:tc>
          <w:tcPr>
            <w:tcW w:w="1567" w:type="dxa"/>
            <w:tcBorders>
              <w:top w:val="nil"/>
              <w:bottom w:val="nil"/>
            </w:tcBorders>
            <w:shd w:val="clear" w:color="auto" w:fill="auto"/>
          </w:tcPr>
          <w:p w14:paraId="31BDE76F"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Deaths within 1 year excluded</w:t>
            </w:r>
          </w:p>
        </w:tc>
        <w:tc>
          <w:tcPr>
            <w:tcW w:w="1568" w:type="dxa"/>
            <w:tcBorders>
              <w:top w:val="nil"/>
              <w:bottom w:val="nil"/>
            </w:tcBorders>
            <w:shd w:val="clear" w:color="auto" w:fill="auto"/>
          </w:tcPr>
          <w:p w14:paraId="5D6468AA"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6949</w:t>
            </w:r>
          </w:p>
        </w:tc>
        <w:tc>
          <w:tcPr>
            <w:tcW w:w="1568" w:type="dxa"/>
            <w:tcBorders>
              <w:top w:val="nil"/>
              <w:bottom w:val="nil"/>
            </w:tcBorders>
            <w:shd w:val="clear" w:color="auto" w:fill="auto"/>
          </w:tcPr>
          <w:p w14:paraId="70101C58"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914</w:t>
            </w:r>
          </w:p>
        </w:tc>
        <w:tc>
          <w:tcPr>
            <w:tcW w:w="1568" w:type="dxa"/>
            <w:tcBorders>
              <w:top w:val="nil"/>
              <w:bottom w:val="nil"/>
            </w:tcBorders>
            <w:shd w:val="clear" w:color="auto" w:fill="auto"/>
          </w:tcPr>
          <w:p w14:paraId="351C4CF6"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pPr>
            <w:r>
              <w:rPr>
                <w:rFonts w:ascii="Times New Roman" w:hAnsi="Times New Roman"/>
              </w:rPr>
              <w:t>1.034 (1.011–1.057)</w:t>
            </w:r>
          </w:p>
        </w:tc>
        <w:tc>
          <w:tcPr>
            <w:tcW w:w="1568" w:type="dxa"/>
            <w:tcBorders>
              <w:top w:val="nil"/>
              <w:bottom w:val="nil"/>
            </w:tcBorders>
            <w:shd w:val="clear" w:color="auto" w:fill="auto"/>
          </w:tcPr>
          <w:p w14:paraId="19C14FE9" w14:textId="77777777" w:rsidR="00E06183" w:rsidRDefault="00E06183" w:rsidP="00AF5CD1">
            <w:pPr>
              <w:cnfStyle w:val="000000100000" w:firstRow="0" w:lastRow="0" w:firstColumn="0" w:lastColumn="0" w:oddVBand="0" w:evenVBand="0" w:oddHBand="1" w:evenHBand="0" w:firstRowFirstColumn="0" w:firstRowLastColumn="0" w:lastRowFirstColumn="0" w:lastRowLastColumn="0"/>
              <w:rPr>
                <w:lang w:eastAsia="ja-JP"/>
              </w:rPr>
            </w:pPr>
            <w:r>
              <w:rPr>
                <w:rFonts w:ascii="Times New Roman" w:hAnsi="Times New Roman"/>
              </w:rPr>
              <w:t>0.00</w:t>
            </w:r>
            <w:r>
              <w:rPr>
                <w:rFonts w:ascii="Times New Roman" w:hAnsi="Times New Roman" w:hint="eastAsia"/>
                <w:lang w:eastAsia="ja-JP"/>
              </w:rPr>
              <w:t>4</w:t>
            </w:r>
          </w:p>
        </w:tc>
      </w:tr>
      <w:tr w:rsidR="00E06183" w14:paraId="674A51A6" w14:textId="77777777" w:rsidTr="00AF5CD1">
        <w:tc>
          <w:tcPr>
            <w:cnfStyle w:val="001000000000" w:firstRow="0" w:lastRow="0" w:firstColumn="1" w:lastColumn="0" w:oddVBand="0" w:evenVBand="0" w:oddHBand="0" w:evenHBand="0" w:firstRowFirstColumn="0" w:firstRowLastColumn="0" w:lastRowFirstColumn="0" w:lastRowLastColumn="0"/>
            <w:tcW w:w="1567" w:type="dxa"/>
            <w:tcBorders>
              <w:top w:val="nil"/>
            </w:tcBorders>
          </w:tcPr>
          <w:p w14:paraId="727DCF4C" w14:textId="77777777" w:rsidR="00E06183" w:rsidRDefault="00E06183" w:rsidP="00AF5CD1"/>
        </w:tc>
        <w:tc>
          <w:tcPr>
            <w:tcW w:w="1567" w:type="dxa"/>
            <w:tcBorders>
              <w:top w:val="nil"/>
            </w:tcBorders>
          </w:tcPr>
          <w:p w14:paraId="5F867AB6"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Deaths within 2 years excluded</w:t>
            </w:r>
          </w:p>
        </w:tc>
        <w:tc>
          <w:tcPr>
            <w:tcW w:w="1568" w:type="dxa"/>
            <w:tcBorders>
              <w:top w:val="nil"/>
            </w:tcBorders>
          </w:tcPr>
          <w:p w14:paraId="451E8BBB"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6875</w:t>
            </w:r>
          </w:p>
        </w:tc>
        <w:tc>
          <w:tcPr>
            <w:tcW w:w="1568" w:type="dxa"/>
            <w:tcBorders>
              <w:top w:val="nil"/>
            </w:tcBorders>
          </w:tcPr>
          <w:p w14:paraId="3FE36930"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840</w:t>
            </w:r>
          </w:p>
        </w:tc>
        <w:tc>
          <w:tcPr>
            <w:tcW w:w="1568" w:type="dxa"/>
            <w:tcBorders>
              <w:top w:val="nil"/>
            </w:tcBorders>
          </w:tcPr>
          <w:p w14:paraId="124731A1"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pPr>
            <w:r>
              <w:rPr>
                <w:rFonts w:ascii="Times New Roman" w:hAnsi="Times New Roman"/>
              </w:rPr>
              <w:t>1.031 (1.009–1.054)</w:t>
            </w:r>
          </w:p>
        </w:tc>
        <w:tc>
          <w:tcPr>
            <w:tcW w:w="1568" w:type="dxa"/>
            <w:tcBorders>
              <w:top w:val="nil"/>
            </w:tcBorders>
          </w:tcPr>
          <w:p w14:paraId="5047A323" w14:textId="77777777" w:rsidR="00E06183" w:rsidRDefault="00E06183" w:rsidP="00AF5CD1">
            <w:pPr>
              <w:cnfStyle w:val="000000000000" w:firstRow="0" w:lastRow="0" w:firstColumn="0" w:lastColumn="0" w:oddVBand="0" w:evenVBand="0" w:oddHBand="0" w:evenHBand="0" w:firstRowFirstColumn="0" w:firstRowLastColumn="0" w:lastRowFirstColumn="0" w:lastRowLastColumn="0"/>
              <w:rPr>
                <w:lang w:eastAsia="ja-JP"/>
              </w:rPr>
            </w:pPr>
            <w:r>
              <w:rPr>
                <w:rFonts w:ascii="Times New Roman" w:hAnsi="Times New Roman"/>
              </w:rPr>
              <w:t>0.00</w:t>
            </w:r>
            <w:r>
              <w:rPr>
                <w:rFonts w:ascii="Times New Roman" w:hAnsi="Times New Roman" w:hint="eastAsia"/>
                <w:lang w:eastAsia="ja-JP"/>
              </w:rPr>
              <w:t>7</w:t>
            </w:r>
          </w:p>
        </w:tc>
      </w:tr>
    </w:tbl>
    <w:p w14:paraId="292B48A3" w14:textId="77777777" w:rsidR="00E06183" w:rsidRDefault="00E06183" w:rsidP="00E06183">
      <w:r w:rsidRPr="00874815">
        <w:t>All models used the fully adjusted Model 4. This model included age, sex, BMI, race/ethnicity, education, smoking status, physical activity, CVD history, hypertension, and diabetes. In addition, the complementary variable was included: PHQ-9 score was added to the models for the log FT3/FT4 ratio, and the log FT3/FT4 ratio was added to the models for PHQ-9 score.</w:t>
      </w:r>
      <w:r>
        <w:rPr>
          <w:rFonts w:hint="eastAsia"/>
          <w:lang w:eastAsia="ja-JP"/>
        </w:rPr>
        <w:t xml:space="preserve"> </w:t>
      </w:r>
      <w:r w:rsidRPr="006B1708">
        <w:t xml:space="preserve">Participants who died within the specified exclusion window were removed from the corresponding analysis; participants who died later and censored participants retained their original follow-up time. The FT3/FT4 ratio was natural log-transformed before analysis, and HRs are expressed per 1-SD increase. HR, hazard ratio; CI, confidence interval; FT3/FT4, free triiodothyronine-to-free thyroxine ratio; PHQ-9, Patient Health Questionnaire-9; </w:t>
      </w:r>
      <w:r>
        <w:rPr>
          <w:rFonts w:hint="eastAsia"/>
          <w:lang w:eastAsia="ja-JP"/>
        </w:rPr>
        <w:t xml:space="preserve">BMI, body mass index; </w:t>
      </w:r>
      <w:r w:rsidRPr="006B1708">
        <w:t>CVD, cardiovascular disease.</w:t>
      </w:r>
    </w:p>
    <w:p w14:paraId="3D1CBF18" w14:textId="77777777" w:rsidR="00E06183" w:rsidRPr="00E06183" w:rsidRDefault="00E06183" w:rsidP="0042479B">
      <w:pPr>
        <w:spacing w:line="360" w:lineRule="auto"/>
        <w:rPr>
          <w:rFonts w:cs="Times New Roman"/>
          <w:szCs w:val="24"/>
          <w:lang w:eastAsia="ja-JP"/>
        </w:rPr>
      </w:pPr>
    </w:p>
    <w:p w14:paraId="16856D35" w14:textId="1B4734EC" w:rsidR="006E11C6" w:rsidRPr="00FF0CA3" w:rsidRDefault="00BC4457">
      <w:pPr>
        <w:rPr>
          <w:szCs w:val="24"/>
        </w:rPr>
      </w:pPr>
      <w:r w:rsidRPr="00FF0CA3">
        <w:rPr>
          <w:b/>
          <w:szCs w:val="24"/>
        </w:rPr>
        <w:t>T</w:t>
      </w:r>
      <w:r w:rsidR="00A06EAF" w:rsidRPr="00FF0CA3">
        <w:rPr>
          <w:rFonts w:hint="eastAsia"/>
          <w:b/>
          <w:szCs w:val="24"/>
          <w:lang w:eastAsia="ja-JP"/>
        </w:rPr>
        <w:t>able</w:t>
      </w:r>
      <w:r w:rsidRPr="00FF0CA3">
        <w:rPr>
          <w:b/>
          <w:szCs w:val="24"/>
        </w:rPr>
        <w:t xml:space="preserve"> S</w:t>
      </w:r>
      <w:r w:rsidR="00E06183">
        <w:rPr>
          <w:rFonts w:hint="eastAsia"/>
          <w:b/>
          <w:szCs w:val="24"/>
          <w:lang w:eastAsia="ja-JP"/>
        </w:rPr>
        <w:t>5</w:t>
      </w:r>
      <w:r w:rsidRPr="00FF0CA3">
        <w:rPr>
          <w:szCs w:val="24"/>
        </w:rPr>
        <w:t xml:space="preserve"> </w:t>
      </w:r>
      <w:r w:rsidR="00881F40" w:rsidRPr="00FF0CA3">
        <w:rPr>
          <w:szCs w:val="24"/>
        </w:rPr>
        <w:t>Proportional hazards assumption assessment using Schoenfeld residuals for the fully adjusted all-cause mortality model.</w:t>
      </w:r>
    </w:p>
    <w:tbl>
      <w:tblPr>
        <w:tblStyle w:val="26"/>
        <w:tblW w:w="0" w:type="auto"/>
        <w:tblLook w:val="04A0" w:firstRow="1" w:lastRow="0" w:firstColumn="1" w:lastColumn="0" w:noHBand="0" w:noVBand="1"/>
      </w:tblPr>
      <w:tblGrid>
        <w:gridCol w:w="2351"/>
        <w:gridCol w:w="2351"/>
        <w:gridCol w:w="2351"/>
        <w:gridCol w:w="2351"/>
      </w:tblGrid>
      <w:tr w:rsidR="006E11C6" w:rsidRPr="00FF0CA3" w14:paraId="54448BE9" w14:textId="77777777" w:rsidTr="005F6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tcPr>
          <w:p w14:paraId="17BB4048" w14:textId="77777777" w:rsidR="006E11C6" w:rsidRPr="00FF0CA3" w:rsidRDefault="00BC4457">
            <w:pPr>
              <w:rPr>
                <w:szCs w:val="24"/>
              </w:rPr>
            </w:pPr>
            <w:r w:rsidRPr="00FF0CA3">
              <w:rPr>
                <w:rFonts w:ascii="Times New Roman" w:hAnsi="Times New Roman"/>
                <w:szCs w:val="24"/>
              </w:rPr>
              <w:lastRenderedPageBreak/>
              <w:t>Variable</w:t>
            </w:r>
          </w:p>
        </w:tc>
        <w:tc>
          <w:tcPr>
            <w:tcW w:w="2351" w:type="dxa"/>
          </w:tcPr>
          <w:p w14:paraId="059DBC36" w14:textId="77777777" w:rsidR="006E11C6" w:rsidRPr="00FF0CA3" w:rsidRDefault="00BC4457">
            <w:pPr>
              <w:cnfStyle w:val="100000000000" w:firstRow="1"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Chi-square</w:t>
            </w:r>
          </w:p>
        </w:tc>
        <w:tc>
          <w:tcPr>
            <w:tcW w:w="2351" w:type="dxa"/>
          </w:tcPr>
          <w:p w14:paraId="0F4A23FC" w14:textId="77777777" w:rsidR="006E11C6" w:rsidRPr="00FF0CA3" w:rsidRDefault="00BC4457">
            <w:pPr>
              <w:cnfStyle w:val="100000000000" w:firstRow="1" w:lastRow="0" w:firstColumn="0" w:lastColumn="0" w:oddVBand="0" w:evenVBand="0" w:oddHBand="0" w:evenHBand="0" w:firstRowFirstColumn="0" w:firstRowLastColumn="0" w:lastRowFirstColumn="0" w:lastRowLastColumn="0"/>
              <w:rPr>
                <w:szCs w:val="24"/>
              </w:rPr>
            </w:pPr>
            <w:proofErr w:type="spellStart"/>
            <w:r w:rsidRPr="00FF0CA3">
              <w:rPr>
                <w:rFonts w:ascii="Times New Roman" w:hAnsi="Times New Roman"/>
                <w:szCs w:val="24"/>
              </w:rPr>
              <w:t>df</w:t>
            </w:r>
            <w:proofErr w:type="spellEnd"/>
          </w:p>
        </w:tc>
        <w:tc>
          <w:tcPr>
            <w:tcW w:w="2351" w:type="dxa"/>
          </w:tcPr>
          <w:p w14:paraId="2A532F26" w14:textId="727EB09B" w:rsidR="006E11C6" w:rsidRPr="00FF0CA3" w:rsidRDefault="0014171D" w:rsidP="0014171D">
            <w:pPr>
              <w:tabs>
                <w:tab w:val="center" w:pos="1067"/>
              </w:tabs>
              <w:cnfStyle w:val="100000000000" w:firstRow="1" w:lastRow="0" w:firstColumn="0" w:lastColumn="0" w:oddVBand="0" w:evenVBand="0" w:oddHBand="0" w:evenHBand="0" w:firstRowFirstColumn="0" w:firstRowLastColumn="0" w:lastRowFirstColumn="0" w:lastRowLastColumn="0"/>
              <w:rPr>
                <w:szCs w:val="24"/>
                <w:lang w:eastAsia="ja-JP"/>
              </w:rPr>
            </w:pPr>
            <w:r>
              <w:rPr>
                <w:rFonts w:ascii="Times New Roman" w:hAnsi="Times New Roman" w:hint="eastAsia"/>
                <w:szCs w:val="24"/>
                <w:lang w:eastAsia="ja-JP"/>
              </w:rPr>
              <w:t>p value</w:t>
            </w:r>
          </w:p>
        </w:tc>
      </w:tr>
      <w:tr w:rsidR="006E11C6" w:rsidRPr="00FF0CA3" w14:paraId="4AACA926"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64B851F1" w14:textId="74138CA9" w:rsidR="006E11C6" w:rsidRPr="00FF0CA3" w:rsidRDefault="005F6390">
            <w:pPr>
              <w:rPr>
                <w:b w:val="0"/>
                <w:bCs w:val="0"/>
                <w:szCs w:val="24"/>
              </w:rPr>
            </w:pPr>
            <w:r w:rsidRPr="00FF0CA3">
              <w:rPr>
                <w:rFonts w:ascii="Times New Roman" w:hAnsi="Times New Roman" w:hint="eastAsia"/>
                <w:b w:val="0"/>
                <w:bCs w:val="0"/>
                <w:szCs w:val="24"/>
                <w:lang w:eastAsia="ja-JP"/>
              </w:rPr>
              <w:t xml:space="preserve">Log </w:t>
            </w:r>
            <w:r w:rsidRPr="00FF0CA3">
              <w:rPr>
                <w:rFonts w:ascii="Times New Roman" w:hAnsi="Times New Roman"/>
                <w:b w:val="0"/>
                <w:bCs w:val="0"/>
                <w:szCs w:val="24"/>
              </w:rPr>
              <w:t>FT3/FT4 ratio, per 1-SD</w:t>
            </w:r>
          </w:p>
        </w:tc>
        <w:tc>
          <w:tcPr>
            <w:tcW w:w="2351" w:type="dxa"/>
            <w:shd w:val="clear" w:color="auto" w:fill="auto"/>
          </w:tcPr>
          <w:p w14:paraId="0E2C84C3"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0.03</w:t>
            </w:r>
          </w:p>
        </w:tc>
        <w:tc>
          <w:tcPr>
            <w:tcW w:w="2351" w:type="dxa"/>
            <w:shd w:val="clear" w:color="auto" w:fill="auto"/>
          </w:tcPr>
          <w:p w14:paraId="5CEDEA21"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w:t>
            </w:r>
          </w:p>
        </w:tc>
        <w:tc>
          <w:tcPr>
            <w:tcW w:w="2351" w:type="dxa"/>
            <w:shd w:val="clear" w:color="auto" w:fill="auto"/>
          </w:tcPr>
          <w:p w14:paraId="2E3BE428" w14:textId="193856CA"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lang w:eastAsia="ja-JP"/>
              </w:rPr>
            </w:pPr>
            <w:r w:rsidRPr="00FF0CA3">
              <w:rPr>
                <w:rFonts w:ascii="Times New Roman" w:hAnsi="Times New Roman"/>
                <w:szCs w:val="24"/>
              </w:rPr>
              <w:t>0.8</w:t>
            </w:r>
            <w:r w:rsidR="00947785">
              <w:rPr>
                <w:rFonts w:ascii="Times New Roman" w:hAnsi="Times New Roman" w:hint="eastAsia"/>
                <w:szCs w:val="24"/>
                <w:lang w:eastAsia="ja-JP"/>
              </w:rPr>
              <w:t>6</w:t>
            </w:r>
          </w:p>
        </w:tc>
      </w:tr>
      <w:tr w:rsidR="006E11C6" w:rsidRPr="00FF0CA3" w14:paraId="6C320FF9"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5CE1EFBE" w14:textId="77777777" w:rsidR="006E11C6" w:rsidRPr="00FF0CA3" w:rsidRDefault="00BC4457">
            <w:pPr>
              <w:rPr>
                <w:b w:val="0"/>
                <w:bCs w:val="0"/>
                <w:szCs w:val="24"/>
              </w:rPr>
            </w:pPr>
            <w:r w:rsidRPr="00FF0CA3">
              <w:rPr>
                <w:rFonts w:ascii="Times New Roman" w:hAnsi="Times New Roman"/>
                <w:b w:val="0"/>
                <w:bCs w:val="0"/>
                <w:szCs w:val="24"/>
              </w:rPr>
              <w:t>PHQ-9 score, per 1-point</w:t>
            </w:r>
          </w:p>
        </w:tc>
        <w:tc>
          <w:tcPr>
            <w:tcW w:w="2351" w:type="dxa"/>
          </w:tcPr>
          <w:p w14:paraId="62B73D2A"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3.86</w:t>
            </w:r>
          </w:p>
        </w:tc>
        <w:tc>
          <w:tcPr>
            <w:tcW w:w="2351" w:type="dxa"/>
          </w:tcPr>
          <w:p w14:paraId="2AB258BD"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w:t>
            </w:r>
          </w:p>
        </w:tc>
        <w:tc>
          <w:tcPr>
            <w:tcW w:w="2351" w:type="dxa"/>
          </w:tcPr>
          <w:p w14:paraId="17031464"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0.049</w:t>
            </w:r>
          </w:p>
        </w:tc>
      </w:tr>
      <w:tr w:rsidR="006E11C6" w:rsidRPr="00FF0CA3" w14:paraId="1774D805"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579BC6E1" w14:textId="77777777" w:rsidR="006E11C6" w:rsidRPr="00FF0CA3" w:rsidRDefault="00BC4457">
            <w:pPr>
              <w:rPr>
                <w:b w:val="0"/>
                <w:bCs w:val="0"/>
                <w:szCs w:val="24"/>
              </w:rPr>
            </w:pPr>
            <w:r w:rsidRPr="00FF0CA3">
              <w:rPr>
                <w:rFonts w:ascii="Times New Roman" w:hAnsi="Times New Roman"/>
                <w:b w:val="0"/>
                <w:bCs w:val="0"/>
                <w:szCs w:val="24"/>
              </w:rPr>
              <w:t>Age (years)</w:t>
            </w:r>
          </w:p>
        </w:tc>
        <w:tc>
          <w:tcPr>
            <w:tcW w:w="2351" w:type="dxa"/>
            <w:shd w:val="clear" w:color="auto" w:fill="auto"/>
          </w:tcPr>
          <w:p w14:paraId="0E2996A9"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12.66</w:t>
            </w:r>
          </w:p>
        </w:tc>
        <w:tc>
          <w:tcPr>
            <w:tcW w:w="2351" w:type="dxa"/>
            <w:shd w:val="clear" w:color="auto" w:fill="auto"/>
          </w:tcPr>
          <w:p w14:paraId="6C857A9A"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w:t>
            </w:r>
          </w:p>
        </w:tc>
        <w:tc>
          <w:tcPr>
            <w:tcW w:w="2351" w:type="dxa"/>
            <w:shd w:val="clear" w:color="auto" w:fill="auto"/>
          </w:tcPr>
          <w:p w14:paraId="57BD6266"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&lt;0.001</w:t>
            </w:r>
          </w:p>
        </w:tc>
      </w:tr>
      <w:tr w:rsidR="006E11C6" w:rsidRPr="00FF0CA3" w14:paraId="26AE0708"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7890000B" w14:textId="77777777" w:rsidR="006E11C6" w:rsidRPr="00FF0CA3" w:rsidRDefault="00BC4457">
            <w:pPr>
              <w:rPr>
                <w:b w:val="0"/>
                <w:bCs w:val="0"/>
                <w:szCs w:val="24"/>
              </w:rPr>
            </w:pPr>
            <w:r w:rsidRPr="00FF0CA3">
              <w:rPr>
                <w:rFonts w:ascii="Times New Roman" w:hAnsi="Times New Roman"/>
                <w:b w:val="0"/>
                <w:bCs w:val="0"/>
                <w:szCs w:val="24"/>
              </w:rPr>
              <w:t>Sex (female vs. male)</w:t>
            </w:r>
          </w:p>
        </w:tc>
        <w:tc>
          <w:tcPr>
            <w:tcW w:w="2351" w:type="dxa"/>
          </w:tcPr>
          <w:p w14:paraId="475EAA18"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0.78</w:t>
            </w:r>
          </w:p>
        </w:tc>
        <w:tc>
          <w:tcPr>
            <w:tcW w:w="2351" w:type="dxa"/>
          </w:tcPr>
          <w:p w14:paraId="15B03D8D"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w:t>
            </w:r>
          </w:p>
        </w:tc>
        <w:tc>
          <w:tcPr>
            <w:tcW w:w="2351" w:type="dxa"/>
          </w:tcPr>
          <w:p w14:paraId="2536141B" w14:textId="533B68AC"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lang w:eastAsia="ja-JP"/>
              </w:rPr>
            </w:pPr>
            <w:r w:rsidRPr="00FF0CA3">
              <w:rPr>
                <w:rFonts w:ascii="Times New Roman" w:hAnsi="Times New Roman"/>
                <w:szCs w:val="24"/>
              </w:rPr>
              <w:t>0.3</w:t>
            </w:r>
            <w:r w:rsidR="00947785">
              <w:rPr>
                <w:rFonts w:ascii="Times New Roman" w:hAnsi="Times New Roman" w:hint="eastAsia"/>
                <w:szCs w:val="24"/>
                <w:lang w:eastAsia="ja-JP"/>
              </w:rPr>
              <w:t>8</w:t>
            </w:r>
          </w:p>
        </w:tc>
      </w:tr>
      <w:tr w:rsidR="006E11C6" w:rsidRPr="00FF0CA3" w14:paraId="4DBC16CD"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7D5092B9" w14:textId="77777777" w:rsidR="006E11C6" w:rsidRPr="00FF0CA3" w:rsidRDefault="00BC4457">
            <w:pPr>
              <w:rPr>
                <w:b w:val="0"/>
                <w:bCs w:val="0"/>
                <w:szCs w:val="24"/>
              </w:rPr>
            </w:pPr>
            <w:r w:rsidRPr="00FF0CA3">
              <w:rPr>
                <w:rFonts w:ascii="Times New Roman" w:hAnsi="Times New Roman"/>
                <w:b w:val="0"/>
                <w:bCs w:val="0"/>
                <w:szCs w:val="24"/>
              </w:rPr>
              <w:t>BMI (kg/m2)</w:t>
            </w:r>
          </w:p>
        </w:tc>
        <w:tc>
          <w:tcPr>
            <w:tcW w:w="2351" w:type="dxa"/>
            <w:shd w:val="clear" w:color="auto" w:fill="auto"/>
          </w:tcPr>
          <w:p w14:paraId="1719B4BA"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0.57</w:t>
            </w:r>
          </w:p>
        </w:tc>
        <w:tc>
          <w:tcPr>
            <w:tcW w:w="2351" w:type="dxa"/>
            <w:shd w:val="clear" w:color="auto" w:fill="auto"/>
          </w:tcPr>
          <w:p w14:paraId="5036FE3D"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w:t>
            </w:r>
          </w:p>
        </w:tc>
        <w:tc>
          <w:tcPr>
            <w:tcW w:w="2351" w:type="dxa"/>
            <w:shd w:val="clear" w:color="auto" w:fill="auto"/>
          </w:tcPr>
          <w:p w14:paraId="68C44C9D" w14:textId="292B822D"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0.45</w:t>
            </w:r>
          </w:p>
        </w:tc>
      </w:tr>
      <w:tr w:rsidR="006E11C6" w:rsidRPr="00FF0CA3" w14:paraId="7C8FFE01"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43C3824D" w14:textId="77777777" w:rsidR="006E11C6" w:rsidRPr="00FF0CA3" w:rsidRDefault="00BC4457">
            <w:pPr>
              <w:rPr>
                <w:b w:val="0"/>
                <w:bCs w:val="0"/>
                <w:szCs w:val="24"/>
              </w:rPr>
            </w:pPr>
            <w:r w:rsidRPr="00FF0CA3">
              <w:rPr>
                <w:rFonts w:ascii="Times New Roman" w:hAnsi="Times New Roman"/>
                <w:b w:val="0"/>
                <w:bCs w:val="0"/>
                <w:szCs w:val="24"/>
              </w:rPr>
              <w:t>Race/ethnicity</w:t>
            </w:r>
          </w:p>
        </w:tc>
        <w:tc>
          <w:tcPr>
            <w:tcW w:w="2351" w:type="dxa"/>
          </w:tcPr>
          <w:p w14:paraId="3E6A96EB"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4.98</w:t>
            </w:r>
          </w:p>
        </w:tc>
        <w:tc>
          <w:tcPr>
            <w:tcW w:w="2351" w:type="dxa"/>
          </w:tcPr>
          <w:p w14:paraId="1A2C9223"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3</w:t>
            </w:r>
          </w:p>
        </w:tc>
        <w:tc>
          <w:tcPr>
            <w:tcW w:w="2351" w:type="dxa"/>
          </w:tcPr>
          <w:p w14:paraId="3AEEF73F" w14:textId="052DBD36"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0.17</w:t>
            </w:r>
          </w:p>
        </w:tc>
      </w:tr>
      <w:tr w:rsidR="006E11C6" w:rsidRPr="00FF0CA3" w14:paraId="73794A80"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3B106F90" w14:textId="77777777" w:rsidR="006E11C6" w:rsidRPr="00FF0CA3" w:rsidRDefault="00BC4457">
            <w:pPr>
              <w:rPr>
                <w:b w:val="0"/>
                <w:bCs w:val="0"/>
                <w:szCs w:val="24"/>
              </w:rPr>
            </w:pPr>
            <w:r w:rsidRPr="00FF0CA3">
              <w:rPr>
                <w:rFonts w:ascii="Times New Roman" w:hAnsi="Times New Roman"/>
                <w:b w:val="0"/>
                <w:bCs w:val="0"/>
                <w:szCs w:val="24"/>
              </w:rPr>
              <w:t>Education</w:t>
            </w:r>
          </w:p>
        </w:tc>
        <w:tc>
          <w:tcPr>
            <w:tcW w:w="2351" w:type="dxa"/>
            <w:shd w:val="clear" w:color="auto" w:fill="auto"/>
          </w:tcPr>
          <w:p w14:paraId="0094C341"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5.06</w:t>
            </w:r>
          </w:p>
        </w:tc>
        <w:tc>
          <w:tcPr>
            <w:tcW w:w="2351" w:type="dxa"/>
            <w:shd w:val="clear" w:color="auto" w:fill="auto"/>
          </w:tcPr>
          <w:p w14:paraId="66134337"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2</w:t>
            </w:r>
          </w:p>
        </w:tc>
        <w:tc>
          <w:tcPr>
            <w:tcW w:w="2351" w:type="dxa"/>
            <w:shd w:val="clear" w:color="auto" w:fill="auto"/>
          </w:tcPr>
          <w:p w14:paraId="0C069470" w14:textId="46C07152"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0.08</w:t>
            </w:r>
          </w:p>
        </w:tc>
      </w:tr>
      <w:tr w:rsidR="006E11C6" w:rsidRPr="00FF0CA3" w14:paraId="1D67450E"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0F2C0B16" w14:textId="77777777" w:rsidR="006E11C6" w:rsidRPr="00FF0CA3" w:rsidRDefault="00BC4457">
            <w:pPr>
              <w:rPr>
                <w:b w:val="0"/>
                <w:bCs w:val="0"/>
                <w:szCs w:val="24"/>
              </w:rPr>
            </w:pPr>
            <w:r w:rsidRPr="00FF0CA3">
              <w:rPr>
                <w:rFonts w:ascii="Times New Roman" w:hAnsi="Times New Roman"/>
                <w:b w:val="0"/>
                <w:bCs w:val="0"/>
                <w:szCs w:val="24"/>
              </w:rPr>
              <w:t>Smoking status</w:t>
            </w:r>
          </w:p>
        </w:tc>
        <w:tc>
          <w:tcPr>
            <w:tcW w:w="2351" w:type="dxa"/>
          </w:tcPr>
          <w:p w14:paraId="27B204C4"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1.70</w:t>
            </w:r>
          </w:p>
        </w:tc>
        <w:tc>
          <w:tcPr>
            <w:tcW w:w="2351" w:type="dxa"/>
          </w:tcPr>
          <w:p w14:paraId="736D8866"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2</w:t>
            </w:r>
          </w:p>
        </w:tc>
        <w:tc>
          <w:tcPr>
            <w:tcW w:w="2351" w:type="dxa"/>
          </w:tcPr>
          <w:p w14:paraId="4C16AFE8" w14:textId="6862A890"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lang w:eastAsia="ja-JP"/>
              </w:rPr>
            </w:pPr>
            <w:r w:rsidRPr="00FF0CA3">
              <w:rPr>
                <w:rFonts w:ascii="Times New Roman" w:hAnsi="Times New Roman"/>
                <w:szCs w:val="24"/>
              </w:rPr>
              <w:t>0.4</w:t>
            </w:r>
            <w:r w:rsidR="00947785">
              <w:rPr>
                <w:rFonts w:ascii="Times New Roman" w:hAnsi="Times New Roman" w:hint="eastAsia"/>
                <w:szCs w:val="24"/>
                <w:lang w:eastAsia="ja-JP"/>
              </w:rPr>
              <w:t>3</w:t>
            </w:r>
          </w:p>
        </w:tc>
      </w:tr>
      <w:tr w:rsidR="006E11C6" w:rsidRPr="00FF0CA3" w14:paraId="5A50778F"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1DD0E189" w14:textId="77777777" w:rsidR="006E11C6" w:rsidRPr="00FF0CA3" w:rsidRDefault="00BC4457">
            <w:pPr>
              <w:rPr>
                <w:b w:val="0"/>
                <w:bCs w:val="0"/>
                <w:szCs w:val="24"/>
              </w:rPr>
            </w:pPr>
            <w:r w:rsidRPr="00FF0CA3">
              <w:rPr>
                <w:rFonts w:ascii="Times New Roman" w:hAnsi="Times New Roman"/>
                <w:b w:val="0"/>
                <w:bCs w:val="0"/>
                <w:szCs w:val="24"/>
              </w:rPr>
              <w:t>Physical activity</w:t>
            </w:r>
          </w:p>
        </w:tc>
        <w:tc>
          <w:tcPr>
            <w:tcW w:w="2351" w:type="dxa"/>
            <w:shd w:val="clear" w:color="auto" w:fill="auto"/>
          </w:tcPr>
          <w:p w14:paraId="71690821"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8.87</w:t>
            </w:r>
          </w:p>
        </w:tc>
        <w:tc>
          <w:tcPr>
            <w:tcW w:w="2351" w:type="dxa"/>
            <w:shd w:val="clear" w:color="auto" w:fill="auto"/>
          </w:tcPr>
          <w:p w14:paraId="6569BF24"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w:t>
            </w:r>
          </w:p>
        </w:tc>
        <w:tc>
          <w:tcPr>
            <w:tcW w:w="2351" w:type="dxa"/>
            <w:shd w:val="clear" w:color="auto" w:fill="auto"/>
          </w:tcPr>
          <w:p w14:paraId="24D6AA50"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0.003</w:t>
            </w:r>
          </w:p>
        </w:tc>
      </w:tr>
      <w:tr w:rsidR="006E11C6" w:rsidRPr="00FF0CA3" w14:paraId="6482D97E"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5C078123" w14:textId="77777777" w:rsidR="006E11C6" w:rsidRPr="00FF0CA3" w:rsidRDefault="00BC4457">
            <w:pPr>
              <w:rPr>
                <w:b w:val="0"/>
                <w:bCs w:val="0"/>
                <w:szCs w:val="24"/>
              </w:rPr>
            </w:pPr>
            <w:r w:rsidRPr="00FF0CA3">
              <w:rPr>
                <w:rFonts w:ascii="Times New Roman" w:hAnsi="Times New Roman"/>
                <w:b w:val="0"/>
                <w:bCs w:val="0"/>
                <w:szCs w:val="24"/>
              </w:rPr>
              <w:t>CVD history</w:t>
            </w:r>
          </w:p>
        </w:tc>
        <w:tc>
          <w:tcPr>
            <w:tcW w:w="2351" w:type="dxa"/>
          </w:tcPr>
          <w:p w14:paraId="26F213E7"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0.11</w:t>
            </w:r>
          </w:p>
        </w:tc>
        <w:tc>
          <w:tcPr>
            <w:tcW w:w="2351" w:type="dxa"/>
          </w:tcPr>
          <w:p w14:paraId="2FF245E2"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w:t>
            </w:r>
          </w:p>
        </w:tc>
        <w:tc>
          <w:tcPr>
            <w:tcW w:w="2351" w:type="dxa"/>
          </w:tcPr>
          <w:p w14:paraId="7C6FB515" w14:textId="196A18E1"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lang w:eastAsia="ja-JP"/>
              </w:rPr>
            </w:pPr>
            <w:r w:rsidRPr="00FF0CA3">
              <w:rPr>
                <w:rFonts w:ascii="Times New Roman" w:hAnsi="Times New Roman"/>
                <w:szCs w:val="24"/>
              </w:rPr>
              <w:t>0.7</w:t>
            </w:r>
            <w:r w:rsidR="00947785">
              <w:rPr>
                <w:rFonts w:ascii="Times New Roman" w:hAnsi="Times New Roman" w:hint="eastAsia"/>
                <w:szCs w:val="24"/>
                <w:lang w:eastAsia="ja-JP"/>
              </w:rPr>
              <w:t>4</w:t>
            </w:r>
          </w:p>
        </w:tc>
      </w:tr>
      <w:tr w:rsidR="006E11C6" w:rsidRPr="00FF0CA3" w14:paraId="355C665F"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0ADEA226" w14:textId="77777777" w:rsidR="006E11C6" w:rsidRPr="00FF0CA3" w:rsidRDefault="00BC4457">
            <w:pPr>
              <w:rPr>
                <w:b w:val="0"/>
                <w:bCs w:val="0"/>
                <w:szCs w:val="24"/>
              </w:rPr>
            </w:pPr>
            <w:r w:rsidRPr="00FF0CA3">
              <w:rPr>
                <w:rFonts w:ascii="Times New Roman" w:hAnsi="Times New Roman"/>
                <w:b w:val="0"/>
                <w:bCs w:val="0"/>
                <w:szCs w:val="24"/>
              </w:rPr>
              <w:t>Hypertension</w:t>
            </w:r>
          </w:p>
        </w:tc>
        <w:tc>
          <w:tcPr>
            <w:tcW w:w="2351" w:type="dxa"/>
            <w:shd w:val="clear" w:color="auto" w:fill="auto"/>
          </w:tcPr>
          <w:p w14:paraId="19FF4A73"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0.51</w:t>
            </w:r>
          </w:p>
        </w:tc>
        <w:tc>
          <w:tcPr>
            <w:tcW w:w="2351" w:type="dxa"/>
            <w:shd w:val="clear" w:color="auto" w:fill="auto"/>
          </w:tcPr>
          <w:p w14:paraId="71D7CB8E"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w:t>
            </w:r>
          </w:p>
        </w:tc>
        <w:tc>
          <w:tcPr>
            <w:tcW w:w="2351" w:type="dxa"/>
            <w:shd w:val="clear" w:color="auto" w:fill="auto"/>
          </w:tcPr>
          <w:p w14:paraId="7EA9061C" w14:textId="3748B6CE"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lang w:eastAsia="ja-JP"/>
              </w:rPr>
            </w:pPr>
            <w:r w:rsidRPr="00FF0CA3">
              <w:rPr>
                <w:rFonts w:ascii="Times New Roman" w:hAnsi="Times New Roman"/>
                <w:szCs w:val="24"/>
              </w:rPr>
              <w:t>0.4</w:t>
            </w:r>
            <w:r w:rsidR="00947785">
              <w:rPr>
                <w:rFonts w:ascii="Times New Roman" w:hAnsi="Times New Roman" w:hint="eastAsia"/>
                <w:szCs w:val="24"/>
                <w:lang w:eastAsia="ja-JP"/>
              </w:rPr>
              <w:t>8</w:t>
            </w:r>
          </w:p>
        </w:tc>
      </w:tr>
      <w:tr w:rsidR="006E11C6" w:rsidRPr="00FF0CA3" w14:paraId="227D6DC4" w14:textId="77777777" w:rsidTr="005F6390">
        <w:tc>
          <w:tcPr>
            <w:cnfStyle w:val="001000000000" w:firstRow="0" w:lastRow="0" w:firstColumn="1" w:lastColumn="0" w:oddVBand="0" w:evenVBand="0" w:oddHBand="0" w:evenHBand="0" w:firstRowFirstColumn="0" w:firstRowLastColumn="0" w:lastRowFirstColumn="0" w:lastRowLastColumn="0"/>
            <w:tcW w:w="2351" w:type="dxa"/>
          </w:tcPr>
          <w:p w14:paraId="34D00A47" w14:textId="77777777" w:rsidR="006E11C6" w:rsidRPr="00FF0CA3" w:rsidRDefault="00BC4457">
            <w:pPr>
              <w:rPr>
                <w:b w:val="0"/>
                <w:bCs w:val="0"/>
                <w:szCs w:val="24"/>
              </w:rPr>
            </w:pPr>
            <w:r w:rsidRPr="00FF0CA3">
              <w:rPr>
                <w:rFonts w:ascii="Times New Roman" w:hAnsi="Times New Roman"/>
                <w:b w:val="0"/>
                <w:bCs w:val="0"/>
                <w:szCs w:val="24"/>
              </w:rPr>
              <w:t>Diabetes</w:t>
            </w:r>
          </w:p>
        </w:tc>
        <w:tc>
          <w:tcPr>
            <w:tcW w:w="2351" w:type="dxa"/>
          </w:tcPr>
          <w:p w14:paraId="2C270F60"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1.64</w:t>
            </w:r>
          </w:p>
        </w:tc>
        <w:tc>
          <w:tcPr>
            <w:tcW w:w="2351" w:type="dxa"/>
          </w:tcPr>
          <w:p w14:paraId="71859796" w14:textId="77777777"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1</w:t>
            </w:r>
          </w:p>
        </w:tc>
        <w:tc>
          <w:tcPr>
            <w:tcW w:w="2351" w:type="dxa"/>
          </w:tcPr>
          <w:p w14:paraId="2D153ACC" w14:textId="5751E214" w:rsidR="006E11C6" w:rsidRPr="00FF0CA3" w:rsidRDefault="00BC4457">
            <w:pPr>
              <w:cnfStyle w:val="000000000000" w:firstRow="0" w:lastRow="0" w:firstColumn="0" w:lastColumn="0" w:oddVBand="0" w:evenVBand="0" w:oddHBand="0" w:evenHBand="0" w:firstRowFirstColumn="0" w:firstRowLastColumn="0" w:lastRowFirstColumn="0" w:lastRowLastColumn="0"/>
              <w:rPr>
                <w:szCs w:val="24"/>
              </w:rPr>
            </w:pPr>
            <w:r w:rsidRPr="00FF0CA3">
              <w:rPr>
                <w:rFonts w:ascii="Times New Roman" w:hAnsi="Times New Roman"/>
                <w:szCs w:val="24"/>
              </w:rPr>
              <w:t>0.2</w:t>
            </w:r>
          </w:p>
        </w:tc>
      </w:tr>
      <w:tr w:rsidR="006E11C6" w:rsidRPr="00FF0CA3" w14:paraId="2BE98F41" w14:textId="77777777" w:rsidTr="005F6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shd w:val="clear" w:color="auto" w:fill="auto"/>
          </w:tcPr>
          <w:p w14:paraId="40E8C0E2" w14:textId="77777777" w:rsidR="006E11C6" w:rsidRPr="00FF0CA3" w:rsidRDefault="00BC4457">
            <w:pPr>
              <w:rPr>
                <w:b w:val="0"/>
                <w:bCs w:val="0"/>
                <w:szCs w:val="24"/>
              </w:rPr>
            </w:pPr>
            <w:r w:rsidRPr="00FF0CA3">
              <w:rPr>
                <w:rFonts w:ascii="Times New Roman" w:hAnsi="Times New Roman"/>
                <w:b w:val="0"/>
                <w:bCs w:val="0"/>
                <w:szCs w:val="24"/>
              </w:rPr>
              <w:t>Global test</w:t>
            </w:r>
          </w:p>
        </w:tc>
        <w:tc>
          <w:tcPr>
            <w:tcW w:w="2351" w:type="dxa"/>
            <w:shd w:val="clear" w:color="auto" w:fill="auto"/>
          </w:tcPr>
          <w:p w14:paraId="3C3C7F49"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34.77</w:t>
            </w:r>
          </w:p>
        </w:tc>
        <w:tc>
          <w:tcPr>
            <w:tcW w:w="2351" w:type="dxa"/>
            <w:shd w:val="clear" w:color="auto" w:fill="auto"/>
          </w:tcPr>
          <w:p w14:paraId="77EBDD8C"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16</w:t>
            </w:r>
          </w:p>
        </w:tc>
        <w:tc>
          <w:tcPr>
            <w:tcW w:w="2351" w:type="dxa"/>
            <w:shd w:val="clear" w:color="auto" w:fill="auto"/>
          </w:tcPr>
          <w:p w14:paraId="2E9F2F62" w14:textId="77777777" w:rsidR="006E11C6" w:rsidRPr="00FF0CA3" w:rsidRDefault="00BC4457">
            <w:pPr>
              <w:cnfStyle w:val="000000100000" w:firstRow="0" w:lastRow="0" w:firstColumn="0" w:lastColumn="0" w:oddVBand="0" w:evenVBand="0" w:oddHBand="1" w:evenHBand="0" w:firstRowFirstColumn="0" w:firstRowLastColumn="0" w:lastRowFirstColumn="0" w:lastRowLastColumn="0"/>
              <w:rPr>
                <w:szCs w:val="24"/>
              </w:rPr>
            </w:pPr>
            <w:r w:rsidRPr="00FF0CA3">
              <w:rPr>
                <w:rFonts w:ascii="Times New Roman" w:hAnsi="Times New Roman"/>
                <w:szCs w:val="24"/>
              </w:rPr>
              <w:t>0.004</w:t>
            </w:r>
          </w:p>
        </w:tc>
      </w:tr>
    </w:tbl>
    <w:p w14:paraId="3A29837C" w14:textId="3D2145AB" w:rsidR="006E11C6" w:rsidRDefault="005A29AF">
      <w:r w:rsidRPr="005A29AF">
        <w:t xml:space="preserve">Schoenfeld residual tests were performed in an unweighted Cox model with the same covariate structure as the fully adjusted Model 4, because formal Schoenfeld residual testing is not directly implemented for survey-weighted Cox models. </w:t>
      </w:r>
    </w:p>
    <w:p w14:paraId="1B6647A2" w14:textId="77777777" w:rsidR="00E35431" w:rsidRDefault="00E35431"/>
    <w:sectPr w:rsidR="00E35431" w:rsidSect="0042479B">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F227B" w14:textId="77777777" w:rsidR="008A481E" w:rsidRDefault="008A481E" w:rsidP="005F6390">
      <w:pPr>
        <w:spacing w:after="0" w:line="240" w:lineRule="auto"/>
      </w:pPr>
      <w:r>
        <w:separator/>
      </w:r>
    </w:p>
  </w:endnote>
  <w:endnote w:type="continuationSeparator" w:id="0">
    <w:p w14:paraId="3926F109" w14:textId="77777777" w:rsidR="008A481E" w:rsidRDefault="008A481E" w:rsidP="005F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教科書体">
    <w:panose1 w:val="02020609000000000000"/>
    <w:charset w:val="80"/>
    <w:family w:val="roma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2E29" w14:textId="77777777" w:rsidR="008A481E" w:rsidRDefault="008A481E" w:rsidP="005F6390">
      <w:pPr>
        <w:spacing w:after="0" w:line="240" w:lineRule="auto"/>
      </w:pPr>
      <w:r>
        <w:separator/>
      </w:r>
    </w:p>
  </w:footnote>
  <w:footnote w:type="continuationSeparator" w:id="0">
    <w:p w14:paraId="0FE5F846" w14:textId="77777777" w:rsidR="008A481E" w:rsidRDefault="008A481E" w:rsidP="005F63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B"/>
    <w:rsid w:val="00037D9D"/>
    <w:rsid w:val="00071217"/>
    <w:rsid w:val="000C48AE"/>
    <w:rsid w:val="0014171D"/>
    <w:rsid w:val="002D35C7"/>
    <w:rsid w:val="002E3DF3"/>
    <w:rsid w:val="0042479B"/>
    <w:rsid w:val="004712AB"/>
    <w:rsid w:val="00495828"/>
    <w:rsid w:val="00497091"/>
    <w:rsid w:val="004D7783"/>
    <w:rsid w:val="004F3797"/>
    <w:rsid w:val="00542711"/>
    <w:rsid w:val="005A29AF"/>
    <w:rsid w:val="005E762B"/>
    <w:rsid w:val="005F6390"/>
    <w:rsid w:val="00621870"/>
    <w:rsid w:val="0063683D"/>
    <w:rsid w:val="006B1708"/>
    <w:rsid w:val="006E11C6"/>
    <w:rsid w:val="007302CB"/>
    <w:rsid w:val="007A6792"/>
    <w:rsid w:val="007C7461"/>
    <w:rsid w:val="008043D6"/>
    <w:rsid w:val="00861B29"/>
    <w:rsid w:val="00874815"/>
    <w:rsid w:val="00881F40"/>
    <w:rsid w:val="008A481E"/>
    <w:rsid w:val="00906145"/>
    <w:rsid w:val="009121D6"/>
    <w:rsid w:val="00947785"/>
    <w:rsid w:val="009927B9"/>
    <w:rsid w:val="00A06EAF"/>
    <w:rsid w:val="00A25FD2"/>
    <w:rsid w:val="00BC4457"/>
    <w:rsid w:val="00BE4509"/>
    <w:rsid w:val="00C27668"/>
    <w:rsid w:val="00C6119E"/>
    <w:rsid w:val="00C66FD4"/>
    <w:rsid w:val="00E06183"/>
    <w:rsid w:val="00E35431"/>
    <w:rsid w:val="00E64C8F"/>
    <w:rsid w:val="00F14422"/>
    <w:rsid w:val="00F1598F"/>
    <w:rsid w:val="00F83C28"/>
    <w:rsid w:val="00FC02E4"/>
    <w:rsid w:val="00FF0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3F4D33"/>
  <w15:chartTrackingRefBased/>
  <w15:docId w15:val="{71A65B70-3554-417C-AD06-9AE61DBA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HG教科書体"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79B"/>
    <w:pPr>
      <w:spacing w:after="200" w:line="276" w:lineRule="auto"/>
    </w:pPr>
    <w:rPr>
      <w:rFonts w:eastAsiaTheme="minorEastAsia"/>
      <w:kern w:val="0"/>
      <w:sz w:val="24"/>
      <w:lang w:eastAsia="en-US"/>
    </w:rPr>
  </w:style>
  <w:style w:type="paragraph" w:styleId="1">
    <w:name w:val="heading 1"/>
    <w:basedOn w:val="a"/>
    <w:next w:val="a"/>
    <w:link w:val="10"/>
    <w:uiPriority w:val="9"/>
    <w:qFormat/>
    <w:rsid w:val="0042479B"/>
    <w:pPr>
      <w:keepNext/>
      <w:keepLines/>
      <w:widowControl w:val="0"/>
      <w:spacing w:before="280" w:after="80" w:line="240" w:lineRule="auto"/>
      <w:jc w:val="both"/>
      <w:outlineLvl w:val="0"/>
    </w:pPr>
    <w:rPr>
      <w:rFonts w:asciiTheme="majorHAnsi" w:eastAsiaTheme="majorEastAsia" w:hAnsiTheme="majorHAnsi" w:cstheme="majorBidi"/>
      <w:color w:val="000000" w:themeColor="text1"/>
      <w:kern w:val="2"/>
      <w:sz w:val="32"/>
      <w:szCs w:val="32"/>
      <w:lang w:val="en-GB" w:eastAsia="ja-JP"/>
    </w:rPr>
  </w:style>
  <w:style w:type="paragraph" w:styleId="2">
    <w:name w:val="heading 2"/>
    <w:basedOn w:val="a"/>
    <w:next w:val="a"/>
    <w:link w:val="20"/>
    <w:uiPriority w:val="9"/>
    <w:semiHidden/>
    <w:unhideWhenUsed/>
    <w:qFormat/>
    <w:rsid w:val="0042479B"/>
    <w:pPr>
      <w:keepNext/>
      <w:keepLines/>
      <w:widowControl w:val="0"/>
      <w:spacing w:before="160" w:after="80" w:line="240" w:lineRule="auto"/>
      <w:jc w:val="both"/>
      <w:outlineLvl w:val="1"/>
    </w:pPr>
    <w:rPr>
      <w:rFonts w:asciiTheme="majorHAnsi" w:eastAsiaTheme="majorEastAsia" w:hAnsiTheme="majorHAnsi" w:cstheme="majorBidi"/>
      <w:color w:val="000000" w:themeColor="text1"/>
      <w:kern w:val="2"/>
      <w:sz w:val="28"/>
      <w:szCs w:val="28"/>
      <w:lang w:val="en-GB" w:eastAsia="ja-JP"/>
    </w:rPr>
  </w:style>
  <w:style w:type="paragraph" w:styleId="3">
    <w:name w:val="heading 3"/>
    <w:basedOn w:val="a"/>
    <w:next w:val="a"/>
    <w:link w:val="30"/>
    <w:uiPriority w:val="9"/>
    <w:semiHidden/>
    <w:unhideWhenUsed/>
    <w:qFormat/>
    <w:rsid w:val="0042479B"/>
    <w:pPr>
      <w:keepNext/>
      <w:keepLines/>
      <w:widowControl w:val="0"/>
      <w:spacing w:before="160" w:after="80" w:line="240" w:lineRule="auto"/>
      <w:jc w:val="both"/>
      <w:outlineLvl w:val="2"/>
    </w:pPr>
    <w:rPr>
      <w:rFonts w:asciiTheme="majorHAnsi" w:eastAsiaTheme="majorEastAsia" w:hAnsiTheme="majorHAnsi" w:cstheme="majorBidi"/>
      <w:color w:val="000000" w:themeColor="text1"/>
      <w:kern w:val="2"/>
      <w:szCs w:val="24"/>
      <w:lang w:val="en-GB" w:eastAsia="ja-JP"/>
    </w:rPr>
  </w:style>
  <w:style w:type="paragraph" w:styleId="4">
    <w:name w:val="heading 4"/>
    <w:basedOn w:val="a"/>
    <w:next w:val="a"/>
    <w:link w:val="40"/>
    <w:uiPriority w:val="9"/>
    <w:semiHidden/>
    <w:unhideWhenUsed/>
    <w:qFormat/>
    <w:rsid w:val="0042479B"/>
    <w:pPr>
      <w:keepNext/>
      <w:keepLines/>
      <w:widowControl w:val="0"/>
      <w:spacing w:before="80" w:after="40" w:line="240" w:lineRule="auto"/>
      <w:jc w:val="both"/>
      <w:outlineLvl w:val="3"/>
    </w:pPr>
    <w:rPr>
      <w:rFonts w:asciiTheme="majorHAnsi" w:eastAsiaTheme="majorEastAsia" w:hAnsiTheme="majorHAnsi" w:cstheme="majorBidi"/>
      <w:color w:val="000000" w:themeColor="text1"/>
      <w:kern w:val="2"/>
      <w:sz w:val="21"/>
      <w:lang w:val="en-GB" w:eastAsia="ja-JP"/>
    </w:rPr>
  </w:style>
  <w:style w:type="paragraph" w:styleId="5">
    <w:name w:val="heading 5"/>
    <w:basedOn w:val="a"/>
    <w:next w:val="a"/>
    <w:link w:val="50"/>
    <w:uiPriority w:val="9"/>
    <w:semiHidden/>
    <w:unhideWhenUsed/>
    <w:qFormat/>
    <w:rsid w:val="0042479B"/>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kern w:val="2"/>
      <w:sz w:val="21"/>
      <w:lang w:val="en-GB" w:eastAsia="ja-JP"/>
    </w:rPr>
  </w:style>
  <w:style w:type="paragraph" w:styleId="6">
    <w:name w:val="heading 6"/>
    <w:basedOn w:val="a"/>
    <w:next w:val="a"/>
    <w:link w:val="60"/>
    <w:uiPriority w:val="9"/>
    <w:semiHidden/>
    <w:unhideWhenUsed/>
    <w:qFormat/>
    <w:rsid w:val="0042479B"/>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kern w:val="2"/>
      <w:sz w:val="21"/>
      <w:lang w:val="en-GB" w:eastAsia="ja-JP"/>
    </w:rPr>
  </w:style>
  <w:style w:type="paragraph" w:styleId="7">
    <w:name w:val="heading 7"/>
    <w:basedOn w:val="a"/>
    <w:next w:val="a"/>
    <w:link w:val="70"/>
    <w:uiPriority w:val="9"/>
    <w:semiHidden/>
    <w:unhideWhenUsed/>
    <w:qFormat/>
    <w:rsid w:val="0042479B"/>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kern w:val="2"/>
      <w:sz w:val="21"/>
      <w:lang w:val="en-GB" w:eastAsia="ja-JP"/>
    </w:rPr>
  </w:style>
  <w:style w:type="paragraph" w:styleId="8">
    <w:name w:val="heading 8"/>
    <w:basedOn w:val="a"/>
    <w:next w:val="a"/>
    <w:link w:val="80"/>
    <w:uiPriority w:val="9"/>
    <w:semiHidden/>
    <w:unhideWhenUsed/>
    <w:qFormat/>
    <w:rsid w:val="0042479B"/>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kern w:val="2"/>
      <w:sz w:val="21"/>
      <w:lang w:val="en-GB" w:eastAsia="ja-JP"/>
    </w:rPr>
  </w:style>
  <w:style w:type="paragraph" w:styleId="9">
    <w:name w:val="heading 9"/>
    <w:basedOn w:val="a"/>
    <w:next w:val="a"/>
    <w:link w:val="90"/>
    <w:uiPriority w:val="9"/>
    <w:semiHidden/>
    <w:unhideWhenUsed/>
    <w:qFormat/>
    <w:rsid w:val="0042479B"/>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kern w:val="2"/>
      <w:sz w:val="21"/>
      <w:lang w:val="en-GB"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2479B"/>
    <w:rPr>
      <w:rFonts w:asciiTheme="majorHAnsi" w:eastAsiaTheme="majorEastAsia" w:hAnsiTheme="majorHAnsi" w:cstheme="majorBidi"/>
      <w:color w:val="000000" w:themeColor="text1"/>
      <w:sz w:val="32"/>
      <w:szCs w:val="32"/>
      <w:lang w:val="en-GB"/>
    </w:rPr>
  </w:style>
  <w:style w:type="character" w:customStyle="1" w:styleId="20">
    <w:name w:val="見出し 2 (文字)"/>
    <w:basedOn w:val="a0"/>
    <w:link w:val="2"/>
    <w:uiPriority w:val="9"/>
    <w:semiHidden/>
    <w:rsid w:val="0042479B"/>
    <w:rPr>
      <w:rFonts w:asciiTheme="majorHAnsi" w:eastAsiaTheme="majorEastAsia" w:hAnsiTheme="majorHAnsi" w:cstheme="majorBidi"/>
      <w:color w:val="000000" w:themeColor="text1"/>
      <w:sz w:val="28"/>
      <w:szCs w:val="28"/>
      <w:lang w:val="en-GB"/>
    </w:rPr>
  </w:style>
  <w:style w:type="character" w:customStyle="1" w:styleId="30">
    <w:name w:val="見出し 3 (文字)"/>
    <w:basedOn w:val="a0"/>
    <w:link w:val="3"/>
    <w:uiPriority w:val="9"/>
    <w:semiHidden/>
    <w:rsid w:val="0042479B"/>
    <w:rPr>
      <w:rFonts w:asciiTheme="majorHAnsi" w:eastAsiaTheme="majorEastAsia" w:hAnsiTheme="majorHAnsi" w:cstheme="majorBidi"/>
      <w:color w:val="000000" w:themeColor="text1"/>
      <w:sz w:val="24"/>
      <w:szCs w:val="24"/>
      <w:lang w:val="en-GB"/>
    </w:rPr>
  </w:style>
  <w:style w:type="character" w:customStyle="1" w:styleId="40">
    <w:name w:val="見出し 4 (文字)"/>
    <w:basedOn w:val="a0"/>
    <w:link w:val="4"/>
    <w:uiPriority w:val="9"/>
    <w:semiHidden/>
    <w:rsid w:val="0042479B"/>
    <w:rPr>
      <w:rFonts w:asciiTheme="majorHAnsi" w:eastAsiaTheme="majorEastAsia" w:hAnsiTheme="majorHAnsi" w:cstheme="majorBidi"/>
      <w:color w:val="000000" w:themeColor="text1"/>
      <w:lang w:val="en-GB"/>
    </w:rPr>
  </w:style>
  <w:style w:type="character" w:customStyle="1" w:styleId="50">
    <w:name w:val="見出し 5 (文字)"/>
    <w:basedOn w:val="a0"/>
    <w:link w:val="5"/>
    <w:uiPriority w:val="9"/>
    <w:semiHidden/>
    <w:rsid w:val="0042479B"/>
    <w:rPr>
      <w:rFonts w:asciiTheme="majorHAnsi" w:eastAsiaTheme="majorEastAsia" w:hAnsiTheme="majorHAnsi" w:cstheme="majorBidi"/>
      <w:color w:val="000000" w:themeColor="text1"/>
      <w:lang w:val="en-GB"/>
    </w:rPr>
  </w:style>
  <w:style w:type="character" w:customStyle="1" w:styleId="60">
    <w:name w:val="見出し 6 (文字)"/>
    <w:basedOn w:val="a0"/>
    <w:link w:val="6"/>
    <w:uiPriority w:val="9"/>
    <w:semiHidden/>
    <w:rsid w:val="0042479B"/>
    <w:rPr>
      <w:rFonts w:asciiTheme="majorHAnsi" w:eastAsiaTheme="majorEastAsia" w:hAnsiTheme="majorHAnsi" w:cstheme="majorBidi"/>
      <w:color w:val="000000" w:themeColor="text1"/>
      <w:lang w:val="en-GB"/>
    </w:rPr>
  </w:style>
  <w:style w:type="character" w:customStyle="1" w:styleId="70">
    <w:name w:val="見出し 7 (文字)"/>
    <w:basedOn w:val="a0"/>
    <w:link w:val="7"/>
    <w:uiPriority w:val="9"/>
    <w:semiHidden/>
    <w:rsid w:val="0042479B"/>
    <w:rPr>
      <w:rFonts w:asciiTheme="majorHAnsi" w:eastAsiaTheme="majorEastAsia" w:hAnsiTheme="majorHAnsi" w:cstheme="majorBidi"/>
      <w:color w:val="000000" w:themeColor="text1"/>
      <w:lang w:val="en-GB"/>
    </w:rPr>
  </w:style>
  <w:style w:type="character" w:customStyle="1" w:styleId="80">
    <w:name w:val="見出し 8 (文字)"/>
    <w:basedOn w:val="a0"/>
    <w:link w:val="8"/>
    <w:uiPriority w:val="9"/>
    <w:semiHidden/>
    <w:rsid w:val="0042479B"/>
    <w:rPr>
      <w:rFonts w:asciiTheme="majorHAnsi" w:eastAsiaTheme="majorEastAsia" w:hAnsiTheme="majorHAnsi" w:cstheme="majorBidi"/>
      <w:color w:val="000000" w:themeColor="text1"/>
      <w:lang w:val="en-GB"/>
    </w:rPr>
  </w:style>
  <w:style w:type="character" w:customStyle="1" w:styleId="90">
    <w:name w:val="見出し 9 (文字)"/>
    <w:basedOn w:val="a0"/>
    <w:link w:val="9"/>
    <w:uiPriority w:val="9"/>
    <w:semiHidden/>
    <w:rsid w:val="0042479B"/>
    <w:rPr>
      <w:rFonts w:asciiTheme="majorHAnsi" w:eastAsiaTheme="majorEastAsia" w:hAnsiTheme="majorHAnsi" w:cstheme="majorBidi"/>
      <w:color w:val="000000" w:themeColor="text1"/>
      <w:lang w:val="en-GB"/>
    </w:rPr>
  </w:style>
  <w:style w:type="paragraph" w:styleId="a3">
    <w:name w:val="Title"/>
    <w:basedOn w:val="a"/>
    <w:next w:val="a"/>
    <w:link w:val="a4"/>
    <w:uiPriority w:val="10"/>
    <w:qFormat/>
    <w:rsid w:val="0042479B"/>
    <w:pPr>
      <w:widowControl w:val="0"/>
      <w:spacing w:after="80" w:line="240" w:lineRule="auto"/>
      <w:contextualSpacing/>
      <w:jc w:val="center"/>
    </w:pPr>
    <w:rPr>
      <w:rFonts w:asciiTheme="majorHAnsi" w:eastAsiaTheme="majorEastAsia" w:hAnsiTheme="majorHAnsi" w:cstheme="majorBidi"/>
      <w:spacing w:val="-10"/>
      <w:kern w:val="28"/>
      <w:sz w:val="56"/>
      <w:szCs w:val="56"/>
      <w:lang w:val="en-GB" w:eastAsia="ja-JP"/>
    </w:rPr>
  </w:style>
  <w:style w:type="character" w:customStyle="1" w:styleId="a4">
    <w:name w:val="表題 (文字)"/>
    <w:basedOn w:val="a0"/>
    <w:link w:val="a3"/>
    <w:uiPriority w:val="10"/>
    <w:rsid w:val="0042479B"/>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42479B"/>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val="en-GB" w:eastAsia="ja-JP"/>
    </w:rPr>
  </w:style>
  <w:style w:type="character" w:customStyle="1" w:styleId="a6">
    <w:name w:val="副題 (文字)"/>
    <w:basedOn w:val="a0"/>
    <w:link w:val="a5"/>
    <w:uiPriority w:val="11"/>
    <w:rsid w:val="0042479B"/>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42479B"/>
    <w:pPr>
      <w:widowControl w:val="0"/>
      <w:spacing w:before="160" w:after="160" w:line="240" w:lineRule="auto"/>
      <w:jc w:val="center"/>
    </w:pPr>
    <w:rPr>
      <w:rFonts w:eastAsia="HG教科書体"/>
      <w:i/>
      <w:iCs/>
      <w:color w:val="404040" w:themeColor="text1" w:themeTint="BF"/>
      <w:kern w:val="2"/>
      <w:sz w:val="21"/>
      <w:lang w:val="en-GB" w:eastAsia="ja-JP"/>
    </w:rPr>
  </w:style>
  <w:style w:type="character" w:customStyle="1" w:styleId="a8">
    <w:name w:val="引用文 (文字)"/>
    <w:basedOn w:val="a0"/>
    <w:link w:val="a7"/>
    <w:uiPriority w:val="29"/>
    <w:rsid w:val="0042479B"/>
    <w:rPr>
      <w:i/>
      <w:iCs/>
      <w:color w:val="404040" w:themeColor="text1" w:themeTint="BF"/>
      <w:lang w:val="en-GB"/>
    </w:rPr>
  </w:style>
  <w:style w:type="paragraph" w:styleId="a9">
    <w:name w:val="List Paragraph"/>
    <w:basedOn w:val="a"/>
    <w:uiPriority w:val="34"/>
    <w:qFormat/>
    <w:rsid w:val="0042479B"/>
    <w:pPr>
      <w:widowControl w:val="0"/>
      <w:spacing w:after="0" w:line="240" w:lineRule="auto"/>
      <w:ind w:left="720"/>
      <w:contextualSpacing/>
      <w:jc w:val="both"/>
    </w:pPr>
    <w:rPr>
      <w:rFonts w:eastAsia="HG教科書体"/>
      <w:kern w:val="2"/>
      <w:sz w:val="21"/>
      <w:lang w:val="en-GB" w:eastAsia="ja-JP"/>
    </w:rPr>
  </w:style>
  <w:style w:type="character" w:styleId="21">
    <w:name w:val="Intense Emphasis"/>
    <w:basedOn w:val="a0"/>
    <w:uiPriority w:val="21"/>
    <w:qFormat/>
    <w:rsid w:val="0042479B"/>
    <w:rPr>
      <w:i/>
      <w:iCs/>
      <w:color w:val="0F4761" w:themeColor="accent1" w:themeShade="BF"/>
    </w:rPr>
  </w:style>
  <w:style w:type="paragraph" w:styleId="22">
    <w:name w:val="Intense Quote"/>
    <w:basedOn w:val="a"/>
    <w:next w:val="a"/>
    <w:link w:val="23"/>
    <w:uiPriority w:val="30"/>
    <w:qFormat/>
    <w:rsid w:val="0042479B"/>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HG教科書体"/>
      <w:i/>
      <w:iCs/>
      <w:color w:val="0F4761" w:themeColor="accent1" w:themeShade="BF"/>
      <w:kern w:val="2"/>
      <w:sz w:val="21"/>
      <w:lang w:val="en-GB" w:eastAsia="ja-JP"/>
    </w:rPr>
  </w:style>
  <w:style w:type="character" w:customStyle="1" w:styleId="23">
    <w:name w:val="引用文 2 (文字)"/>
    <w:basedOn w:val="a0"/>
    <w:link w:val="22"/>
    <w:uiPriority w:val="30"/>
    <w:rsid w:val="0042479B"/>
    <w:rPr>
      <w:i/>
      <w:iCs/>
      <w:color w:val="0F4761" w:themeColor="accent1" w:themeShade="BF"/>
      <w:lang w:val="en-GB"/>
    </w:rPr>
  </w:style>
  <w:style w:type="character" w:styleId="24">
    <w:name w:val="Intense Reference"/>
    <w:basedOn w:val="a0"/>
    <w:uiPriority w:val="32"/>
    <w:qFormat/>
    <w:rsid w:val="0042479B"/>
    <w:rPr>
      <w:b/>
      <w:bCs/>
      <w:smallCaps/>
      <w:color w:val="0F4761" w:themeColor="accent1" w:themeShade="BF"/>
      <w:spacing w:val="5"/>
    </w:rPr>
  </w:style>
  <w:style w:type="table" w:styleId="25">
    <w:name w:val="Plain Table 2"/>
    <w:basedOn w:val="a1"/>
    <w:uiPriority w:val="99"/>
    <w:rsid w:val="0042479B"/>
    <w:rPr>
      <w:rFonts w:asciiTheme="minorHAnsi" w:eastAsiaTheme="minorEastAsia" w:hAnsiTheme="minorHAnsi"/>
      <w:kern w:val="0"/>
      <w:sz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26">
    <w:name w:val="List Table 2"/>
    <w:basedOn w:val="a1"/>
    <w:uiPriority w:val="47"/>
    <w:rsid w:val="0042479B"/>
    <w:rPr>
      <w:rFonts w:asciiTheme="minorHAnsi" w:eastAsiaTheme="minorEastAsia" w:hAnsiTheme="minorHAnsi"/>
      <w:kern w:val="0"/>
      <w:sz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a">
    <w:name w:val="header"/>
    <w:basedOn w:val="a"/>
    <w:link w:val="ab"/>
    <w:uiPriority w:val="99"/>
    <w:unhideWhenUsed/>
    <w:rsid w:val="005F6390"/>
    <w:pPr>
      <w:tabs>
        <w:tab w:val="center" w:pos="4252"/>
        <w:tab w:val="right" w:pos="8504"/>
      </w:tabs>
      <w:snapToGrid w:val="0"/>
    </w:pPr>
  </w:style>
  <w:style w:type="character" w:customStyle="1" w:styleId="ab">
    <w:name w:val="ヘッダー (文字)"/>
    <w:basedOn w:val="a0"/>
    <w:link w:val="aa"/>
    <w:uiPriority w:val="99"/>
    <w:rsid w:val="005F6390"/>
    <w:rPr>
      <w:rFonts w:eastAsiaTheme="minorEastAsia"/>
      <w:kern w:val="0"/>
      <w:sz w:val="24"/>
      <w:lang w:eastAsia="en-US"/>
    </w:rPr>
  </w:style>
  <w:style w:type="paragraph" w:styleId="ac">
    <w:name w:val="footer"/>
    <w:basedOn w:val="a"/>
    <w:link w:val="ad"/>
    <w:uiPriority w:val="99"/>
    <w:unhideWhenUsed/>
    <w:rsid w:val="005F6390"/>
    <w:pPr>
      <w:tabs>
        <w:tab w:val="center" w:pos="4252"/>
        <w:tab w:val="right" w:pos="8504"/>
      </w:tabs>
      <w:snapToGrid w:val="0"/>
    </w:pPr>
  </w:style>
  <w:style w:type="character" w:customStyle="1" w:styleId="ad">
    <w:name w:val="フッター (文字)"/>
    <w:basedOn w:val="a0"/>
    <w:link w:val="ac"/>
    <w:uiPriority w:val="99"/>
    <w:rsid w:val="005F6390"/>
    <w:rPr>
      <w:rFonts w:eastAsiaTheme="minorEastAsia"/>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980</Words>
  <Characters>5589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秀崇 濵﨑</dc:creator>
  <cp:keywords/>
  <dc:description/>
  <cp:lastModifiedBy>秀崇 濵﨑</cp:lastModifiedBy>
  <cp:revision>33</cp:revision>
  <dcterms:created xsi:type="dcterms:W3CDTF">2026-07-05T01:25:00Z</dcterms:created>
  <dcterms:modified xsi:type="dcterms:W3CDTF">2026-07-07T05:33:00Z</dcterms:modified>
</cp:coreProperties>
</file>