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DB9C1">
      <w:pPr>
        <w:pStyle w:val="2"/>
        <w:rPr>
          <w:rFonts w:hint="default" w:ascii="Times New Roman" w:hAnsi="Times New Roman" w:eastAsia="宋体" w:cs="Times New Roman"/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Table 4. Causal Mediation Analysis Results</w:t>
      </w:r>
    </w:p>
    <w:p w14:paraId="492E4783">
      <w:pPr>
        <w:pStyle w:val="5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430682B">
      <w:pPr>
        <w:pStyle w:val="5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Panel A: Binary Cognitive Impairment as Mediator</w:t>
      </w:r>
    </w:p>
    <w:tbl>
      <w:tblPr>
        <w:tblStyle w:val="3"/>
        <w:tblW w:w="4885" w:type="pct"/>
        <w:tblInd w:w="0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42"/>
        <w:gridCol w:w="1480"/>
        <w:gridCol w:w="1426"/>
        <w:gridCol w:w="1423"/>
        <w:gridCol w:w="886"/>
        <w:gridCol w:w="878"/>
      </w:tblGrid>
      <w:tr w14:paraId="508D41C8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atLeast"/>
          <w:tblHeader/>
        </w:trPr>
        <w:tc>
          <w:tcPr>
            <w:tcW w:w="2043" w:type="dxa"/>
            <w:tcBorders>
              <w:bottom w:val="single" w:color="000000" w:themeColor="text1" w:sz="12" w:space="0"/>
            </w:tcBorders>
            <w:shd w:val="clear" w:color="auto" w:fill="auto"/>
          </w:tcPr>
          <w:p w14:paraId="5BB06A4C">
            <w:pPr>
              <w:spacing w:before="30" w:after="30"/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Effect</w:t>
            </w:r>
          </w:p>
        </w:tc>
        <w:tc>
          <w:tcPr>
            <w:tcW w:w="1480" w:type="dxa"/>
            <w:tcBorders>
              <w:bottom w:val="single" w:color="000000" w:themeColor="text1" w:sz="12" w:space="0"/>
            </w:tcBorders>
            <w:shd w:val="clear" w:color="auto" w:fill="auto"/>
          </w:tcPr>
          <w:p w14:paraId="2CD6F72A">
            <w:pPr>
              <w:spacing w:before="30" w:after="30"/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Estimate</w:t>
            </w:r>
          </w:p>
        </w:tc>
        <w:tc>
          <w:tcPr>
            <w:tcW w:w="1426" w:type="dxa"/>
            <w:tcBorders>
              <w:bottom w:val="single" w:color="000000" w:themeColor="text1" w:sz="12" w:space="0"/>
            </w:tcBorders>
            <w:shd w:val="clear" w:color="auto" w:fill="auto"/>
          </w:tcPr>
          <w:p w14:paraId="5D35584D">
            <w:pPr>
              <w:spacing w:before="30" w:after="30"/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95% CI Lower</w:t>
            </w:r>
          </w:p>
        </w:tc>
        <w:tc>
          <w:tcPr>
            <w:tcW w:w="1423" w:type="dxa"/>
            <w:tcBorders>
              <w:bottom w:val="single" w:color="000000" w:themeColor="text1" w:sz="12" w:space="0"/>
            </w:tcBorders>
            <w:shd w:val="clear" w:color="auto" w:fill="auto"/>
          </w:tcPr>
          <w:p w14:paraId="3A1803B0">
            <w:pPr>
              <w:spacing w:before="30" w:after="30"/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95% CI Upper</w:t>
            </w:r>
          </w:p>
        </w:tc>
        <w:tc>
          <w:tcPr>
            <w:tcW w:w="886" w:type="dxa"/>
            <w:tcBorders>
              <w:bottom w:val="single" w:color="000000" w:themeColor="text1" w:sz="12" w:space="0"/>
            </w:tcBorders>
            <w:shd w:val="clear" w:color="auto" w:fill="auto"/>
          </w:tcPr>
          <w:p w14:paraId="48D96C2E">
            <w:pPr>
              <w:spacing w:before="30" w:after="30"/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i/>
                <w:iCs/>
                <w:color w:val="auto"/>
                <w:sz w:val="20"/>
                <w:szCs w:val="20"/>
                <w:highlight w:val="none"/>
              </w:rPr>
              <w:t>P</w:t>
            </w: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-value</w:t>
            </w:r>
          </w:p>
        </w:tc>
        <w:tc>
          <w:tcPr>
            <w:tcW w:w="878" w:type="dxa"/>
            <w:tcBorders>
              <w:bottom w:val="single" w:color="000000" w:themeColor="text1" w:sz="12" w:space="0"/>
            </w:tcBorders>
            <w:shd w:val="clear" w:color="auto" w:fill="auto"/>
          </w:tcPr>
          <w:p w14:paraId="270840CC">
            <w:pPr>
              <w:spacing w:before="30" w:after="30"/>
              <w:jc w:val="center"/>
              <w:rPr>
                <w:rFonts w:hint="default" w:ascii="Calibri" w:hAnsi="Calibri" w:cs="Calibri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Prop.</w:t>
            </w:r>
          </w:p>
        </w:tc>
      </w:tr>
      <w:tr w14:paraId="6166B637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1" w:hRule="atLeast"/>
        </w:trPr>
        <w:tc>
          <w:tcPr>
            <w:tcW w:w="2043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4DE87BB2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ACME (Indirect)</w:t>
            </w:r>
          </w:p>
        </w:tc>
        <w:tc>
          <w:tcPr>
            <w:tcW w:w="1480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2D0B7E78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7.01</w:t>
            </w:r>
          </w:p>
        </w:tc>
        <w:tc>
          <w:tcPr>
            <w:tcW w:w="1426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6EBE2A77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4.41</w:t>
            </w:r>
          </w:p>
        </w:tc>
        <w:tc>
          <w:tcPr>
            <w:tcW w:w="1423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619AA01C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10.48</w:t>
            </w:r>
          </w:p>
        </w:tc>
        <w:tc>
          <w:tcPr>
            <w:tcW w:w="886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60B5132F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&lt;0.001</w:t>
            </w:r>
          </w:p>
        </w:tc>
        <w:tc>
          <w:tcPr>
            <w:tcW w:w="878" w:type="dxa"/>
            <w:tcBorders>
              <w:top w:val="single" w:color="000000" w:themeColor="text1" w:sz="12" w:space="0"/>
              <w:tl2br w:val="nil"/>
              <w:tr2bl w:val="nil"/>
            </w:tcBorders>
          </w:tcPr>
          <w:p w14:paraId="3485C421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18.78%</w:t>
            </w:r>
          </w:p>
        </w:tc>
      </w:tr>
      <w:tr w14:paraId="0F12DA9B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1" w:hRule="atLeast"/>
        </w:trPr>
        <w:tc>
          <w:tcPr>
            <w:tcW w:w="2043" w:type="dxa"/>
            <w:tcBorders>
              <w:tl2br w:val="nil"/>
              <w:tr2bl w:val="nil"/>
            </w:tcBorders>
          </w:tcPr>
          <w:p w14:paraId="38015C0E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ADE (Direct)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04F3B130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30.31</w:t>
            </w:r>
          </w:p>
        </w:tc>
        <w:tc>
          <w:tcPr>
            <w:tcW w:w="1426" w:type="dxa"/>
            <w:tcBorders>
              <w:tl2br w:val="nil"/>
              <w:tr2bl w:val="nil"/>
            </w:tcBorders>
          </w:tcPr>
          <w:p w14:paraId="465A0A8F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20.89</w:t>
            </w:r>
          </w:p>
        </w:tc>
        <w:tc>
          <w:tcPr>
            <w:tcW w:w="1423" w:type="dxa"/>
            <w:tcBorders>
              <w:tl2br w:val="nil"/>
              <w:tr2bl w:val="nil"/>
            </w:tcBorders>
          </w:tcPr>
          <w:p w14:paraId="6AB7E14A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39.88</w:t>
            </w:r>
          </w:p>
        </w:tc>
        <w:tc>
          <w:tcPr>
            <w:tcW w:w="886" w:type="dxa"/>
            <w:tcBorders>
              <w:tl2br w:val="nil"/>
              <w:tr2bl w:val="nil"/>
            </w:tcBorders>
          </w:tcPr>
          <w:p w14:paraId="6129587D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&lt;0.001</w:t>
            </w:r>
          </w:p>
        </w:tc>
        <w:tc>
          <w:tcPr>
            <w:tcW w:w="878" w:type="dxa"/>
            <w:tcBorders>
              <w:tl2br w:val="nil"/>
              <w:tr2bl w:val="nil"/>
            </w:tcBorders>
          </w:tcPr>
          <w:p w14:paraId="5FCEAD30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—</w:t>
            </w:r>
          </w:p>
        </w:tc>
      </w:tr>
      <w:tr w14:paraId="6DCA8D62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</w:trPr>
        <w:tc>
          <w:tcPr>
            <w:tcW w:w="2043" w:type="dxa"/>
            <w:tcBorders>
              <w:tl2br w:val="nil"/>
              <w:tr2bl w:val="nil"/>
            </w:tcBorders>
          </w:tcPr>
          <w:p w14:paraId="71F15184">
            <w:pPr>
              <w:spacing w:before="30" w:after="30"/>
              <w:jc w:val="center"/>
              <w:rPr>
                <w:rFonts w:hint="default" w:ascii="Calibri" w:hAnsi="Calibri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 Effect</w:t>
            </w:r>
          </w:p>
        </w:tc>
        <w:tc>
          <w:tcPr>
            <w:tcW w:w="1480" w:type="dxa"/>
            <w:tcBorders>
              <w:tl2br w:val="nil"/>
              <w:tr2bl w:val="nil"/>
            </w:tcBorders>
          </w:tcPr>
          <w:p w14:paraId="696A0E57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37.32</w:t>
            </w:r>
          </w:p>
        </w:tc>
        <w:tc>
          <w:tcPr>
            <w:tcW w:w="1426" w:type="dxa"/>
            <w:tcBorders>
              <w:tl2br w:val="nil"/>
              <w:tr2bl w:val="nil"/>
            </w:tcBorders>
          </w:tcPr>
          <w:p w14:paraId="43A519F9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27.92</w:t>
            </w:r>
          </w:p>
        </w:tc>
        <w:tc>
          <w:tcPr>
            <w:tcW w:w="1423" w:type="dxa"/>
            <w:tcBorders>
              <w:tl2br w:val="nil"/>
              <w:tr2bl w:val="nil"/>
            </w:tcBorders>
          </w:tcPr>
          <w:p w14:paraId="20772FFE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47.64</w:t>
            </w:r>
          </w:p>
        </w:tc>
        <w:tc>
          <w:tcPr>
            <w:tcW w:w="886" w:type="dxa"/>
            <w:tcBorders>
              <w:tl2br w:val="nil"/>
              <w:tr2bl w:val="nil"/>
            </w:tcBorders>
          </w:tcPr>
          <w:p w14:paraId="20122337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&lt;0.001</w:t>
            </w:r>
          </w:p>
        </w:tc>
        <w:tc>
          <w:tcPr>
            <w:tcW w:w="878" w:type="dxa"/>
            <w:tcBorders>
              <w:tl2br w:val="nil"/>
              <w:tr2bl w:val="nil"/>
            </w:tcBorders>
          </w:tcPr>
          <w:p w14:paraId="015DA893">
            <w:pPr>
              <w:spacing w:before="30" w:after="30"/>
              <w:jc w:val="center"/>
            </w:pPr>
            <w:r>
              <w:rPr>
                <w:rFonts w:ascii="Times New Roman" w:hAnsi="Times New Roman" w:eastAsia="宋体"/>
                <w:color w:val="566573"/>
                <w:sz w:val="20"/>
              </w:rPr>
              <w:t>100%</w:t>
            </w:r>
          </w:p>
        </w:tc>
      </w:tr>
    </w:tbl>
    <w:p w14:paraId="01FA267E">
      <w:pPr>
        <w:pStyle w:val="5"/>
        <w:rPr>
          <w:rFonts w:hint="default" w:ascii="Calibri" w:hAnsi="Calibri" w:cs="Calibri"/>
          <w:sz w:val="21"/>
          <w:szCs w:val="21"/>
        </w:rPr>
      </w:pPr>
    </w:p>
    <w:p w14:paraId="0FEE1516">
      <w:pPr>
        <w:pStyle w:val="5"/>
        <w:rPr>
          <w:rFonts w:hint="default" w:ascii="Calibri" w:hAnsi="Calibri" w:cs="Calibri"/>
          <w:sz w:val="21"/>
          <w:szCs w:val="21"/>
        </w:rPr>
      </w:pPr>
    </w:p>
    <w:p w14:paraId="49073BBC">
      <w:pPr>
        <w:pStyle w:val="5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Panel B: Domain-Specific Mediation (Continuous Scores)</w:t>
      </w:r>
    </w:p>
    <w:tbl>
      <w:tblPr>
        <w:tblStyle w:val="3"/>
        <w:tblW w:w="5030" w:type="pct"/>
        <w:tblInd w:w="0" w:type="dxa"/>
        <w:tblBorders>
          <w:top w:val="single" w:color="1A5276" w:sz="12" w:space="0"/>
          <w:left w:val="none" w:color="auto" w:sz="0" w:space="0"/>
          <w:bottom w:val="single" w:color="1A5276" w:sz="12" w:space="0"/>
          <w:right w:val="none" w:color="auto" w:sz="0" w:space="0"/>
          <w:insideH w:val="single" w:color="AED6F1" w:sz="4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27"/>
        <w:gridCol w:w="1479"/>
        <w:gridCol w:w="1479"/>
        <w:gridCol w:w="1479"/>
        <w:gridCol w:w="910"/>
        <w:gridCol w:w="902"/>
      </w:tblGrid>
      <w:tr w14:paraId="440342B5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  <w:tblHeader/>
        </w:trPr>
        <w:tc>
          <w:tcPr>
            <w:tcW w:w="2127" w:type="dxa"/>
            <w:tcBorders>
              <w:bottom w:val="single" w:color="1A5276" w:sz="12" w:space="0"/>
            </w:tcBorders>
            <w:shd w:val="clear" w:color="auto" w:fill="auto"/>
          </w:tcPr>
          <w:p w14:paraId="3C970718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Cognitive Domain</w:t>
            </w:r>
          </w:p>
        </w:tc>
        <w:tc>
          <w:tcPr>
            <w:tcW w:w="1479" w:type="dxa"/>
            <w:tcBorders>
              <w:bottom w:val="single" w:color="1A5276" w:sz="12" w:space="0"/>
            </w:tcBorders>
            <w:shd w:val="clear" w:color="auto" w:fill="auto"/>
          </w:tcPr>
          <w:p w14:paraId="6236F93E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ACME</w:t>
            </w:r>
          </w:p>
        </w:tc>
        <w:tc>
          <w:tcPr>
            <w:tcW w:w="1479" w:type="dxa"/>
            <w:tcBorders>
              <w:bottom w:val="single" w:color="1A5276" w:sz="12" w:space="0"/>
            </w:tcBorders>
            <w:shd w:val="clear" w:color="auto" w:fill="auto"/>
          </w:tcPr>
          <w:p w14:paraId="08D0FB52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95% CI</w:t>
            </w:r>
          </w:p>
        </w:tc>
        <w:tc>
          <w:tcPr>
            <w:tcW w:w="1479" w:type="dxa"/>
            <w:tcBorders>
              <w:bottom w:val="single" w:color="1A5276" w:sz="12" w:space="0"/>
            </w:tcBorders>
            <w:shd w:val="clear" w:color="auto" w:fill="auto"/>
          </w:tcPr>
          <w:p w14:paraId="04C8368D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95% CI</w:t>
            </w:r>
          </w:p>
        </w:tc>
        <w:tc>
          <w:tcPr>
            <w:tcW w:w="910" w:type="dxa"/>
            <w:tcBorders>
              <w:bottom w:val="single" w:color="1A5276" w:sz="12" w:space="0"/>
            </w:tcBorders>
            <w:shd w:val="clear" w:color="auto" w:fill="auto"/>
          </w:tcPr>
          <w:p w14:paraId="107175EC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i/>
                <w:iCs/>
                <w:color w:val="auto"/>
                <w:sz w:val="20"/>
                <w:szCs w:val="20"/>
                <w:highlight w:val="none"/>
              </w:rPr>
              <w:t>P</w:t>
            </w: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-value</w:t>
            </w:r>
          </w:p>
        </w:tc>
        <w:tc>
          <w:tcPr>
            <w:tcW w:w="902" w:type="dxa"/>
            <w:tcBorders>
              <w:bottom w:val="single" w:color="1A5276" w:sz="12" w:space="0"/>
            </w:tcBorders>
            <w:shd w:val="clear" w:color="auto" w:fill="auto"/>
          </w:tcPr>
          <w:p w14:paraId="37B6A59D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Prop.</w:t>
            </w:r>
          </w:p>
        </w:tc>
      </w:tr>
      <w:tr w14:paraId="159F2C0E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0" w:hRule="atLeast"/>
        </w:trPr>
        <w:tc>
          <w:tcPr>
            <w:tcW w:w="2127" w:type="dxa"/>
            <w:tcBorders>
              <w:top w:val="single" w:color="1A5276" w:sz="12" w:space="0"/>
            </w:tcBorders>
          </w:tcPr>
          <w:p w14:paraId="567C7C23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Processing Speed (DSST)</w:t>
            </w:r>
          </w:p>
        </w:tc>
        <w:tc>
          <w:tcPr>
            <w:tcW w:w="1479" w:type="dxa"/>
            <w:tcBorders>
              <w:top w:val="single" w:color="1A5276" w:sz="12" w:space="0"/>
            </w:tcBorders>
          </w:tcPr>
          <w:p w14:paraId="799FD1BD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-0.0166</w:t>
            </w:r>
          </w:p>
        </w:tc>
        <w:tc>
          <w:tcPr>
            <w:tcW w:w="1479" w:type="dxa"/>
            <w:tcBorders>
              <w:top w:val="single" w:color="1A5276" w:sz="12" w:space="0"/>
            </w:tcBorders>
          </w:tcPr>
          <w:p w14:paraId="7B95AD86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-0.0215</w:t>
            </w:r>
          </w:p>
        </w:tc>
        <w:tc>
          <w:tcPr>
            <w:tcW w:w="1479" w:type="dxa"/>
            <w:tcBorders>
              <w:top w:val="single" w:color="1A5276" w:sz="12" w:space="0"/>
            </w:tcBorders>
          </w:tcPr>
          <w:p w14:paraId="78C036CA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-0.0118</w:t>
            </w:r>
          </w:p>
        </w:tc>
        <w:tc>
          <w:tcPr>
            <w:tcW w:w="910" w:type="dxa"/>
            <w:tcBorders>
              <w:top w:val="single" w:color="1A5276" w:sz="12" w:space="0"/>
            </w:tcBorders>
          </w:tcPr>
          <w:p w14:paraId="770D2B24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902" w:type="dxa"/>
            <w:tcBorders>
              <w:top w:val="single" w:color="1A5276" w:sz="12" w:space="0"/>
            </w:tcBorders>
          </w:tcPr>
          <w:p w14:paraId="2BC47281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25.74%</w:t>
            </w:r>
          </w:p>
        </w:tc>
      </w:tr>
      <w:tr w14:paraId="7736FB78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0" w:hRule="atLeast"/>
        </w:trPr>
        <w:tc>
          <w:tcPr>
            <w:tcW w:w="2127" w:type="dxa"/>
          </w:tcPr>
          <w:p w14:paraId="73431370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Global Cognition (Z-score)</w:t>
            </w:r>
          </w:p>
        </w:tc>
        <w:tc>
          <w:tcPr>
            <w:tcW w:w="1479" w:type="dxa"/>
          </w:tcPr>
          <w:p w14:paraId="0133DD3C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-0.0114</w:t>
            </w:r>
          </w:p>
        </w:tc>
        <w:tc>
          <w:tcPr>
            <w:tcW w:w="1479" w:type="dxa"/>
          </w:tcPr>
          <w:p w14:paraId="17D785D1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-0.0159</w:t>
            </w:r>
          </w:p>
        </w:tc>
        <w:tc>
          <w:tcPr>
            <w:tcW w:w="1479" w:type="dxa"/>
          </w:tcPr>
          <w:p w14:paraId="159414CC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-0.0073</w:t>
            </w:r>
          </w:p>
        </w:tc>
        <w:tc>
          <w:tcPr>
            <w:tcW w:w="910" w:type="dxa"/>
          </w:tcPr>
          <w:p w14:paraId="021BB8B7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902" w:type="dxa"/>
          </w:tcPr>
          <w:p w14:paraId="5E565973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17.43%</w:t>
            </w:r>
          </w:p>
        </w:tc>
      </w:tr>
      <w:tr w14:paraId="1675CBEE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0" w:hRule="atLeast"/>
        </w:trPr>
        <w:tc>
          <w:tcPr>
            <w:tcW w:w="2127" w:type="dxa"/>
          </w:tcPr>
          <w:p w14:paraId="594F333D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Executive Function (AFT)</w:t>
            </w:r>
          </w:p>
        </w:tc>
        <w:tc>
          <w:tcPr>
            <w:tcW w:w="1479" w:type="dxa"/>
          </w:tcPr>
          <w:p w14:paraId="6B296FA1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-0.0038</w:t>
            </w:r>
          </w:p>
        </w:tc>
        <w:tc>
          <w:tcPr>
            <w:tcW w:w="1479" w:type="dxa"/>
          </w:tcPr>
          <w:p w14:paraId="39A99B0D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-0.0079</w:t>
            </w:r>
          </w:p>
        </w:tc>
        <w:tc>
          <w:tcPr>
            <w:tcW w:w="1479" w:type="dxa"/>
          </w:tcPr>
          <w:p w14:paraId="1DE55FD9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-0.0001</w:t>
            </w:r>
          </w:p>
        </w:tc>
        <w:tc>
          <w:tcPr>
            <w:tcW w:w="910" w:type="dxa"/>
          </w:tcPr>
          <w:p w14:paraId="25FC5D39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0.036</w:t>
            </w:r>
          </w:p>
        </w:tc>
        <w:tc>
          <w:tcPr>
            <w:tcW w:w="902" w:type="dxa"/>
          </w:tcPr>
          <w:p w14:paraId="15849370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5.84%</w:t>
            </w:r>
          </w:p>
        </w:tc>
      </w:tr>
      <w:tr w14:paraId="16B19E8D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2" w:hRule="atLeast"/>
        </w:trPr>
        <w:tc>
          <w:tcPr>
            <w:tcW w:w="2127" w:type="dxa"/>
          </w:tcPr>
          <w:p w14:paraId="528D73E7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Episodic Memory (CERAD)</w:t>
            </w:r>
          </w:p>
        </w:tc>
        <w:tc>
          <w:tcPr>
            <w:tcW w:w="1479" w:type="dxa"/>
          </w:tcPr>
          <w:p w14:paraId="3C0A26FD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-0.0003</w:t>
            </w:r>
          </w:p>
        </w:tc>
        <w:tc>
          <w:tcPr>
            <w:tcW w:w="1479" w:type="dxa"/>
          </w:tcPr>
          <w:p w14:paraId="601BCA7C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-0.0045</w:t>
            </w:r>
          </w:p>
        </w:tc>
        <w:tc>
          <w:tcPr>
            <w:tcW w:w="1479" w:type="dxa"/>
          </w:tcPr>
          <w:p w14:paraId="39DF6D48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0.0031</w:t>
            </w:r>
          </w:p>
        </w:tc>
        <w:tc>
          <w:tcPr>
            <w:tcW w:w="910" w:type="dxa"/>
          </w:tcPr>
          <w:p w14:paraId="391B64B7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0.844</w:t>
            </w:r>
          </w:p>
        </w:tc>
        <w:tc>
          <w:tcPr>
            <w:tcW w:w="902" w:type="dxa"/>
          </w:tcPr>
          <w:p w14:paraId="5C867641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0.46%</w:t>
            </w:r>
          </w:p>
        </w:tc>
      </w:tr>
    </w:tbl>
    <w:p w14:paraId="6C683AFC">
      <w:pPr>
        <w:pStyle w:val="5"/>
        <w:rPr>
          <w:rFonts w:hint="default" w:ascii="Calibri" w:hAnsi="Calibri" w:cs="Calibri"/>
          <w:sz w:val="21"/>
          <w:szCs w:val="21"/>
        </w:rPr>
      </w:pPr>
    </w:p>
    <w:p w14:paraId="0D74F58A">
      <w:pPr>
        <w:pStyle w:val="5"/>
        <w:rPr>
          <w:rFonts w:hint="default" w:ascii="Calibri" w:hAnsi="Calibri" w:cs="Calibri"/>
          <w:sz w:val="21"/>
          <w:szCs w:val="21"/>
        </w:rPr>
      </w:pPr>
    </w:p>
    <w:p w14:paraId="1C015610">
      <w:pPr>
        <w:pStyle w:val="5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Panel C: Continuous Cognitive Z-Score (Robustness Check)</w:t>
      </w:r>
    </w:p>
    <w:tbl>
      <w:tblPr>
        <w:tblStyle w:val="3"/>
        <w:tblW w:w="5000" w:type="pct"/>
        <w:tblInd w:w="0" w:type="dxa"/>
        <w:tblBorders>
          <w:top w:val="single" w:color="1A5276" w:sz="12" w:space="0"/>
          <w:left w:val="none" w:color="auto" w:sz="0" w:space="0"/>
          <w:bottom w:val="single" w:color="1A5276" w:sz="12" w:space="0"/>
          <w:right w:val="none" w:color="auto" w:sz="0" w:space="0"/>
          <w:insideH w:val="single" w:color="AED6F1" w:sz="4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98"/>
        <w:gridCol w:w="1509"/>
        <w:gridCol w:w="1462"/>
        <w:gridCol w:w="1462"/>
        <w:gridCol w:w="900"/>
        <w:gridCol w:w="895"/>
      </w:tblGrid>
      <w:tr w14:paraId="470C63C8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600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61BA0723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Effect</w:t>
            </w:r>
          </w:p>
        </w:tc>
        <w:tc>
          <w:tcPr>
            <w:tcW w:w="1800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48CAC531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Estimate</w:t>
            </w:r>
          </w:p>
        </w:tc>
        <w:tc>
          <w:tcPr>
            <w:tcW w:w="1800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67029718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95% CI Lower</w:t>
            </w:r>
          </w:p>
        </w:tc>
        <w:tc>
          <w:tcPr>
            <w:tcW w:w="1800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53DA86C6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95% CI Upper</w:t>
            </w:r>
          </w:p>
        </w:tc>
        <w:tc>
          <w:tcPr>
            <w:tcW w:w="1000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66AD6DDC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i/>
                <w:iCs/>
                <w:color w:val="auto"/>
                <w:sz w:val="20"/>
                <w:szCs w:val="20"/>
                <w:highlight w:val="none"/>
              </w:rPr>
              <w:t>P-</w:t>
            </w: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value</w:t>
            </w:r>
          </w:p>
        </w:tc>
        <w:tc>
          <w:tcPr>
            <w:tcW w:w="1000" w:type="dxa"/>
            <w:tcBorders>
              <w:bottom w:val="single" w:color="000000" w:themeColor="text1" w:sz="12" w:space="0"/>
            </w:tcBorders>
            <w:shd w:val="clear" w:color="auto" w:fill="FFFFFF" w:themeFill="background1"/>
          </w:tcPr>
          <w:p w14:paraId="0F07B83B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Prop.</w:t>
            </w:r>
          </w:p>
        </w:tc>
      </w:tr>
      <w:tr w14:paraId="68751A66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tcBorders>
              <w:top w:val="single" w:color="000000" w:themeColor="text1" w:sz="12" w:space="0"/>
            </w:tcBorders>
          </w:tcPr>
          <w:p w14:paraId="3BDC19DD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ACME (Indirect)</w:t>
            </w:r>
          </w:p>
        </w:tc>
        <w:tc>
          <w:tcPr>
            <w:tcW w:w="1800" w:type="dxa"/>
            <w:tcBorders>
              <w:top w:val="single" w:color="000000" w:themeColor="text1" w:sz="12" w:space="0"/>
            </w:tcBorders>
          </w:tcPr>
          <w:p w14:paraId="22FE8527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46.33</w:t>
            </w:r>
          </w:p>
        </w:tc>
        <w:tc>
          <w:tcPr>
            <w:tcW w:w="1800" w:type="dxa"/>
            <w:tcBorders>
              <w:top w:val="single" w:color="000000" w:themeColor="text1" w:sz="12" w:space="0"/>
            </w:tcBorders>
          </w:tcPr>
          <w:p w14:paraId="6FF7F9CB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31.55</w:t>
            </w:r>
          </w:p>
        </w:tc>
        <w:tc>
          <w:tcPr>
            <w:tcW w:w="1800" w:type="dxa"/>
            <w:tcBorders>
              <w:top w:val="single" w:color="000000" w:themeColor="text1" w:sz="12" w:space="0"/>
            </w:tcBorders>
          </w:tcPr>
          <w:p w14:paraId="508E5022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63.10</w:t>
            </w:r>
          </w:p>
        </w:tc>
        <w:tc>
          <w:tcPr>
            <w:tcW w:w="1000" w:type="dxa"/>
            <w:tcBorders>
              <w:top w:val="single" w:color="000000" w:themeColor="text1" w:sz="12" w:space="0"/>
            </w:tcBorders>
          </w:tcPr>
          <w:p w14:paraId="1C3CF060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000" w:type="dxa"/>
            <w:tcBorders>
              <w:top w:val="single" w:color="000000" w:themeColor="text1" w:sz="12" w:space="0"/>
            </w:tcBorders>
          </w:tcPr>
          <w:p w14:paraId="44DCD4AF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21.25%</w:t>
            </w:r>
          </w:p>
        </w:tc>
      </w:tr>
      <w:tr w14:paraId="21826B7E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</w:tcPr>
          <w:p w14:paraId="2F960439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ADE (Direct)</w:t>
            </w:r>
          </w:p>
        </w:tc>
        <w:tc>
          <w:tcPr>
            <w:tcW w:w="1800" w:type="dxa"/>
          </w:tcPr>
          <w:p w14:paraId="4A509821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171.73</w:t>
            </w:r>
          </w:p>
        </w:tc>
        <w:tc>
          <w:tcPr>
            <w:tcW w:w="1800" w:type="dxa"/>
          </w:tcPr>
          <w:p w14:paraId="3BCB7F9C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138.64</w:t>
            </w:r>
          </w:p>
        </w:tc>
        <w:tc>
          <w:tcPr>
            <w:tcW w:w="1800" w:type="dxa"/>
          </w:tcPr>
          <w:p w14:paraId="67A2BB5C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209.12</w:t>
            </w:r>
          </w:p>
        </w:tc>
        <w:tc>
          <w:tcPr>
            <w:tcW w:w="1000" w:type="dxa"/>
          </w:tcPr>
          <w:p w14:paraId="0DA9EEA5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000" w:type="dxa"/>
          </w:tcPr>
          <w:p w14:paraId="1FD20CEF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—</w:t>
            </w:r>
          </w:p>
        </w:tc>
      </w:tr>
      <w:tr w14:paraId="3437F3EB">
        <w:tblPrEx>
          <w:tblBorders>
            <w:top w:val="single" w:color="1A5276" w:sz="12" w:space="0"/>
            <w:left w:val="none" w:color="auto" w:sz="0" w:space="0"/>
            <w:bottom w:val="single" w:color="1A5276" w:sz="12" w:space="0"/>
            <w:right w:val="none" w:color="auto" w:sz="0" w:space="0"/>
            <w:insideH w:val="single" w:color="AED6F1" w:sz="4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</w:tcPr>
          <w:p w14:paraId="131FD6ED">
            <w:pPr>
              <w:spacing w:before="30" w:after="30"/>
              <w:jc w:val="center"/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/>
                <w:color w:val="auto"/>
                <w:sz w:val="20"/>
                <w:szCs w:val="20"/>
                <w:highlight w:val="none"/>
              </w:rPr>
              <w:t>Total Effect</w:t>
            </w:r>
          </w:p>
        </w:tc>
        <w:tc>
          <w:tcPr>
            <w:tcW w:w="1800" w:type="dxa"/>
          </w:tcPr>
          <w:p w14:paraId="50CCE8DC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218.06</w:t>
            </w:r>
          </w:p>
        </w:tc>
        <w:tc>
          <w:tcPr>
            <w:tcW w:w="1800" w:type="dxa"/>
          </w:tcPr>
          <w:p w14:paraId="7C889325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179.70</w:t>
            </w:r>
          </w:p>
        </w:tc>
        <w:tc>
          <w:tcPr>
            <w:tcW w:w="1800" w:type="dxa"/>
          </w:tcPr>
          <w:p w14:paraId="643312E6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262.34</w:t>
            </w:r>
          </w:p>
        </w:tc>
        <w:tc>
          <w:tcPr>
            <w:tcW w:w="1000" w:type="dxa"/>
          </w:tcPr>
          <w:p w14:paraId="7C67917A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&lt;0.001</w:t>
            </w:r>
          </w:p>
        </w:tc>
        <w:tc>
          <w:tcPr>
            <w:tcW w:w="1000" w:type="dxa"/>
          </w:tcPr>
          <w:p w14:paraId="7C050A8C">
            <w:pPr>
              <w:spacing w:before="30" w:after="30"/>
              <w:jc w:val="center"/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宋体" w:cs="Calibri"/>
                <w:b w:val="0"/>
                <w:bCs/>
                <w:color w:val="auto"/>
                <w:sz w:val="20"/>
                <w:szCs w:val="20"/>
                <w:highlight w:val="none"/>
              </w:rPr>
              <w:t>100%</w:t>
            </w:r>
          </w:p>
        </w:tc>
      </w:tr>
    </w:tbl>
    <w:p w14:paraId="18E0522F">
      <w:pPr>
        <w:rPr>
          <w:rFonts w:hint="default" w:ascii="Calibri" w:hAnsi="Calibri" w:cs="Calibri"/>
          <w:i/>
          <w:iCs/>
        </w:rPr>
      </w:pPr>
    </w:p>
    <w:p w14:paraId="65B45D33">
      <w:pPr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cs="Times New Roman"/>
          <w:i/>
          <w:iCs/>
        </w:rPr>
        <w:t xml:space="preserve">Abbreviations: ACME = average causal mediation effect; ADE = average direct effect; CI = confidence interval. Counterfactual framework with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1</w:t>
      </w:r>
      <w:r>
        <w:rPr>
          <w:rFonts w:hint="default" w:ascii="Times New Roman" w:hAnsi="Times New Roman" w:cs="Times New Roman"/>
          <w:i/>
          <w:iCs/>
        </w:rPr>
        <w:t>,000 bootstrap resamples. E-value for total effect = 3.42.</w:t>
      </w:r>
    </w:p>
    <w:p w14:paraId="07D22519">
      <w:pPr>
        <w:rPr>
          <w:rFonts w:hint="default" w:ascii="Times New Roman" w:hAnsi="Times New Roman" w:cs="Times New Roman"/>
          <w:i/>
          <w:i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753C918-EF3C-4386-A506-56ECAB8E9290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11C4A"/>
    <w:rsid w:val="3C8D2E46"/>
    <w:rsid w:val="58F24A5D"/>
    <w:rsid w:val="7E13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60"/>
      <w:jc w:val="both"/>
    </w:pPr>
    <w:rPr>
      <w:rFonts w:ascii="Times New Roman" w:hAnsi="Times New Roman" w:eastAsia="宋体" w:cstheme="minorBidi"/>
      <w:color w:val="1C2833"/>
      <w:sz w:val="24"/>
      <w:szCs w:val="22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h2"/>
    <w:basedOn w:val="1"/>
    <w:qFormat/>
    <w:uiPriority w:val="0"/>
    <w:pPr>
      <w:spacing w:after="240"/>
      <w:jc w:val="left"/>
      <w:outlineLvl w:val="1"/>
    </w:pPr>
    <w:rPr>
      <w:rFonts w:ascii="Times New Roman" w:hAnsi="Times New Roman" w:eastAsia="宋体"/>
      <w:b/>
      <w:color w:val="2874A6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922</Characters>
  <Lines>0</Lines>
  <Paragraphs>0</Paragraphs>
  <TotalTime>0</TotalTime>
  <ScaleCrop>false</ScaleCrop>
  <LinksUpToDate>false</LinksUpToDate>
  <CharactersWithSpaces>996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2026-05-13T01:56:00Z</dcterms:created>
  <dc:creator>huawei</dc:creator>
  <cp:lastModifiedBy>sunshine</cp:lastModifiedBy>
  <dcterms:modified xsi:type="dcterms:W3CDTF">2026-05-23T08:46:28Z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eyJoZGlkIjoiMzEwNTM5NzYwMDRjMzkwZTVkZjY2ODkwMGIxNGU0OTUiLCJ1c2VySWQiOiI0NTU3NTYyODMifQ==</vt:lpwstr>
  </property>
  <property fmtid="{D5CDD505-2E9C-101B-9397-08002B2CF9AE}" pid="4" name="ICV">
    <vt:lpwstr>F121DA779437456981F58DAB3D70E81B_12</vt:lpwstr>
  </property>
</Properties>
</file>