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E208A">
      <w:pPr>
        <w:pStyle w:val="4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Table 5. Competing Risk and Sensitivity Analyses</w:t>
      </w:r>
    </w:p>
    <w:tbl>
      <w:tblPr>
        <w:tblStyle w:val="2"/>
        <w:tblW w:w="5000" w:type="pct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81"/>
        <w:gridCol w:w="1703"/>
        <w:gridCol w:w="1708"/>
        <w:gridCol w:w="1934"/>
      </w:tblGrid>
      <w:tr w14:paraId="601C915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981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0DB242F1">
            <w:pPr>
              <w:spacing w:before="30" w:after="3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Analysis</w:t>
            </w:r>
          </w:p>
        </w:tc>
        <w:tc>
          <w:tcPr>
            <w:tcW w:w="1703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74D19E4B">
            <w:pPr>
              <w:spacing w:before="30" w:after="3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Statistic</w:t>
            </w:r>
          </w:p>
        </w:tc>
        <w:tc>
          <w:tcPr>
            <w:tcW w:w="1708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618957C5">
            <w:pPr>
              <w:spacing w:before="30" w:after="3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934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5455016A">
            <w:pPr>
              <w:spacing w:before="30" w:after="3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</w:tr>
      <w:tr w14:paraId="50C6357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221CF3B5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Fine-Gray compet</w:t>
            </w:r>
            <w:bookmarkStart w:id="0" w:name="_GoBack"/>
            <w:bookmarkEnd w:id="0"/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ing risk (Gray's test)</w:t>
            </w:r>
          </w:p>
        </w:tc>
        <w:tc>
          <w:tcPr>
            <w:tcW w:w="1703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135C53FA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Chi-square (df=3)</w:t>
            </w:r>
          </w:p>
        </w:tc>
        <w:tc>
          <w:tcPr>
            <w:tcW w:w="1708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39CBDF66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83.78</w:t>
            </w:r>
          </w:p>
        </w:tc>
        <w:tc>
          <w:tcPr>
            <w:tcW w:w="1934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4DCBDBC8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46B458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l2br w:val="nil"/>
              <w:tr2bl w:val="nil"/>
            </w:tcBorders>
          </w:tcPr>
          <w:p w14:paraId="66A028A5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Excluding deaths &lt; 2 years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7F2C58D7">
            <w:pPr>
              <w:spacing w:before="30" w:after="30"/>
              <w:ind w:firstLine="200" w:firstLineChars="100"/>
              <w:jc w:val="both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Q4 vs Q1</w:t>
            </w:r>
          </w:p>
        </w:tc>
        <w:tc>
          <w:tcPr>
            <w:tcW w:w="1708" w:type="dxa"/>
            <w:tcBorders>
              <w:tl2br w:val="nil"/>
              <w:tr2bl w:val="nil"/>
            </w:tcBorders>
          </w:tcPr>
          <w:p w14:paraId="50A96A4E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0.49 (0.37-0.65)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5CCD2A4F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74F9465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l2br w:val="nil"/>
              <w:tr2bl w:val="nil"/>
            </w:tcBorders>
          </w:tcPr>
          <w:p w14:paraId="63473A5B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Excluding deaths &lt; 5 years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476C48E4">
            <w:pPr>
              <w:spacing w:before="30" w:after="30"/>
              <w:ind w:firstLine="200" w:firstLineChars="100"/>
              <w:jc w:val="both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Q4 vs Q1</w:t>
            </w:r>
          </w:p>
        </w:tc>
        <w:tc>
          <w:tcPr>
            <w:tcW w:w="1708" w:type="dxa"/>
            <w:tcBorders>
              <w:tl2br w:val="nil"/>
              <w:tr2bl w:val="nil"/>
            </w:tcBorders>
          </w:tcPr>
          <w:p w14:paraId="2ECAE9E7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0.51 (0.38-0.68)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07A0D782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1110DDC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l2br w:val="nil"/>
              <w:tr2bl w:val="nil"/>
            </w:tcBorders>
          </w:tcPr>
          <w:p w14:paraId="4152FB10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IPTW-weighted analysis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410EE6DD">
            <w:pPr>
              <w:spacing w:before="30" w:after="30"/>
              <w:ind w:firstLine="200" w:firstLineChars="100"/>
              <w:jc w:val="both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Q4 vs Q1</w:t>
            </w:r>
          </w:p>
        </w:tc>
        <w:tc>
          <w:tcPr>
            <w:tcW w:w="1708" w:type="dxa"/>
            <w:tcBorders>
              <w:tl2br w:val="nil"/>
              <w:tr2bl w:val="nil"/>
            </w:tcBorders>
          </w:tcPr>
          <w:p w14:paraId="2094905D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0.46 (0.35-0.61)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3981FD9E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6DF2F55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l2br w:val="nil"/>
              <w:tr2bl w:val="nil"/>
            </w:tcBorders>
          </w:tcPr>
          <w:p w14:paraId="2C0884E4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E-value (total effect)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4F1E2CBD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Point estimate</w:t>
            </w:r>
          </w:p>
        </w:tc>
        <w:tc>
          <w:tcPr>
            <w:tcW w:w="1708" w:type="dxa"/>
            <w:tcBorders>
              <w:tl2br w:val="nil"/>
              <w:tr2bl w:val="nil"/>
            </w:tcBorders>
          </w:tcPr>
          <w:p w14:paraId="59601A63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3.42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3274D8D5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 w14:paraId="27A1CEF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981" w:type="dxa"/>
            <w:tcBorders>
              <w:tl2br w:val="nil"/>
              <w:tr2bl w:val="nil"/>
            </w:tcBorders>
          </w:tcPr>
          <w:p w14:paraId="619F3566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E-value (CI lower limit)</w:t>
            </w:r>
          </w:p>
        </w:tc>
        <w:tc>
          <w:tcPr>
            <w:tcW w:w="1703" w:type="dxa"/>
            <w:tcBorders>
              <w:tl2br w:val="nil"/>
              <w:tr2bl w:val="nil"/>
            </w:tcBorders>
          </w:tcPr>
          <w:p w14:paraId="660DE032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Lower CI bound</w:t>
            </w:r>
          </w:p>
        </w:tc>
        <w:tc>
          <w:tcPr>
            <w:tcW w:w="1708" w:type="dxa"/>
            <w:tcBorders>
              <w:tl2br w:val="nil"/>
              <w:tr2bl w:val="nil"/>
            </w:tcBorders>
          </w:tcPr>
          <w:p w14:paraId="7875325C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2.76</w:t>
            </w:r>
          </w:p>
        </w:tc>
        <w:tc>
          <w:tcPr>
            <w:tcW w:w="1934" w:type="dxa"/>
            <w:tcBorders>
              <w:tl2br w:val="nil"/>
              <w:tr2bl w:val="nil"/>
            </w:tcBorders>
          </w:tcPr>
          <w:p w14:paraId="5BFF5504">
            <w:pPr>
              <w:spacing w:before="30" w:after="30"/>
              <w:jc w:val="center"/>
              <w:rPr>
                <w:rFonts w:hint="default" w:ascii="Calibri" w:hAnsi="Calibri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</w:tbl>
    <w:p w14:paraId="3E88B58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Abbreviations: HR = hazard ratio; CI = confidence interval; IPTW = inverse probability of treatment weighting. Fine-Gray model with non-dementia death as competing event. E-value represents the minimum strength of association (risk ratio scale) that an unmeasured confounder would need with both exposure and outcome to fully explain the observed association.</w:t>
      </w:r>
    </w:p>
    <w:p w14:paraId="57413ED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4B9CD6A-E2B2-4F63-90F6-F2315012C4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0D1AE9"/>
    <w:rsid w:val="75BB212F"/>
    <w:rsid w:val="7DE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/>
      <w:jc w:val="both"/>
    </w:pPr>
    <w:rPr>
      <w:rFonts w:ascii="Times New Roman" w:hAnsi="Times New Roman" w:eastAsia="宋体" w:cstheme="minorBidi"/>
      <w:color w:val="1C2833"/>
      <w:sz w:val="24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1"/>
    <w:basedOn w:val="1"/>
    <w:uiPriority w:val="0"/>
    <w:pPr>
      <w:spacing w:after="360"/>
      <w:jc w:val="left"/>
      <w:outlineLvl w:val="0"/>
    </w:pPr>
    <w:rPr>
      <w:rFonts w:ascii="Times New Roman" w:hAnsi="Times New Roman" w:eastAsia="宋体"/>
      <w:b/>
      <w:color w:val="1A5276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663</Characters>
  <Lines>0</Lines>
  <Paragraphs>0</Paragraphs>
  <TotalTime>2</TotalTime>
  <ScaleCrop>false</ScaleCrop>
  <LinksUpToDate>false</LinksUpToDate>
  <CharactersWithSpaces>750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2026-05-13T02:09:00Z</dcterms:created>
  <dc:creator>huawei</dc:creator>
  <cp:lastModifiedBy>sunshine</cp:lastModifiedBy>
  <dcterms:modified xsi:type="dcterms:W3CDTF">2026-05-23T08:48:20Z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eyJoZGlkIjoiMzEwNTM5NzYwMDRjMzkwZTVkZjY2ODkwMGIxNGU0OTUiLCJ1c2VySWQiOiI0NTU3NTYyODMifQ==</vt:lpwstr>
  </property>
  <property fmtid="{D5CDD505-2E9C-101B-9397-08002B2CF9AE}" pid="4" name="ICV">
    <vt:lpwstr>0EC4947917264CE2A9521691875EDEF9_12</vt:lpwstr>
  </property>
</Properties>
</file>