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86273"/>
    <w:p w14:paraId="26C85580">
      <w:pPr>
        <w:pStyle w:val="2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Table 3. Association Between HRR and All-Cause Mortality: Cox Proportional Hazards Models</w:t>
      </w:r>
    </w:p>
    <w:tbl>
      <w:tblPr>
        <w:tblStyle w:val="3"/>
        <w:tblpPr w:leftFromText="180" w:rightFromText="180" w:vertAnchor="page" w:horzAnchor="page" w:tblpX="1472" w:tblpY="3010"/>
        <w:tblOverlap w:val="never"/>
        <w:tblW w:w="4789" w:type="pct"/>
        <w:tblInd w:w="0" w:type="dxa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499"/>
        <w:gridCol w:w="1499"/>
        <w:gridCol w:w="1499"/>
        <w:gridCol w:w="1505"/>
        <w:gridCol w:w="1499"/>
        <w:gridCol w:w="1499"/>
        <w:gridCol w:w="1499"/>
        <w:gridCol w:w="1507"/>
      </w:tblGrid>
      <w:tr w14:paraId="78175BDD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78" w:type="pct"/>
            <w:vMerge w:val="restart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6197D9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Varlable</w:t>
            </w:r>
          </w:p>
        </w:tc>
        <w:tc>
          <w:tcPr>
            <w:tcW w:w="2210" w:type="pct"/>
            <w:gridSpan w:val="4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621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Hazard Ratios (95% CI) for All-Cause Mortality by HRR Quartiles</w:t>
            </w:r>
          </w:p>
        </w:tc>
        <w:tc>
          <w:tcPr>
            <w:tcW w:w="2211" w:type="pct"/>
            <w:gridSpan w:val="4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86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Ratios (95% CI) for Alzheimers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diseases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 by HRR Quartiles</w:t>
            </w:r>
          </w:p>
        </w:tc>
      </w:tr>
      <w:tr w14:paraId="6F1F534A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78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9E4506">
            <w:pPr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75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  <w:p w14:paraId="7DDF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7C7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</w:t>
            </w:r>
          </w:p>
          <w:p w14:paraId="13EA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C2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</w:t>
            </w:r>
          </w:p>
          <w:p w14:paraId="390C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55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24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</w:t>
            </w:r>
          </w:p>
          <w:p w14:paraId="4D1B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878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  <w:p w14:paraId="3420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149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D1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</w:t>
            </w:r>
          </w:p>
          <w:p w14:paraId="2813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149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E5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</w:t>
            </w:r>
          </w:p>
          <w:p w14:paraId="6399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  <w:tc>
          <w:tcPr>
            <w:tcW w:w="150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E2B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Model</w:t>
            </w: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</w:t>
            </w:r>
          </w:p>
          <w:p w14:paraId="7DA7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/>
                <w:b/>
                <w:sz w:val="18"/>
              </w:rPr>
              <w:t>HR (95% CI)</w:t>
            </w:r>
          </w:p>
        </w:tc>
      </w:tr>
      <w:tr w14:paraId="545B4751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7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A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HRR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85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0.06(0.03-0.1)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 (0.04~0.13)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1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 (0.04~0.15)</w:t>
            </w:r>
          </w:p>
        </w:tc>
        <w:tc>
          <w:tcPr>
            <w:tcW w:w="55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D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 (0.05~0.19)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E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(0~15.36)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(0~82.73)</w:t>
            </w:r>
          </w:p>
        </w:tc>
        <w:tc>
          <w:tcPr>
            <w:tcW w:w="55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2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 (0~86.11)</w:t>
            </w:r>
          </w:p>
        </w:tc>
        <w:tc>
          <w:tcPr>
            <w:tcW w:w="55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E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(0~96)</w:t>
            </w:r>
          </w:p>
        </w:tc>
      </w:tr>
      <w:tr w14:paraId="28470573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D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 for trend  </w:t>
            </w: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1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＜0.001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FB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2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C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5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E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0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2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0.767</w:t>
            </w:r>
          </w:p>
        </w:tc>
      </w:tr>
      <w:tr w14:paraId="70BD27F6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A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HRR quartile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F8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7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E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A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2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C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1E247E93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C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Q1(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＜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>0.93)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A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8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F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E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B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D7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E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1(Ref)</w:t>
            </w:r>
          </w:p>
        </w:tc>
      </w:tr>
      <w:tr w14:paraId="2769DD07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C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>0.94-1.02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5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(0.35~0.57)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4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(0.35~0.58)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A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(0.36~0.59)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7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 (0.37~0.62)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5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(0.08~2.34)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 (0.06~1.97)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D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(0.36~0.59)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B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 (0.06~2.07)</w:t>
            </w:r>
          </w:p>
        </w:tc>
      </w:tr>
      <w:tr w14:paraId="2A59C6CD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6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Q3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>1.03-1.16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 xml:space="preserve">  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3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(0.34~0.55)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6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 (0.35~0.59)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8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 (0.37~0.61)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9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 (0.39~0.65)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6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(0.02~1.86)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6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 (0.02~2.13)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3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 (0.37~0.61)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 (0.02~2)</w:t>
            </w:r>
          </w:p>
        </w:tc>
      </w:tr>
      <w:tr w14:paraId="178DB661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Q4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（＞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>1.17</w:t>
            </w:r>
            <w:r>
              <w:rPr>
                <w:rStyle w:val="5"/>
                <w:rFonts w:hint="default" w:ascii="Calibri" w:hAnsi="Calibri" w:cs="Calibri"/>
                <w:b w:val="0"/>
                <w:bCs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Style w:val="6"/>
                <w:rFonts w:hint="default" w:ascii="Calibri" w:hAnsi="Calibri" w:eastAsia="宋体" w:cs="Calibri"/>
                <w:b w:val="0"/>
                <w:bCs w:val="0"/>
                <w:sz w:val="16"/>
                <w:szCs w:val="16"/>
                <w:lang w:val="en-US" w:eastAsia="zh-CN" w:bidi="ar"/>
              </w:rPr>
              <w:t xml:space="preserve">      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E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 (0.31~0.51)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B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 (0.32~0.56)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07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(0.33~0.58)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2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 (0.36~0.63)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E7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 (0.13~2.55)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8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 (0.15~4.27)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(0.33~0.58)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30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(0.15~5.41)</w:t>
            </w:r>
          </w:p>
        </w:tc>
      </w:tr>
      <w:tr w14:paraId="316D70CD">
        <w:tblPrEx>
          <w:tblBorders>
            <w:top w:val="single" w:color="auto" w:sz="12" w:space="0"/>
            <w:left w:val="single" w:color="auto" w:sz="4" w:space="0"/>
            <w:bottom w:val="single" w:color="auto" w:sz="12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9FC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 for trend     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55B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＜0.001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95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F5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A2C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9DC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0.385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F2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0.642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18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E040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</w:p>
        </w:tc>
      </w:tr>
    </w:tbl>
    <w:p w14:paraId="6707A7F2">
      <w:pPr>
        <w:rPr>
          <w:sz w:val="21"/>
          <w:szCs w:val="21"/>
        </w:rPr>
      </w:pPr>
    </w:p>
    <w:p w14:paraId="4B06FA0F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13BD7CD">
      <w:pPr>
        <w:bidi w:val="0"/>
        <w:jc w:val="left"/>
        <w:rPr>
          <w:sz w:val="22"/>
          <w:szCs w:val="22"/>
          <w:lang w:val="en-US" w:eastAsia="zh-CN"/>
        </w:rPr>
      </w:pPr>
      <w:r>
        <w:rPr>
          <w:rFonts w:ascii="Times New Roman" w:hAnsi="Times New Roman"/>
          <w:i/>
          <w:sz w:val="22"/>
          <w:szCs w:val="22"/>
        </w:rPr>
        <w:t xml:space="preserve">Abbreviations: HRR, </w:t>
      </w:r>
      <w:bookmarkStart w:id="0" w:name="_GoBack"/>
      <w:bookmarkEnd w:id="0"/>
      <w:r>
        <w:rPr>
          <w:rFonts w:ascii="Times New Roman" w:hAnsi="Times New Roman"/>
          <w:i/>
          <w:sz w:val="22"/>
          <w:szCs w:val="22"/>
        </w:rPr>
        <w:t>hemoglobin-to-red blood cell distribution width ratio; HR, hazard ratio; CI, confidence interval. Model 1: Unadjusted. Model 2: Adjusted for age, sex, race/ethnicity, poverty income ratio, marital status, and education level. Model 3: Model 2 plus BMI, smoking status, and alcohol status. Model 4: Model 3 plus hypertension, diabetes, coronary heart disease, and stroke.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AA2BFD0-7A96-4AF9-9628-E910F7AFDDAE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5FA9"/>
    <w:rsid w:val="07795963"/>
    <w:rsid w:val="0CE62932"/>
    <w:rsid w:val="3F7A0D3B"/>
    <w:rsid w:val="73F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1324</Characters>
  <Lines>0</Lines>
  <Paragraphs>0</Paragraphs>
  <TotalTime>1</TotalTime>
  <ScaleCrop>false</ScaleCrop>
  <LinksUpToDate>false</LinksUpToDate>
  <CharactersWithSpaces>1489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2026-05-07T12:33:00Z</dcterms:created>
  <dc:creator>huawei</dc:creator>
  <cp:lastModifiedBy>sunshine</cp:lastModifiedBy>
  <dcterms:modified xsi:type="dcterms:W3CDTF">2026-05-23T08:35:35Z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eyJoZGlkIjoiMzEwNTM5NzYwMDRjMzkwZTVkZjY2ODkwMGIxNGU0OTUiLCJ1c2VySWQiOiI0NTU3NTYyODMifQ==</vt:lpwstr>
  </property>
  <property fmtid="{D5CDD505-2E9C-101B-9397-08002B2CF9AE}" pid="4" name="ICV">
    <vt:lpwstr>0F430E9BA52C4B1ABED45CA698871C6A_12</vt:lpwstr>
  </property>
</Properties>
</file>