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54" w:tblpY="2591"/>
        <w:tblOverlap w:val="never"/>
        <w:tblW w:w="5000" w:type="pct"/>
        <w:tblInd w:w="0" w:type="dxa"/>
        <w:tblBorders>
          <w:top w:val="single" w:color="000000" w:themeColor="text1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1028"/>
        <w:gridCol w:w="1074"/>
        <w:gridCol w:w="1054"/>
        <w:gridCol w:w="1028"/>
        <w:gridCol w:w="1028"/>
        <w:gridCol w:w="869"/>
      </w:tblGrid>
      <w:tr w14:paraId="2C62C7B7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tblHeader/>
        </w:trPr>
        <w:tc>
          <w:tcPr>
            <w:tcW w:w="1432" w:type="pct"/>
            <w:vMerge w:val="restart"/>
            <w:tcBorders>
              <w:bottom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4958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Varilables</w:t>
            </w:r>
          </w:p>
        </w:tc>
        <w:tc>
          <w:tcPr>
            <w:tcW w:w="3567" w:type="pct"/>
            <w:gridSpan w:val="6"/>
            <w:tcBorders>
              <w:bottom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A0FE9E3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default" w:ascii="Calibri" w:hAnsi="Calibri" w:eastAsia="宋体" w:cs="Calibri"/>
                <w:b/>
                <w:bCs w:val="0"/>
                <w:sz w:val="18"/>
                <w:szCs w:val="18"/>
                <w:lang w:val="en-US" w:eastAsia="zh-CN" w:bidi="ar"/>
              </w:rPr>
              <w:t>Hemoglobin-to-red blood celldistribution width ratio（HRR）</w:t>
            </w:r>
          </w:p>
        </w:tc>
      </w:tr>
      <w:tr w14:paraId="4176C7F7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432" w:type="pct"/>
            <w:vMerge w:val="continue"/>
            <w:tcBorders>
              <w:top w:val="single" w:color="000000" w:themeColor="text1" w:sz="12" w:space="0"/>
              <w:bottom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9DF9A2E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3" w:type="pct"/>
            <w:tcBorders>
              <w:top w:val="single" w:color="000000" w:themeColor="text1" w:sz="12" w:space="0"/>
              <w:bottom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E3EAC3B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ind w:left="194"/>
              <w:jc w:val="center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</w:rPr>
            </w:pP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Total</w:t>
            </w:r>
          </w:p>
        </w:tc>
        <w:tc>
          <w:tcPr>
            <w:tcW w:w="630" w:type="pct"/>
            <w:tcBorders>
              <w:top w:val="single" w:color="000000" w:themeColor="text1" w:sz="12" w:space="0"/>
              <w:bottom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6E6DBFF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ind w:left="194"/>
              <w:jc w:val="center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</w:pP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Q1</w:t>
            </w:r>
          </w:p>
          <w:p w14:paraId="5378A6BA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ind w:left="194"/>
              <w:jc w:val="center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(</w:t>
            </w: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＜0.93</w:t>
            </w:r>
            <w:r>
              <w:rPr>
                <w:rFonts w:hint="eastAsia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)</w:t>
            </w:r>
          </w:p>
        </w:tc>
        <w:tc>
          <w:tcPr>
            <w:tcW w:w="618" w:type="pct"/>
            <w:tcBorders>
              <w:top w:val="single" w:color="000000" w:themeColor="text1" w:sz="12" w:space="0"/>
              <w:bottom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21A4585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jc w:val="center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</w:pP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Q2</w:t>
            </w:r>
          </w:p>
          <w:p w14:paraId="19471F07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jc w:val="center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（</w:t>
            </w: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0.94-1.02</w:t>
            </w:r>
            <w:r>
              <w:rPr>
                <w:rFonts w:hint="eastAsia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）</w:t>
            </w:r>
          </w:p>
        </w:tc>
        <w:tc>
          <w:tcPr>
            <w:tcW w:w="603" w:type="pct"/>
            <w:tcBorders>
              <w:top w:val="single" w:color="000000" w:themeColor="text1" w:sz="12" w:space="0"/>
              <w:bottom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A3DA297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ind w:left="194" w:firstLine="142" w:firstLineChars="100"/>
              <w:jc w:val="both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</w:pP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Q3</w:t>
            </w:r>
          </w:p>
          <w:p w14:paraId="1FD35DC6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jc w:val="center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(</w:t>
            </w: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1.03-1.16</w:t>
            </w:r>
            <w:r>
              <w:rPr>
                <w:rFonts w:hint="eastAsia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)</w:t>
            </w:r>
          </w:p>
        </w:tc>
        <w:tc>
          <w:tcPr>
            <w:tcW w:w="603" w:type="pct"/>
            <w:tcBorders>
              <w:top w:val="single" w:color="000000" w:themeColor="text1" w:sz="12" w:space="0"/>
              <w:bottom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343CFC7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ind w:left="194"/>
              <w:jc w:val="center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</w:pP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Q4</w:t>
            </w:r>
          </w:p>
          <w:p w14:paraId="0616F33A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ind w:left="194"/>
              <w:jc w:val="center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/>
              </w:rPr>
            </w:pPr>
            <w:r>
              <w:rPr>
                <w:rFonts w:hint="eastAsia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(</w:t>
            </w: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＞1.17</w:t>
            </w:r>
            <w:r>
              <w:rPr>
                <w:rFonts w:hint="eastAsia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)</w:t>
            </w:r>
          </w:p>
        </w:tc>
        <w:tc>
          <w:tcPr>
            <w:tcW w:w="509" w:type="pct"/>
            <w:tcBorders>
              <w:top w:val="single" w:color="000000" w:themeColor="text1" w:sz="12" w:space="0"/>
              <w:bottom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AB7C611">
            <w:pPr>
              <w:pStyle w:val="8"/>
              <w:widowControl/>
              <w:kinsoku w:val="0"/>
              <w:autoSpaceDE w:val="0"/>
              <w:autoSpaceDN w:val="0"/>
              <w:adjustRightInd w:val="0"/>
              <w:snapToGrid w:val="0"/>
              <w:spacing w:before="35" w:line="211" w:lineRule="auto"/>
              <w:ind w:left="194"/>
              <w:jc w:val="center"/>
              <w:textAlignment w:val="baseline"/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</w:rPr>
            </w:pPr>
            <w:r>
              <w:rPr>
                <w:rFonts w:hint="default"/>
                <w:b/>
                <w:bCs/>
                <w:snapToGrid w:val="0"/>
                <w:color w:val="000000"/>
                <w:spacing w:val="1"/>
                <w:kern w:val="0"/>
                <w:lang w:val="en-US" w:eastAsia="zh-CN"/>
              </w:rPr>
              <w:t>p-Value</w:t>
            </w:r>
          </w:p>
        </w:tc>
      </w:tr>
      <w:tr w14:paraId="08D1E8F3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op w:val="single" w:color="000000" w:themeColor="text1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15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Number of participants</w:t>
            </w:r>
          </w:p>
        </w:tc>
        <w:tc>
          <w:tcPr>
            <w:tcW w:w="603" w:type="pct"/>
            <w:tcBorders>
              <w:top w:val="single" w:color="000000" w:themeColor="text1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D4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2433</w:t>
            </w:r>
          </w:p>
        </w:tc>
        <w:tc>
          <w:tcPr>
            <w:tcW w:w="630" w:type="pct"/>
            <w:tcBorders>
              <w:top w:val="single" w:color="000000" w:themeColor="text1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7E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608</w:t>
            </w:r>
          </w:p>
        </w:tc>
        <w:tc>
          <w:tcPr>
            <w:tcW w:w="618" w:type="pct"/>
            <w:tcBorders>
              <w:top w:val="single" w:color="000000" w:themeColor="text1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2C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603</w:t>
            </w:r>
          </w:p>
        </w:tc>
        <w:tc>
          <w:tcPr>
            <w:tcW w:w="603" w:type="pct"/>
            <w:tcBorders>
              <w:top w:val="single" w:color="000000" w:themeColor="text1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2B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610</w:t>
            </w:r>
          </w:p>
        </w:tc>
        <w:tc>
          <w:tcPr>
            <w:tcW w:w="603" w:type="pct"/>
            <w:tcBorders>
              <w:top w:val="single" w:color="000000" w:themeColor="text1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EF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612</w:t>
            </w:r>
          </w:p>
        </w:tc>
        <w:tc>
          <w:tcPr>
            <w:tcW w:w="509" w:type="pct"/>
            <w:tcBorders>
              <w:top w:val="single" w:color="000000" w:themeColor="text1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CD63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A8461E2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DE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94D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69.4 ± 6.7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B8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70.8 ± 6.8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1B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69.7 ± 6.9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2C9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68.9 ± 6.8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9C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68.2 ± 6.2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E4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06682C58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49F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60A8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1956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96B6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CD37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0B18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F3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143FACCB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22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Male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A8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1185 (48.7)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6A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204 (33.6)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3A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222 (36.8)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02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319 (52.3)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4FF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440 (71.9)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9338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A038B29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60B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Female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DF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1248 (51.3)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B87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404 (66.4)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A0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381 (63.2)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7CC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291 (47.7)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44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 (28.1)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939E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68C77EE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41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BMI(kg/m2)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4A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29.2 ± 6.4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42E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30.1 ± 7.6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B7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29.3 ± 6.4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613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28.5 ± 5.7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9C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28.8 ± 5.5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7C7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24D2103A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1E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Race/ethnicity, n(</w:t>
            </w:r>
            <w:r>
              <w:rPr>
                <w:rFonts w:hint="eastAsia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</w:t>
            </w: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904F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E9CB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0A66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0FFA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E7957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37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21AAD699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0B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10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1221 (50.2)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37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249 (41)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79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 (47.3)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671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337 (55.2)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9A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350 (57.2)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5E6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9E38685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32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Non-Hispanic black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FD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547 (22.5)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78B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 (37.5)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EA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 (26.9)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6E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 (14.4)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A9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 (11.3)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D11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28DCC78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F2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Mexican American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4A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206 ( 8.5)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D8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 (6.7)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A92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 (7.3)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89B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 (8.4)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F2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 (11.4)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241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F24544D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C61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 Hispanic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10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240 ( 9.9)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F8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 (8.1)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1B2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 (10)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56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 (12.1)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40E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 (9.3)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F3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3307563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11C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 Race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784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219 ( 9.0)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B64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 (6.7)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22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 (8.6)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93B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 (9.8)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9B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 (10.8)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747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6C91779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BB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Others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3C95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61FE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B0EE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FB047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75F8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561B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4D34678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E4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Education level (year), n (</w:t>
            </w:r>
            <w:r>
              <w:rPr>
                <w:rFonts w:hint="eastAsia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</w:t>
            </w: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1855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78BBC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6C5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233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A4BA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3F8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43CC427E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89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Less than 9th grade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6C6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 (10.3)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B34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 (12.8)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9E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 (9.8)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0EB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 (9)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C4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 (9.5)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00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48295F4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A3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9-11th Grade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F76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317 (13.0)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A6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101 (16.6)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19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 (12.8)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D3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 (13.4)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18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 (9.3)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FA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42CA61F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62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High School Grad/GED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9FE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580 (23.8)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47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 (25.2)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51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 (27)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91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134 (22)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AB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 (21.2)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03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661A620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5B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Some College or AA degree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5D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708 (29.1)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4A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 (27.1)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AAD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 (28.5)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A8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 (27.9)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AB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201 (32.8)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CC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088B3EC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9CC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College graduate or above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5C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578 (23.8)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39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 (18.3)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16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 (21.9)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96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 (27.7)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E4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 (27.1)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5F9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BE2089C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76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Marital status, n(</w:t>
            </w:r>
            <w:r>
              <w:rPr>
                <w:rFonts w:hint="eastAsia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</w:t>
            </w: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A9DF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43358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41F9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BCF9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CE65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15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64938A70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175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Married or living with a partn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03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1414 (58.1)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2D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283 (46.6)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8C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335 (55.6)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FD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382 (62.6)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5D4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414 (67.6)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2A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7A41968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3589F">
            <w:pPr>
              <w:keepNext w:val="0"/>
              <w:keepLines w:val="0"/>
              <w:widowControl/>
              <w:suppressLineNumbers w:val="0"/>
              <w:snapToGrid w:val="0"/>
              <w:ind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Living alone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F7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1018 (41.9)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EC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324 (53.4)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3F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268 (44.4)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82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 (37.4)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3A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 (32.4)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BC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98B97AE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36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Family income, n (%)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2D4E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97A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C1B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2000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50A3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29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04231106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50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Low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0A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709 (29.1)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3E4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207 (34)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AF8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 (30.5)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69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 (27.7)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B1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149 (24.3)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AA84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08028A3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94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Medium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DD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938 (38.6)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CF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261 (42.9)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95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242 (40.1)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0F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216 (35.4)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6A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219 (35.8)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3111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6386621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15D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High 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88E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786 (32.3)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2C2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140 (23)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A1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177 (29.4)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4C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225 (36.9)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F7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244 (39.9)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1CCC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EF56FA3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FA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Smoking status, n (%)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379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145A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5DC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5C9F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EA8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7B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5242DF21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41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69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2260 (92.9)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374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543 (89.3)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AA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563 (93.4)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C3E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576 (94.4)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DA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578 (94.4)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D9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A4162FB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92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3C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 ( 7.1)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CE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 (10.7)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B3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 (6.6)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9E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 (5.6)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36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 (5.6)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68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110A271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4BDF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Alcohol status,n(%)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40C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B9C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FE8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029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D8CA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234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1C763E0B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948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Never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D3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366 (15.0)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2E8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 (20.6)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73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 (16.4)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43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 (12.5)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100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 (10.8)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327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9409FDA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A1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Former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ED2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676 (27.8)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BBE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209 (34.4)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97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164 (27.2)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7B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 (26.4)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C3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142 (23.2)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80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36CE4E4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6A5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Current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A4D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1391 (57.2)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1C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274 (45.1)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B6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340 (56.4)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EE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373 (61.1)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D9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404 (66)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ED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646C0AE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78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1BEC3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045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D78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33EE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96E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B4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1B6B71A1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0B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FB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717 (29.5)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FBF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 (19.4)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AD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 (28.2)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562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212 (34.8)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1A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217 (35.5)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49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69031FC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09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6A4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1716 (70.5)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CA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490 (80.6)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5B3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433 (71.8)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3A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398 (65.2)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2A2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395 (64.5)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63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568D31F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9B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Diabetes, n (%)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2231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A50C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4128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7EAF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DBB0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DD8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4263A3C4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FC0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E6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1628 (66.9)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0F5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341 (56.1)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FF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411 (68.2)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33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426 (69.8)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8A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450 (73.5)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5F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BFC6600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A3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62D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805 (33.1)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31F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267 (43.9)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029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B6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 (30.2)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A6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 (26.5)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7B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00C42792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CD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Coronary heart disease</w:t>
            </w:r>
            <w:r>
              <w:rPr>
                <w:rFonts w:hint="eastAsia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,</w:t>
            </w: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(%)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659C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B33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A2C7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4367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5DD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E1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0.067</w:t>
            </w:r>
          </w:p>
        </w:tc>
      </w:tr>
      <w:tr w14:paraId="4459F7D7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EE2AF">
            <w:pPr>
              <w:keepNext w:val="0"/>
              <w:keepLines w:val="0"/>
              <w:widowControl/>
              <w:suppressLineNumbers w:val="0"/>
              <w:snapToGrid w:val="0"/>
              <w:ind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F1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2204 (90.9)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F9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535 (88.6)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722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542 (90.5)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71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561 (92)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31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566 (92.6)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CE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68816D4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39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564E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 ( 9.1)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62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 (11.4)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58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 (9.5)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F6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 (8)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80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 (7.4)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FD2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665B87C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B3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Stroke, n (%)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EEB4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E9B3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059D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0A72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90C8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03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6516B87E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88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Yes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77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2260 (92.9)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768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543 (89.3)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D3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563 (93.4)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A6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576 (94.4)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242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578 (94.4)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F0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4BCCBC06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04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43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 ( 7.1)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6B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 (10.7)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A4F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 (6.6)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B3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 (5.6)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B5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 (5.6)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93B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4F81D36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AEA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Cognitive score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53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(-0.7, 0.8)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6D4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-0.2 (-0.9, 0.4)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77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 (-0.6, 0.7)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EB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 (-0.5, 0.8)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5B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 (-0.5, 1.0)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402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22591B69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319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DSST, Mean +SD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57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16.8 ± 5.5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51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15.3 ± 5.0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B8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16.9 ± 5.4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CE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17.5 ± 5.5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8C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17.6 ± 5.7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6CB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6D541949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7F7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AFT, Mean±SD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6B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(-0.5, 0.7)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A2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(-0.5, 0.7)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BE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 (-0.3, 0.9)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DB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 (-0.3, 0.9)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11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(-0.5, 0.7)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B5D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</w:tr>
      <w:tr w14:paraId="01A8CD40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08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CERAD-IRT, Mean +SD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A78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(-0.3, 0.9)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C2D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(-0.7, 0.6)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8E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(-0.7, 0.9)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33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(-0.3, 0.9)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2E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(-0.3, 0.9)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BD5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0.035</w:t>
            </w:r>
          </w:p>
        </w:tc>
      </w:tr>
      <w:tr w14:paraId="31BBFED7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AC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CERAD-DRT, Mean +SD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1EE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 (-0.7, 0.7)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40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-0.2 (-0.9, 0.5)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D4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 (-0.7, 0.8)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F6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 (-0.6, 0.9)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58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 (-0.6, 0.8)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0A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741B55F5">
        <w:tblPrEx>
          <w:tblBorders>
            <w:top w:val="single" w:color="000000" w:themeColor="text1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52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300" w:firstLineChars="200"/>
              <w:jc w:val="both"/>
              <w:textAlignment w:val="center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 score, Median (IQR)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C5EF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cs="Calibri"/>
                <w:b w:val="0"/>
                <w:bCs/>
                <w:sz w:val="15"/>
                <w:szCs w:val="15"/>
              </w:rPr>
              <w:t>0.0 (-0.7, 0.7)</w:t>
            </w:r>
          </w:p>
        </w:tc>
        <w:tc>
          <w:tcPr>
            <w:tcW w:w="63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F7297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cs="Calibri"/>
                <w:b w:val="0"/>
                <w:bCs/>
                <w:sz w:val="15"/>
                <w:szCs w:val="15"/>
              </w:rPr>
              <w:t>-0.2 (-0.9, 0.5)</w:t>
            </w:r>
          </w:p>
        </w:tc>
        <w:tc>
          <w:tcPr>
            <w:tcW w:w="6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3228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cs="Calibri"/>
                <w:b w:val="0"/>
                <w:bCs/>
                <w:sz w:val="15"/>
                <w:szCs w:val="15"/>
              </w:rPr>
              <w:t>0.0 (-0.7, 0.8)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BCAD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cs="Calibri"/>
                <w:b w:val="0"/>
                <w:bCs/>
                <w:sz w:val="15"/>
                <w:szCs w:val="15"/>
              </w:rPr>
              <w:t>0.1 (-0.6, 0.9)</w:t>
            </w:r>
          </w:p>
        </w:tc>
        <w:tc>
          <w:tcPr>
            <w:tcW w:w="6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A326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cs="Calibri"/>
                <w:b w:val="0"/>
                <w:bCs/>
                <w:sz w:val="15"/>
                <w:szCs w:val="15"/>
              </w:rPr>
              <w:t>0.2 (-0.6, 0.8)</w:t>
            </w:r>
          </w:p>
        </w:tc>
        <w:tc>
          <w:tcPr>
            <w:tcW w:w="5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A370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Calibri" w:hAnsi="Calibri" w:eastAsia="宋体" w:cs="Calibri"/>
                <w:b w:val="0"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cs="Calibri"/>
                <w:b w:val="0"/>
                <w:bCs/>
                <w:sz w:val="15"/>
                <w:szCs w:val="15"/>
              </w:rPr>
              <w:t>&lt; 0.001</w:t>
            </w:r>
          </w:p>
        </w:tc>
      </w:tr>
    </w:tbl>
    <w:p w14:paraId="5D1B8BE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20" w:line="360" w:lineRule="auto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Table 1. Baseline Characteristics of Study Participants by HRR Quartiles (NHANES 2011–2014, N=2,433)</w:t>
      </w:r>
    </w:p>
    <w:p w14:paraId="37568305">
      <w:pPr>
        <w:jc w:val="left"/>
      </w:pPr>
      <w:bookmarkStart w:id="0" w:name="_GoBack"/>
      <w:bookmarkEnd w:id="0"/>
    </w:p>
    <w:p w14:paraId="4FE92A7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MyriadPro-Light" w:cs="Times New Roman"/>
          <w:b w:val="0"/>
          <w:bCs w:val="0"/>
          <w:i/>
          <w:iCs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ascii="Times New Roman" w:hAnsi="Times New Roman"/>
          <w:b w:val="0"/>
          <w:bCs w:val="0"/>
          <w:i/>
          <w:iCs w:val="0"/>
          <w:sz w:val="22"/>
          <w:szCs w:val="22"/>
        </w:rPr>
        <w:t>Abbreviations: HRR, hemoglobin-to-red blood cell distribution width ratio; BMI, body mass index; .</w:t>
      </w:r>
      <w:r>
        <w:rPr>
          <w:rFonts w:hint="default" w:ascii="Times New Roman" w:hAnsi="Times New Roman"/>
          <w:b w:val="0"/>
          <w:bCs w:val="0"/>
          <w:i/>
          <w:iCs w:val="0"/>
          <w:sz w:val="22"/>
          <w:szCs w:val="22"/>
          <w:lang w:val="en-US" w:eastAsia="zh-CN"/>
        </w:rPr>
        <w:t xml:space="preserve">DSST Digit Symbol substation test, AFT Animal Fluency Test, CERAD Consortium to Establish a Registry for Alzheimer’s disease; CERAD-IRT immediate recall in CERAD trial, CERAD-DRT delayed recall in CERAD trial, Z score is average of the standardized scores of DSST, AFT, CERAD-IRT, CERAD-DRT, SD standard deviation, IQR interquartile range, Q1-Q4 Quartile according to </w:t>
      </w:r>
      <w:r>
        <w:rPr>
          <w:rFonts w:hint="eastAsia" w:ascii="Times New Roman" w:hAnsi="Times New Roman"/>
          <w:b w:val="0"/>
          <w:bCs w:val="0"/>
          <w:i/>
          <w:iCs w:val="0"/>
          <w:sz w:val="22"/>
          <w:szCs w:val="22"/>
          <w:lang w:val="en-US" w:eastAsia="zh-CN"/>
        </w:rPr>
        <w:t>Hemoglobin-to-red blood celldistribution width ratio</w:t>
      </w:r>
      <w:r>
        <w:rPr>
          <w:rFonts w:hint="default" w:ascii="Times New Roman" w:hAnsi="Times New Roman"/>
          <w:b w:val="0"/>
          <w:bCs w:val="0"/>
          <w:i/>
          <w:iCs w:val="0"/>
          <w:sz w:val="22"/>
          <w:szCs w:val="22"/>
          <w:lang w:val="en-US" w:eastAsia="zh-CN"/>
        </w:rPr>
        <w:t xml:space="preserve"> intake</w:t>
      </w:r>
    </w:p>
    <w:p w14:paraId="531AFA4D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E92A3DD-762C-46BE-9102-653A9333D657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523F4B71-B29F-4055-9B55-BBE97A031B8B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754E"/>
    <w:rsid w:val="080A7015"/>
    <w:rsid w:val="0CAE1304"/>
    <w:rsid w:val="0FFD3F89"/>
    <w:rsid w:val="138634A2"/>
    <w:rsid w:val="16DA097F"/>
    <w:rsid w:val="1CAD0592"/>
    <w:rsid w:val="2C060F21"/>
    <w:rsid w:val="3C4A4B29"/>
    <w:rsid w:val="41293DE6"/>
    <w:rsid w:val="505179D5"/>
    <w:rsid w:val="5CC81845"/>
    <w:rsid w:val="5F7F4676"/>
    <w:rsid w:val="624520A2"/>
    <w:rsid w:val="64405216"/>
    <w:rsid w:val="673F3706"/>
    <w:rsid w:val="6F9350C6"/>
    <w:rsid w:val="75F15907"/>
    <w:rsid w:val="7BD475D1"/>
    <w:rsid w:val="7E71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4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paragraph" w:customStyle="1" w:styleId="8">
    <w:name w:val="Table Text"/>
    <w:basedOn w:val="1"/>
    <w:semiHidden/>
    <w:qFormat/>
    <w:uiPriority w:val="0"/>
    <w:rPr>
      <w:rFonts w:ascii="Calibri" w:hAnsi="Calibri" w:eastAsia="Calibri" w:cs="Calibri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687</Words>
  <Characters>3094</Characters>
  <Lines>0</Lines>
  <Paragraphs>0</Paragraphs>
  <TotalTime>14</TotalTime>
  <ScaleCrop>false</ScaleCrop>
  <LinksUpToDate>false</LinksUpToDate>
  <CharactersWithSpaces>3496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2026-05-07T11:17:00Z</dcterms:created>
  <dc:creator>huawei</dc:creator>
  <cp:lastModifiedBy>sunshine</cp:lastModifiedBy>
  <dcterms:modified xsi:type="dcterms:W3CDTF">2026-07-03T00:43:27Z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eyJoZGlkIjoiMzEwNTM5NzYwMDRjMzkwZTVkZjY2ODkwMGIxNGU0OTUiLCJ1c2VySWQiOiI0NTU3NTYyODMifQ==</vt:lpwstr>
  </property>
  <property fmtid="{D5CDD505-2E9C-101B-9397-08002B2CF9AE}" pid="4" name="ICV">
    <vt:lpwstr>3C7FFE0BED5A48BFA97A90AFE565994F_12</vt:lpwstr>
  </property>
</Properties>
</file>