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38CBDE">
      <w:pPr>
        <w:jc w:val="center"/>
        <w:rPr>
          <w:rFonts w:hint="default" w:ascii="Times New Roman Bold" w:hAnsi="Times New Roman Bold" w:cs="Times New Roman Bold"/>
          <w:b/>
          <w:bCs/>
          <w:color w:val="auto"/>
        </w:rPr>
      </w:pPr>
      <w:r>
        <w:rPr>
          <w:rFonts w:hint="default" w:ascii="Times New Roman Bold" w:hAnsi="Times New Roman Bold" w:cs="Times New Roman Bold"/>
          <w:b/>
          <w:bCs/>
          <w:color w:val="auto"/>
          <w:sz w:val="32"/>
        </w:rPr>
        <w:t>PRISMA</w:t>
      </w:r>
      <w:r>
        <w:rPr>
          <w:rFonts w:hint="default" w:ascii="Times New Roman Bold" w:hAnsi="Times New Roman Bold" w:eastAsia="宋体" w:cs="Times New Roman Bold"/>
          <w:b/>
          <w:bCs/>
          <w:color w:val="auto"/>
          <w:sz w:val="32"/>
          <w:lang w:val="en-US" w:eastAsia="zh-CN"/>
        </w:rPr>
        <w:t xml:space="preserve"> </w:t>
      </w:r>
      <w:r>
        <w:rPr>
          <w:rFonts w:hint="default" w:ascii="Times New Roman Bold" w:hAnsi="Times New Roman Bold" w:cs="Times New Roman Bold"/>
          <w:b/>
          <w:bCs/>
          <w:color w:val="auto"/>
          <w:sz w:val="32"/>
        </w:rPr>
        <w:t>Checklist</w:t>
      </w:r>
      <w:bookmarkStart w:id="0" w:name="_GoBack"/>
      <w:bookmarkEnd w:id="0"/>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4"/>
        <w:gridCol w:w="654"/>
        <w:gridCol w:w="5716"/>
      </w:tblGrid>
      <w:tr w14:paraId="72B765FC">
        <w:trPr>
          <w:jc w:val="center"/>
        </w:trPr>
        <w:tc>
          <w:tcPr>
            <w:tcW w:w="2194" w:type="dxa"/>
            <w:shd w:val="clear" w:color="auto" w:fill="auto"/>
          </w:tcPr>
          <w:p w14:paraId="42024329">
            <w:pPr>
              <w:spacing w:after="0" w:line="240" w:lineRule="auto"/>
              <w:jc w:val="center"/>
              <w:rPr>
                <w:color w:val="auto"/>
                <w:sz w:val="28"/>
                <w:szCs w:val="28"/>
              </w:rPr>
            </w:pPr>
            <w:r>
              <w:rPr>
                <w:b/>
                <w:color w:val="auto"/>
                <w:sz w:val="21"/>
                <w:szCs w:val="28"/>
              </w:rPr>
              <w:t>Section</w:t>
            </w:r>
          </w:p>
        </w:tc>
        <w:tc>
          <w:tcPr>
            <w:tcW w:w="654" w:type="dxa"/>
            <w:shd w:val="clear" w:color="auto" w:fill="auto"/>
          </w:tcPr>
          <w:p w14:paraId="7CD7DEC1">
            <w:pPr>
              <w:spacing w:after="0" w:line="240" w:lineRule="auto"/>
              <w:jc w:val="center"/>
              <w:rPr>
                <w:color w:val="auto"/>
                <w:sz w:val="28"/>
                <w:szCs w:val="28"/>
              </w:rPr>
            </w:pPr>
            <w:r>
              <w:rPr>
                <w:b/>
                <w:color w:val="auto"/>
                <w:sz w:val="21"/>
                <w:szCs w:val="28"/>
              </w:rPr>
              <w:t>Item</w:t>
            </w:r>
          </w:p>
        </w:tc>
        <w:tc>
          <w:tcPr>
            <w:tcW w:w="5716" w:type="dxa"/>
            <w:shd w:val="clear" w:color="auto" w:fill="auto"/>
          </w:tcPr>
          <w:p w14:paraId="3ACE9211">
            <w:pPr>
              <w:spacing w:after="0" w:line="240" w:lineRule="auto"/>
              <w:jc w:val="center"/>
              <w:rPr>
                <w:color w:val="auto"/>
                <w:sz w:val="28"/>
                <w:szCs w:val="28"/>
              </w:rPr>
            </w:pPr>
            <w:r>
              <w:rPr>
                <w:b/>
                <w:color w:val="auto"/>
                <w:sz w:val="21"/>
                <w:szCs w:val="28"/>
              </w:rPr>
              <w:t>Checklist item</w:t>
            </w:r>
          </w:p>
        </w:tc>
      </w:tr>
      <w:tr w14:paraId="69F35C01">
        <w:trPr>
          <w:jc w:val="center"/>
        </w:trPr>
        <w:tc>
          <w:tcPr>
            <w:tcW w:w="2194" w:type="dxa"/>
            <w:shd w:val="clear" w:color="auto" w:fill="auto"/>
          </w:tcPr>
          <w:p w14:paraId="5B55E47F">
            <w:pPr>
              <w:spacing w:after="0" w:line="240" w:lineRule="auto"/>
              <w:rPr>
                <w:sz w:val="21"/>
                <w:szCs w:val="21"/>
              </w:rPr>
            </w:pPr>
            <w:r>
              <w:rPr>
                <w:b/>
                <w:sz w:val="16"/>
                <w:szCs w:val="21"/>
              </w:rPr>
              <w:t>TITLE</w:t>
            </w:r>
          </w:p>
        </w:tc>
        <w:tc>
          <w:tcPr>
            <w:tcW w:w="654" w:type="dxa"/>
            <w:shd w:val="clear" w:color="auto" w:fill="auto"/>
          </w:tcPr>
          <w:p w14:paraId="07C4D0AD">
            <w:pPr>
              <w:spacing w:after="0" w:line="240" w:lineRule="auto"/>
              <w:jc w:val="center"/>
            </w:pPr>
            <w:r>
              <w:rPr>
                <w:b/>
                <w:sz w:val="18"/>
              </w:rPr>
              <w:t>1</w:t>
            </w:r>
          </w:p>
        </w:tc>
        <w:tc>
          <w:tcPr>
            <w:tcW w:w="5716" w:type="dxa"/>
            <w:shd w:val="clear" w:color="auto" w:fill="auto"/>
          </w:tcPr>
          <w:p w14:paraId="538ADC9C">
            <w:pPr>
              <w:spacing w:after="0" w:line="240" w:lineRule="auto"/>
            </w:pPr>
            <w:r>
              <w:rPr>
                <w:sz w:val="18"/>
              </w:rPr>
              <w:t>Identify the report as a systematic review.</w:t>
            </w:r>
          </w:p>
        </w:tc>
      </w:tr>
      <w:tr w14:paraId="79C1CBEF">
        <w:trPr>
          <w:jc w:val="center"/>
        </w:trPr>
        <w:tc>
          <w:tcPr>
            <w:tcW w:w="2194" w:type="dxa"/>
            <w:shd w:val="clear" w:color="auto" w:fill="auto"/>
          </w:tcPr>
          <w:p w14:paraId="5C601292">
            <w:pPr>
              <w:spacing w:after="0" w:line="240" w:lineRule="auto"/>
              <w:rPr>
                <w:sz w:val="21"/>
                <w:szCs w:val="21"/>
              </w:rPr>
            </w:pPr>
            <w:r>
              <w:rPr>
                <w:b/>
                <w:sz w:val="16"/>
                <w:szCs w:val="21"/>
              </w:rPr>
              <w:t>ABSTRACT</w:t>
            </w:r>
          </w:p>
        </w:tc>
        <w:tc>
          <w:tcPr>
            <w:tcW w:w="654" w:type="dxa"/>
            <w:shd w:val="clear" w:color="auto" w:fill="auto"/>
          </w:tcPr>
          <w:p w14:paraId="305202E1">
            <w:pPr>
              <w:spacing w:after="0" w:line="240" w:lineRule="auto"/>
              <w:jc w:val="center"/>
            </w:pPr>
            <w:r>
              <w:rPr>
                <w:b/>
                <w:sz w:val="18"/>
              </w:rPr>
              <w:t>2</w:t>
            </w:r>
          </w:p>
        </w:tc>
        <w:tc>
          <w:tcPr>
            <w:tcW w:w="5716" w:type="dxa"/>
            <w:shd w:val="clear" w:color="auto" w:fill="auto"/>
          </w:tcPr>
          <w:p w14:paraId="65B14E1F">
            <w:pPr>
              <w:spacing w:after="0" w:line="240" w:lineRule="auto"/>
            </w:pPr>
            <w:r>
              <w:rPr>
                <w:sz w:val="18"/>
              </w:rPr>
              <w:t>See the PRISMA 2020 for Abstracts checklist.</w:t>
            </w:r>
          </w:p>
        </w:tc>
      </w:tr>
      <w:tr w14:paraId="0622B3B9">
        <w:trPr>
          <w:jc w:val="center"/>
        </w:trPr>
        <w:tc>
          <w:tcPr>
            <w:tcW w:w="2194" w:type="dxa"/>
            <w:vMerge w:val="restart"/>
            <w:shd w:val="clear" w:color="auto" w:fill="auto"/>
          </w:tcPr>
          <w:p w14:paraId="355A5E85">
            <w:pPr>
              <w:spacing w:after="0" w:line="240" w:lineRule="auto"/>
              <w:rPr>
                <w:sz w:val="21"/>
                <w:szCs w:val="21"/>
              </w:rPr>
            </w:pPr>
            <w:r>
              <w:rPr>
                <w:b/>
                <w:sz w:val="16"/>
                <w:szCs w:val="21"/>
              </w:rPr>
              <w:t>INTRODUCTION</w:t>
            </w:r>
          </w:p>
        </w:tc>
        <w:tc>
          <w:tcPr>
            <w:tcW w:w="654" w:type="dxa"/>
            <w:shd w:val="clear" w:color="auto" w:fill="auto"/>
          </w:tcPr>
          <w:p w14:paraId="68DAA1C9">
            <w:pPr>
              <w:spacing w:after="0" w:line="240" w:lineRule="auto"/>
              <w:jc w:val="center"/>
            </w:pPr>
            <w:r>
              <w:rPr>
                <w:b/>
                <w:sz w:val="18"/>
              </w:rPr>
              <w:t>3</w:t>
            </w:r>
          </w:p>
        </w:tc>
        <w:tc>
          <w:tcPr>
            <w:tcW w:w="5716" w:type="dxa"/>
            <w:shd w:val="clear" w:color="auto" w:fill="auto"/>
          </w:tcPr>
          <w:p w14:paraId="0A4E67C0">
            <w:pPr>
              <w:spacing w:after="0" w:line="240" w:lineRule="auto"/>
            </w:pPr>
            <w:r>
              <w:rPr>
                <w:sz w:val="18"/>
              </w:rPr>
              <w:t>Explain the rationale for the review in the context of existing knowledge.</w:t>
            </w:r>
          </w:p>
        </w:tc>
      </w:tr>
      <w:tr w14:paraId="27FA74CC">
        <w:trPr>
          <w:jc w:val="center"/>
        </w:trPr>
        <w:tc>
          <w:tcPr>
            <w:tcW w:w="2194" w:type="dxa"/>
            <w:vMerge w:val="continue"/>
            <w:tcBorders/>
            <w:shd w:val="clear" w:color="auto" w:fill="auto"/>
          </w:tcPr>
          <w:p w14:paraId="3F097EA3">
            <w:pPr>
              <w:spacing w:after="0" w:line="240" w:lineRule="auto"/>
              <w:rPr>
                <w:sz w:val="21"/>
                <w:szCs w:val="21"/>
              </w:rPr>
            </w:pPr>
          </w:p>
        </w:tc>
        <w:tc>
          <w:tcPr>
            <w:tcW w:w="654" w:type="dxa"/>
            <w:shd w:val="clear" w:color="auto" w:fill="auto"/>
          </w:tcPr>
          <w:p w14:paraId="10A349E3">
            <w:pPr>
              <w:spacing w:after="0" w:line="240" w:lineRule="auto"/>
              <w:jc w:val="center"/>
            </w:pPr>
            <w:r>
              <w:rPr>
                <w:b/>
                <w:sz w:val="18"/>
              </w:rPr>
              <w:t>4</w:t>
            </w:r>
          </w:p>
        </w:tc>
        <w:tc>
          <w:tcPr>
            <w:tcW w:w="5716" w:type="dxa"/>
            <w:shd w:val="clear" w:color="auto" w:fill="auto"/>
          </w:tcPr>
          <w:p w14:paraId="1B7515E8">
            <w:pPr>
              <w:spacing w:after="0" w:line="240" w:lineRule="auto"/>
            </w:pPr>
            <w:r>
              <w:rPr>
                <w:sz w:val="18"/>
              </w:rPr>
              <w:t>Provide an explicit statement of the objective(s) or question(s) the review addresses.</w:t>
            </w:r>
          </w:p>
        </w:tc>
      </w:tr>
      <w:tr w14:paraId="477B4FE3">
        <w:trPr>
          <w:jc w:val="center"/>
        </w:trPr>
        <w:tc>
          <w:tcPr>
            <w:tcW w:w="2194" w:type="dxa"/>
            <w:vMerge w:val="restart"/>
            <w:shd w:val="clear" w:color="auto" w:fill="auto"/>
          </w:tcPr>
          <w:p w14:paraId="3AFFFECF">
            <w:pPr>
              <w:spacing w:after="0" w:line="240" w:lineRule="auto"/>
              <w:rPr>
                <w:sz w:val="21"/>
                <w:szCs w:val="21"/>
              </w:rPr>
            </w:pPr>
            <w:r>
              <w:rPr>
                <w:b/>
                <w:sz w:val="16"/>
                <w:szCs w:val="21"/>
              </w:rPr>
              <w:t>METHODS</w:t>
            </w:r>
          </w:p>
        </w:tc>
        <w:tc>
          <w:tcPr>
            <w:tcW w:w="654" w:type="dxa"/>
            <w:shd w:val="clear" w:color="auto" w:fill="auto"/>
          </w:tcPr>
          <w:p w14:paraId="3617216A">
            <w:pPr>
              <w:spacing w:after="0" w:line="240" w:lineRule="auto"/>
              <w:jc w:val="center"/>
            </w:pPr>
            <w:r>
              <w:rPr>
                <w:b/>
                <w:sz w:val="18"/>
              </w:rPr>
              <w:t>5</w:t>
            </w:r>
          </w:p>
        </w:tc>
        <w:tc>
          <w:tcPr>
            <w:tcW w:w="5716" w:type="dxa"/>
            <w:shd w:val="clear" w:color="auto" w:fill="auto"/>
          </w:tcPr>
          <w:p w14:paraId="352E41CB">
            <w:pPr>
              <w:spacing w:after="0" w:line="240" w:lineRule="auto"/>
            </w:pPr>
            <w:r>
              <w:rPr>
                <w:sz w:val="18"/>
              </w:rPr>
              <w:t>Indicate if a review protocol exists, where it can be accessed, and if registration information is available including registration number.</w:t>
            </w:r>
          </w:p>
        </w:tc>
      </w:tr>
      <w:tr w14:paraId="50BE1118">
        <w:trPr>
          <w:jc w:val="center"/>
        </w:trPr>
        <w:tc>
          <w:tcPr>
            <w:tcW w:w="2194" w:type="dxa"/>
            <w:vMerge w:val="continue"/>
            <w:tcBorders/>
            <w:shd w:val="clear" w:color="auto" w:fill="auto"/>
          </w:tcPr>
          <w:p w14:paraId="008D2CBF">
            <w:pPr>
              <w:spacing w:after="0" w:line="240" w:lineRule="auto"/>
              <w:rPr>
                <w:sz w:val="21"/>
                <w:szCs w:val="21"/>
              </w:rPr>
            </w:pPr>
          </w:p>
        </w:tc>
        <w:tc>
          <w:tcPr>
            <w:tcW w:w="654" w:type="dxa"/>
            <w:shd w:val="clear" w:color="auto" w:fill="auto"/>
          </w:tcPr>
          <w:p w14:paraId="1068F5E0">
            <w:pPr>
              <w:spacing w:after="0" w:line="240" w:lineRule="auto"/>
              <w:jc w:val="center"/>
            </w:pPr>
            <w:r>
              <w:rPr>
                <w:b/>
                <w:sz w:val="18"/>
              </w:rPr>
              <w:t>6</w:t>
            </w:r>
          </w:p>
        </w:tc>
        <w:tc>
          <w:tcPr>
            <w:tcW w:w="5716" w:type="dxa"/>
            <w:shd w:val="clear" w:color="auto" w:fill="auto"/>
          </w:tcPr>
          <w:p w14:paraId="4CEE4205">
            <w:pPr>
              <w:spacing w:after="0" w:line="240" w:lineRule="auto"/>
            </w:pPr>
            <w:r>
              <w:rPr>
                <w:sz w:val="18"/>
              </w:rPr>
              <w:t>Specify inclusion and exclusion criteria for the review and how studies were grouped for the syntheses.</w:t>
            </w:r>
          </w:p>
        </w:tc>
      </w:tr>
      <w:tr w14:paraId="479F2047">
        <w:trPr>
          <w:jc w:val="center"/>
        </w:trPr>
        <w:tc>
          <w:tcPr>
            <w:tcW w:w="2194" w:type="dxa"/>
            <w:vMerge w:val="continue"/>
            <w:tcBorders/>
            <w:shd w:val="clear" w:color="auto" w:fill="auto"/>
          </w:tcPr>
          <w:p w14:paraId="441AE1CE">
            <w:pPr>
              <w:spacing w:after="0" w:line="240" w:lineRule="auto"/>
              <w:rPr>
                <w:sz w:val="21"/>
                <w:szCs w:val="21"/>
              </w:rPr>
            </w:pPr>
          </w:p>
        </w:tc>
        <w:tc>
          <w:tcPr>
            <w:tcW w:w="654" w:type="dxa"/>
            <w:shd w:val="clear" w:color="auto" w:fill="auto"/>
          </w:tcPr>
          <w:p w14:paraId="36C68FF5">
            <w:pPr>
              <w:spacing w:after="0" w:line="240" w:lineRule="auto"/>
              <w:jc w:val="center"/>
            </w:pPr>
            <w:r>
              <w:rPr>
                <w:b/>
                <w:sz w:val="18"/>
              </w:rPr>
              <w:t>7</w:t>
            </w:r>
          </w:p>
        </w:tc>
        <w:tc>
          <w:tcPr>
            <w:tcW w:w="5716" w:type="dxa"/>
            <w:shd w:val="clear" w:color="auto" w:fill="auto"/>
          </w:tcPr>
          <w:p w14:paraId="59E97C99">
            <w:pPr>
              <w:spacing w:after="0" w:line="240" w:lineRule="auto"/>
            </w:pPr>
            <w:r>
              <w:rPr>
                <w:sz w:val="18"/>
              </w:rPr>
              <w:t>Specify all databases, registers, websites, organisations, reference lists and other sources searched or consulted to identify studies. Specify the date each source was last searched or consulted.</w:t>
            </w:r>
          </w:p>
        </w:tc>
      </w:tr>
      <w:tr w14:paraId="0E91042F">
        <w:trPr>
          <w:jc w:val="center"/>
        </w:trPr>
        <w:tc>
          <w:tcPr>
            <w:tcW w:w="2194" w:type="dxa"/>
            <w:vMerge w:val="continue"/>
            <w:tcBorders/>
            <w:shd w:val="clear" w:color="auto" w:fill="auto"/>
          </w:tcPr>
          <w:p w14:paraId="1B072E4C">
            <w:pPr>
              <w:spacing w:after="0" w:line="240" w:lineRule="auto"/>
              <w:rPr>
                <w:sz w:val="21"/>
                <w:szCs w:val="21"/>
              </w:rPr>
            </w:pPr>
          </w:p>
        </w:tc>
        <w:tc>
          <w:tcPr>
            <w:tcW w:w="654" w:type="dxa"/>
            <w:shd w:val="clear" w:color="auto" w:fill="auto"/>
          </w:tcPr>
          <w:p w14:paraId="434752D4">
            <w:pPr>
              <w:spacing w:after="0" w:line="240" w:lineRule="auto"/>
              <w:jc w:val="center"/>
            </w:pPr>
            <w:r>
              <w:rPr>
                <w:b/>
                <w:sz w:val="18"/>
              </w:rPr>
              <w:t>8</w:t>
            </w:r>
          </w:p>
        </w:tc>
        <w:tc>
          <w:tcPr>
            <w:tcW w:w="5716" w:type="dxa"/>
            <w:shd w:val="clear" w:color="auto" w:fill="auto"/>
          </w:tcPr>
          <w:p w14:paraId="27781011">
            <w:pPr>
              <w:spacing w:after="0" w:line="240" w:lineRule="auto"/>
            </w:pPr>
            <w:r>
              <w:rPr>
                <w:sz w:val="18"/>
              </w:rPr>
              <w:t>Present the full search strategies for all databases, registers and websites, including filters and limits to indicate how these were applied.</w:t>
            </w:r>
          </w:p>
        </w:tc>
      </w:tr>
      <w:tr w14:paraId="1E92B33C">
        <w:trPr>
          <w:jc w:val="center"/>
        </w:trPr>
        <w:tc>
          <w:tcPr>
            <w:tcW w:w="2194" w:type="dxa"/>
            <w:vMerge w:val="continue"/>
            <w:tcBorders/>
            <w:shd w:val="clear" w:color="auto" w:fill="auto"/>
          </w:tcPr>
          <w:p w14:paraId="14F5F5DD">
            <w:pPr>
              <w:spacing w:after="0" w:line="240" w:lineRule="auto"/>
              <w:rPr>
                <w:sz w:val="21"/>
                <w:szCs w:val="21"/>
              </w:rPr>
            </w:pPr>
          </w:p>
        </w:tc>
        <w:tc>
          <w:tcPr>
            <w:tcW w:w="654" w:type="dxa"/>
            <w:shd w:val="clear" w:color="auto" w:fill="auto"/>
          </w:tcPr>
          <w:p w14:paraId="19F02CC7">
            <w:pPr>
              <w:spacing w:after="0" w:line="240" w:lineRule="auto"/>
              <w:jc w:val="center"/>
            </w:pPr>
            <w:r>
              <w:rPr>
                <w:b/>
                <w:sz w:val="18"/>
              </w:rPr>
              <w:t>9</w:t>
            </w:r>
          </w:p>
        </w:tc>
        <w:tc>
          <w:tcPr>
            <w:tcW w:w="5716" w:type="dxa"/>
            <w:shd w:val="clear" w:color="auto" w:fill="auto"/>
          </w:tcPr>
          <w:p w14:paraId="61891931">
            <w:pPr>
              <w:spacing w:after="0" w:line="240" w:lineRule="auto"/>
            </w:pPr>
            <w:r>
              <w:rPr>
                <w:sz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r>
      <w:tr w14:paraId="5E1FF492">
        <w:trPr>
          <w:jc w:val="center"/>
        </w:trPr>
        <w:tc>
          <w:tcPr>
            <w:tcW w:w="2194" w:type="dxa"/>
            <w:vMerge w:val="continue"/>
            <w:tcBorders/>
            <w:shd w:val="clear" w:color="auto" w:fill="auto"/>
          </w:tcPr>
          <w:p w14:paraId="487D5F0C">
            <w:pPr>
              <w:spacing w:after="0" w:line="240" w:lineRule="auto"/>
              <w:rPr>
                <w:sz w:val="21"/>
                <w:szCs w:val="21"/>
              </w:rPr>
            </w:pPr>
          </w:p>
        </w:tc>
        <w:tc>
          <w:tcPr>
            <w:tcW w:w="654" w:type="dxa"/>
            <w:shd w:val="clear" w:color="auto" w:fill="auto"/>
          </w:tcPr>
          <w:p w14:paraId="7679D7B8">
            <w:pPr>
              <w:spacing w:after="0" w:line="240" w:lineRule="auto"/>
              <w:jc w:val="center"/>
            </w:pPr>
            <w:r>
              <w:rPr>
                <w:b/>
                <w:sz w:val="18"/>
              </w:rPr>
              <w:t>10</w:t>
            </w:r>
          </w:p>
        </w:tc>
        <w:tc>
          <w:tcPr>
            <w:tcW w:w="5716" w:type="dxa"/>
            <w:shd w:val="clear" w:color="auto" w:fill="auto"/>
          </w:tcPr>
          <w:p w14:paraId="740B56BB">
            <w:pPr>
              <w:spacing w:after="0" w:line="240" w:lineRule="auto"/>
            </w:pPr>
            <w:r>
              <w:rPr>
                <w:sz w:val="18"/>
              </w:rPr>
              <w:t>Specify the methods for organising and sorting studies, and for synthesising results.</w:t>
            </w:r>
          </w:p>
        </w:tc>
      </w:tr>
      <w:tr w14:paraId="4B168C52">
        <w:trPr>
          <w:jc w:val="center"/>
        </w:trPr>
        <w:tc>
          <w:tcPr>
            <w:tcW w:w="2194" w:type="dxa"/>
            <w:vMerge w:val="restart"/>
            <w:shd w:val="clear" w:color="auto" w:fill="auto"/>
          </w:tcPr>
          <w:p w14:paraId="1A358267">
            <w:pPr>
              <w:spacing w:after="0" w:line="240" w:lineRule="auto"/>
              <w:rPr>
                <w:sz w:val="21"/>
                <w:szCs w:val="21"/>
              </w:rPr>
            </w:pPr>
            <w:r>
              <w:rPr>
                <w:b/>
                <w:sz w:val="16"/>
                <w:szCs w:val="21"/>
              </w:rPr>
              <w:t>RESULTS</w:t>
            </w:r>
          </w:p>
        </w:tc>
        <w:tc>
          <w:tcPr>
            <w:tcW w:w="654" w:type="dxa"/>
            <w:shd w:val="clear" w:color="auto" w:fill="auto"/>
          </w:tcPr>
          <w:p w14:paraId="4DAC0985">
            <w:pPr>
              <w:spacing w:after="0" w:line="240" w:lineRule="auto"/>
              <w:jc w:val="center"/>
            </w:pPr>
            <w:r>
              <w:rPr>
                <w:b/>
                <w:sz w:val="18"/>
              </w:rPr>
              <w:t>11</w:t>
            </w:r>
          </w:p>
        </w:tc>
        <w:tc>
          <w:tcPr>
            <w:tcW w:w="5716" w:type="dxa"/>
            <w:shd w:val="clear" w:color="auto" w:fill="auto"/>
          </w:tcPr>
          <w:p w14:paraId="67BB1552">
            <w:pPr>
              <w:spacing w:after="0" w:line="240" w:lineRule="auto"/>
            </w:pPr>
            <w:r>
              <w:rPr>
                <w:sz w:val="18"/>
              </w:rPr>
              <w:t>Specify the methods used to assess risk of bias in included studies, including how many reviewers assessed each study, whether they worked independently, and if applicable, details of automation tools used in the process.</w:t>
            </w:r>
          </w:p>
        </w:tc>
      </w:tr>
      <w:tr w14:paraId="0A5AB9AF">
        <w:trPr>
          <w:jc w:val="center"/>
        </w:trPr>
        <w:tc>
          <w:tcPr>
            <w:tcW w:w="2194" w:type="dxa"/>
            <w:vMerge w:val="continue"/>
            <w:tcBorders/>
            <w:shd w:val="clear" w:color="auto" w:fill="auto"/>
          </w:tcPr>
          <w:p w14:paraId="2458E86A">
            <w:pPr>
              <w:spacing w:after="0" w:line="240" w:lineRule="auto"/>
              <w:rPr>
                <w:sz w:val="21"/>
                <w:szCs w:val="21"/>
              </w:rPr>
            </w:pPr>
          </w:p>
        </w:tc>
        <w:tc>
          <w:tcPr>
            <w:tcW w:w="654" w:type="dxa"/>
            <w:shd w:val="clear" w:color="auto" w:fill="auto"/>
          </w:tcPr>
          <w:p w14:paraId="07F56B5F">
            <w:pPr>
              <w:spacing w:after="0" w:line="240" w:lineRule="auto"/>
              <w:jc w:val="center"/>
            </w:pPr>
            <w:r>
              <w:rPr>
                <w:b/>
                <w:sz w:val="18"/>
              </w:rPr>
              <w:t>12</w:t>
            </w:r>
          </w:p>
        </w:tc>
        <w:tc>
          <w:tcPr>
            <w:tcW w:w="5716" w:type="dxa"/>
            <w:shd w:val="clear" w:color="auto" w:fill="auto"/>
          </w:tcPr>
          <w:p w14:paraId="5473017F">
            <w:pPr>
              <w:spacing w:after="0" w:line="240" w:lineRule="auto"/>
            </w:pPr>
            <w:r>
              <w:rPr>
                <w:sz w:val="18"/>
              </w:rPr>
              <w:t>Specify for each study the methods used to assess the certainty of the evidence, including how many reviewers assessed each evidence item, whether they worked independently, and if applicable, details of automation tools used in the process.</w:t>
            </w:r>
          </w:p>
        </w:tc>
      </w:tr>
      <w:tr w14:paraId="09776DE8">
        <w:trPr>
          <w:jc w:val="center"/>
        </w:trPr>
        <w:tc>
          <w:tcPr>
            <w:tcW w:w="2194" w:type="dxa"/>
            <w:vMerge w:val="continue"/>
            <w:tcBorders/>
            <w:shd w:val="clear" w:color="auto" w:fill="auto"/>
          </w:tcPr>
          <w:p w14:paraId="6CA14624">
            <w:pPr>
              <w:spacing w:after="0" w:line="240" w:lineRule="auto"/>
              <w:rPr>
                <w:sz w:val="21"/>
                <w:szCs w:val="21"/>
              </w:rPr>
            </w:pPr>
          </w:p>
        </w:tc>
        <w:tc>
          <w:tcPr>
            <w:tcW w:w="654" w:type="dxa"/>
            <w:shd w:val="clear" w:color="auto" w:fill="auto"/>
          </w:tcPr>
          <w:p w14:paraId="0AF4942F">
            <w:pPr>
              <w:spacing w:after="0" w:line="240" w:lineRule="auto"/>
              <w:jc w:val="center"/>
            </w:pPr>
            <w:r>
              <w:rPr>
                <w:b/>
                <w:sz w:val="18"/>
              </w:rPr>
              <w:t>13</w:t>
            </w:r>
          </w:p>
        </w:tc>
        <w:tc>
          <w:tcPr>
            <w:tcW w:w="5716" w:type="dxa"/>
            <w:shd w:val="clear" w:color="auto" w:fill="auto"/>
          </w:tcPr>
          <w:p w14:paraId="27CDBD88">
            <w:pPr>
              <w:spacing w:after="0" w:line="240" w:lineRule="auto"/>
            </w:pPr>
            <w:r>
              <w:rPr>
                <w:sz w:val="18"/>
              </w:rPr>
              <w:t>Describe the processes used to decide which studies were eligible for inclusion (e.g., screening, eligibility, included in systematic review, and, if applicable, included in the meta-analysis).</w:t>
            </w:r>
          </w:p>
        </w:tc>
      </w:tr>
      <w:tr w14:paraId="2A0DB957">
        <w:trPr>
          <w:jc w:val="center"/>
        </w:trPr>
        <w:tc>
          <w:tcPr>
            <w:tcW w:w="2194" w:type="dxa"/>
            <w:vMerge w:val="continue"/>
            <w:tcBorders/>
            <w:shd w:val="clear" w:color="auto" w:fill="auto"/>
          </w:tcPr>
          <w:p w14:paraId="2066D315">
            <w:pPr>
              <w:spacing w:after="0" w:line="240" w:lineRule="auto"/>
              <w:rPr>
                <w:sz w:val="21"/>
                <w:szCs w:val="21"/>
              </w:rPr>
            </w:pPr>
          </w:p>
        </w:tc>
        <w:tc>
          <w:tcPr>
            <w:tcW w:w="654" w:type="dxa"/>
            <w:shd w:val="clear" w:color="auto" w:fill="auto"/>
          </w:tcPr>
          <w:p w14:paraId="29EF9FD1">
            <w:pPr>
              <w:spacing w:after="0" w:line="240" w:lineRule="auto"/>
              <w:jc w:val="center"/>
            </w:pPr>
            <w:r>
              <w:rPr>
                <w:b/>
                <w:sz w:val="18"/>
              </w:rPr>
              <w:t>14</w:t>
            </w:r>
          </w:p>
        </w:tc>
        <w:tc>
          <w:tcPr>
            <w:tcW w:w="5716" w:type="dxa"/>
            <w:shd w:val="clear" w:color="auto" w:fill="auto"/>
          </w:tcPr>
          <w:p w14:paraId="04CB186A">
            <w:pPr>
              <w:spacing w:after="0" w:line="240" w:lineRule="auto"/>
            </w:pPr>
            <w:r>
              <w:rPr>
                <w:sz w:val="18"/>
              </w:rPr>
              <w:t>Describe the methods used to collect data from reports, how many reviewers collected data from each report, whether data were collected independently, and if applicable, details of automation tools used in the process.</w:t>
            </w:r>
          </w:p>
        </w:tc>
      </w:tr>
      <w:tr w14:paraId="38CF373B">
        <w:trPr>
          <w:jc w:val="center"/>
        </w:trPr>
        <w:tc>
          <w:tcPr>
            <w:tcW w:w="2194" w:type="dxa"/>
            <w:vMerge w:val="continue"/>
            <w:tcBorders/>
            <w:shd w:val="clear" w:color="auto" w:fill="auto"/>
          </w:tcPr>
          <w:p w14:paraId="272101BA">
            <w:pPr>
              <w:spacing w:after="0" w:line="240" w:lineRule="auto"/>
              <w:rPr>
                <w:sz w:val="21"/>
                <w:szCs w:val="21"/>
              </w:rPr>
            </w:pPr>
          </w:p>
        </w:tc>
        <w:tc>
          <w:tcPr>
            <w:tcW w:w="654" w:type="dxa"/>
            <w:shd w:val="clear" w:color="auto" w:fill="auto"/>
          </w:tcPr>
          <w:p w14:paraId="07413CBC">
            <w:pPr>
              <w:spacing w:after="0" w:line="240" w:lineRule="auto"/>
              <w:jc w:val="center"/>
            </w:pPr>
            <w:r>
              <w:rPr>
                <w:b/>
                <w:sz w:val="18"/>
              </w:rPr>
              <w:t>15</w:t>
            </w:r>
          </w:p>
        </w:tc>
        <w:tc>
          <w:tcPr>
            <w:tcW w:w="5716" w:type="dxa"/>
            <w:shd w:val="clear" w:color="auto" w:fill="auto"/>
          </w:tcPr>
          <w:p w14:paraId="69483D34">
            <w:pPr>
              <w:spacing w:after="0" w:line="240" w:lineRule="auto"/>
            </w:pPr>
            <w:r>
              <w:rPr>
                <w:sz w:val="18"/>
              </w:rPr>
              <w:t>Describe and explain any analyses (e.g., comparisons of study characteristics, RoB-2, GRADE) used to assess certainty of the evidence and generate summary findings.</w:t>
            </w:r>
          </w:p>
        </w:tc>
      </w:tr>
      <w:tr w14:paraId="0191B539">
        <w:trPr>
          <w:jc w:val="center"/>
        </w:trPr>
        <w:tc>
          <w:tcPr>
            <w:tcW w:w="2194" w:type="dxa"/>
            <w:vMerge w:val="continue"/>
            <w:tcBorders/>
            <w:shd w:val="clear" w:color="auto" w:fill="auto"/>
          </w:tcPr>
          <w:p w14:paraId="20DA686E">
            <w:pPr>
              <w:spacing w:after="0" w:line="240" w:lineRule="auto"/>
              <w:rPr>
                <w:sz w:val="21"/>
                <w:szCs w:val="21"/>
              </w:rPr>
            </w:pPr>
          </w:p>
        </w:tc>
        <w:tc>
          <w:tcPr>
            <w:tcW w:w="654" w:type="dxa"/>
            <w:shd w:val="clear" w:color="auto" w:fill="auto"/>
          </w:tcPr>
          <w:p w14:paraId="1AC7E1D8">
            <w:pPr>
              <w:spacing w:after="0" w:line="240" w:lineRule="auto"/>
              <w:jc w:val="center"/>
            </w:pPr>
            <w:r>
              <w:rPr>
                <w:b/>
                <w:sz w:val="18"/>
              </w:rPr>
              <w:t>16</w:t>
            </w:r>
          </w:p>
        </w:tc>
        <w:tc>
          <w:tcPr>
            <w:tcW w:w="5716" w:type="dxa"/>
            <w:shd w:val="clear" w:color="auto" w:fill="auto"/>
          </w:tcPr>
          <w:p w14:paraId="13858BC4">
            <w:pPr>
              <w:spacing w:after="0" w:line="240" w:lineRule="auto"/>
            </w:pPr>
            <w:r>
              <w:rPr>
                <w:sz w:val="18"/>
              </w:rPr>
              <w:t>Describe for each outcome the results of statistical syntheses (e.g., meta-analysis) including confidence/credibility intervals and measures of statistical heterogeneity. If not applicable, state 'No meta-analysis conducted'.</w:t>
            </w:r>
          </w:p>
        </w:tc>
      </w:tr>
      <w:tr w14:paraId="70B1BA72">
        <w:trPr>
          <w:jc w:val="center"/>
        </w:trPr>
        <w:tc>
          <w:tcPr>
            <w:tcW w:w="2194" w:type="dxa"/>
            <w:vMerge w:val="continue"/>
            <w:tcBorders/>
            <w:shd w:val="clear" w:color="auto" w:fill="auto"/>
          </w:tcPr>
          <w:p w14:paraId="6BB342D2">
            <w:pPr>
              <w:spacing w:after="0" w:line="240" w:lineRule="auto"/>
              <w:rPr>
                <w:sz w:val="21"/>
                <w:szCs w:val="21"/>
              </w:rPr>
            </w:pPr>
          </w:p>
        </w:tc>
        <w:tc>
          <w:tcPr>
            <w:tcW w:w="654" w:type="dxa"/>
            <w:shd w:val="clear" w:color="auto" w:fill="auto"/>
          </w:tcPr>
          <w:p w14:paraId="0009F0B2">
            <w:pPr>
              <w:spacing w:after="0" w:line="240" w:lineRule="auto"/>
              <w:jc w:val="center"/>
            </w:pPr>
            <w:r>
              <w:rPr>
                <w:b/>
                <w:sz w:val="18"/>
              </w:rPr>
              <w:t>17</w:t>
            </w:r>
          </w:p>
        </w:tc>
        <w:tc>
          <w:tcPr>
            <w:tcW w:w="5716" w:type="dxa"/>
            <w:shd w:val="clear" w:color="auto" w:fill="auto"/>
          </w:tcPr>
          <w:p w14:paraId="39BD830E">
            <w:pPr>
              <w:spacing w:after="0" w:line="240" w:lineRule="auto"/>
            </w:pPr>
            <w:r>
              <w:rPr>
                <w:sz w:val="18"/>
              </w:rPr>
              <w:t>Describe any assessed publication bias and small-study effects in the statistical syntheses.</w:t>
            </w:r>
          </w:p>
        </w:tc>
      </w:tr>
      <w:tr w14:paraId="1FC9CC54">
        <w:trPr>
          <w:jc w:val="center"/>
        </w:trPr>
        <w:tc>
          <w:tcPr>
            <w:tcW w:w="2194" w:type="dxa"/>
            <w:vMerge w:val="continue"/>
            <w:tcBorders/>
            <w:shd w:val="clear" w:color="auto" w:fill="auto"/>
          </w:tcPr>
          <w:p w14:paraId="66938AEF">
            <w:pPr>
              <w:spacing w:after="0" w:line="240" w:lineRule="auto"/>
              <w:rPr>
                <w:sz w:val="21"/>
                <w:szCs w:val="21"/>
              </w:rPr>
            </w:pPr>
          </w:p>
        </w:tc>
        <w:tc>
          <w:tcPr>
            <w:tcW w:w="654" w:type="dxa"/>
            <w:shd w:val="clear" w:color="auto" w:fill="auto"/>
          </w:tcPr>
          <w:p w14:paraId="2182E8A3">
            <w:pPr>
              <w:spacing w:after="0" w:line="240" w:lineRule="auto"/>
              <w:jc w:val="center"/>
            </w:pPr>
            <w:r>
              <w:rPr>
                <w:b/>
                <w:sz w:val="18"/>
              </w:rPr>
              <w:t>18</w:t>
            </w:r>
          </w:p>
        </w:tc>
        <w:tc>
          <w:tcPr>
            <w:tcW w:w="5716" w:type="dxa"/>
            <w:shd w:val="clear" w:color="auto" w:fill="auto"/>
          </w:tcPr>
          <w:p w14:paraId="09017A9C">
            <w:pPr>
              <w:spacing w:after="0" w:line="240" w:lineRule="auto"/>
            </w:pPr>
            <w:r>
              <w:rPr>
                <w:sz w:val="18"/>
              </w:rPr>
              <w:t>Present assessments of certainty of evidence for each outcome, including citations to included studies and summary statistics.</w:t>
            </w:r>
          </w:p>
        </w:tc>
      </w:tr>
      <w:tr w14:paraId="126F1E76">
        <w:trPr>
          <w:jc w:val="center"/>
        </w:trPr>
        <w:tc>
          <w:tcPr>
            <w:tcW w:w="2194" w:type="dxa"/>
            <w:shd w:val="clear" w:color="auto" w:fill="auto"/>
          </w:tcPr>
          <w:p w14:paraId="6FDDC085">
            <w:pPr>
              <w:spacing w:after="0" w:line="240" w:lineRule="auto"/>
              <w:rPr>
                <w:sz w:val="21"/>
                <w:szCs w:val="21"/>
              </w:rPr>
            </w:pPr>
            <w:r>
              <w:rPr>
                <w:b/>
                <w:sz w:val="16"/>
                <w:szCs w:val="21"/>
              </w:rPr>
              <w:t>DISCUSSION</w:t>
            </w:r>
          </w:p>
        </w:tc>
        <w:tc>
          <w:tcPr>
            <w:tcW w:w="654" w:type="dxa"/>
            <w:shd w:val="clear" w:color="auto" w:fill="auto"/>
          </w:tcPr>
          <w:p w14:paraId="4C5B6554">
            <w:pPr>
              <w:spacing w:after="0" w:line="240" w:lineRule="auto"/>
              <w:jc w:val="center"/>
            </w:pPr>
            <w:r>
              <w:rPr>
                <w:b/>
                <w:sz w:val="18"/>
              </w:rPr>
              <w:t>19</w:t>
            </w:r>
          </w:p>
        </w:tc>
        <w:tc>
          <w:tcPr>
            <w:tcW w:w="5716" w:type="dxa"/>
            <w:shd w:val="clear" w:color="auto" w:fill="auto"/>
          </w:tcPr>
          <w:p w14:paraId="649A7D41">
            <w:pPr>
              <w:spacing w:after="0" w:line="240" w:lineRule="auto"/>
            </w:pPr>
            <w:r>
              <w:rPr>
                <w:sz w:val="18"/>
              </w:rPr>
              <w:t>Provide a general interpretation of the results in context of other evidence, and discuss implications for future research.</w:t>
            </w:r>
          </w:p>
        </w:tc>
      </w:tr>
    </w:tbl>
    <w:p w14:paraId="1C0401F9"/>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ＭＳ ゴシック">
    <w:altName w:val="苹方-简"/>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Times New Roman Regular">
    <w:panose1 w:val="02020603050405020304"/>
    <w:charset w:val="00"/>
    <w:family w:val="auto"/>
    <w:pitch w:val="default"/>
    <w:sig w:usb0="E0002AEF" w:usb1="C0007841" w:usb2="00000009" w:usb3="00000000" w:csb0="400001FF" w:csb1="FFFF0000"/>
  </w:font>
  <w:font w:name="Times New Roman Bold">
    <w:panose1 w:val="02020603050405020304"/>
    <w:charset w:val="00"/>
    <w:family w:val="auto"/>
    <w:pitch w:val="default"/>
    <w:sig w:usb0="E0002AEF" w:usb1="C0007841"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hiNGEyMjk2MjFjMjZlZjg4YTBjMjQzYmJmNmY2YjIifQ=="/>
  </w:docVars>
  <w:rsids>
    <w:rsidRoot w:val="00B47730"/>
    <w:rsid w:val="00034616"/>
    <w:rsid w:val="0006063C"/>
    <w:rsid w:val="0015074B"/>
    <w:rsid w:val="0029639D"/>
    <w:rsid w:val="00326F90"/>
    <w:rsid w:val="00AA1D8D"/>
    <w:rsid w:val="00B47730"/>
    <w:rsid w:val="00CB0664"/>
    <w:rsid w:val="00FC693F"/>
    <w:rsid w:val="7F66743D"/>
    <w:rsid w:val="9FAB343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Office_6.9.0.8865_F1E327BC-269C-435d-A152-05C5408002CA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夏夏</dc:creator>
  <cp:lastModifiedBy>夏夏</cp:lastModifiedBy>
  <dcterms:modified xsi:type="dcterms:W3CDTF">2026-07-24T14:43:33Z</dcterms:modified>
  <dc:title>Anonymous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FCE39387279A8C0AEBEA626A889C31DB_42</vt:lpwstr>
  </property>
</Properties>
</file>